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2"/>
        <w:gridCol w:w="2835"/>
        <w:gridCol w:w="7655"/>
      </w:tblGrid>
      <w:tr w:rsidR="000B7B01" w:rsidRPr="00E258E3" w14:paraId="70E7E971" w14:textId="77777777" w:rsidTr="00803A09">
        <w:trPr>
          <w:trHeight w:val="300"/>
          <w:tblHeader/>
        </w:trPr>
        <w:tc>
          <w:tcPr>
            <w:tcW w:w="562" w:type="dxa"/>
            <w:shd w:val="clear" w:color="auto" w:fill="auto"/>
            <w:noWrap/>
            <w:hideMark/>
          </w:tcPr>
          <w:p w14:paraId="70E7E96E" w14:textId="77777777" w:rsidR="000B7B01" w:rsidRPr="00E258E3" w:rsidRDefault="000B7B01" w:rsidP="00E258E3">
            <w:pPr>
              <w:spacing w:after="0" w:line="240" w:lineRule="auto"/>
              <w:ind w:left="708" w:hanging="708"/>
              <w:jc w:val="center"/>
              <w:rPr>
                <w:rFonts w:ascii="Arial Narrow" w:eastAsia="Times New Roman" w:hAnsi="Arial Narrow" w:cs="Calibri"/>
                <w:b/>
                <w:color w:val="000000"/>
                <w:sz w:val="20"/>
                <w:szCs w:val="20"/>
                <w:lang w:eastAsia="es-CO"/>
              </w:rPr>
            </w:pPr>
            <w:proofErr w:type="spellStart"/>
            <w:r w:rsidRPr="00E258E3">
              <w:rPr>
                <w:rFonts w:ascii="Arial Narrow" w:eastAsia="Times New Roman" w:hAnsi="Arial Narrow" w:cs="Calibri"/>
                <w:b/>
                <w:color w:val="000000"/>
                <w:sz w:val="20"/>
                <w:szCs w:val="20"/>
                <w:lang w:eastAsia="es-CO"/>
              </w:rPr>
              <w:t>N°</w:t>
            </w:r>
            <w:proofErr w:type="spellEnd"/>
          </w:p>
        </w:tc>
        <w:tc>
          <w:tcPr>
            <w:tcW w:w="2835" w:type="dxa"/>
          </w:tcPr>
          <w:p w14:paraId="70E7E96F" w14:textId="77777777" w:rsidR="000B7B01" w:rsidRPr="00E258E3" w:rsidRDefault="000B7B01" w:rsidP="00E258E3">
            <w:pPr>
              <w:spacing w:after="0" w:line="240" w:lineRule="auto"/>
              <w:jc w:val="center"/>
              <w:rPr>
                <w:rFonts w:ascii="Arial Narrow" w:eastAsia="Times New Roman" w:hAnsi="Arial Narrow" w:cs="Calibri"/>
                <w:b/>
                <w:color w:val="000000"/>
                <w:sz w:val="20"/>
                <w:szCs w:val="20"/>
                <w:lang w:eastAsia="es-CO"/>
              </w:rPr>
            </w:pPr>
            <w:r w:rsidRPr="00E258E3">
              <w:rPr>
                <w:rFonts w:ascii="Arial Narrow" w:eastAsia="Times New Roman" w:hAnsi="Arial Narrow" w:cs="Calibri"/>
                <w:b/>
                <w:color w:val="000000"/>
                <w:sz w:val="20"/>
                <w:szCs w:val="20"/>
                <w:lang w:eastAsia="es-CO"/>
              </w:rPr>
              <w:t>concepto</w:t>
            </w:r>
          </w:p>
        </w:tc>
        <w:tc>
          <w:tcPr>
            <w:tcW w:w="7655" w:type="dxa"/>
            <w:shd w:val="clear" w:color="auto" w:fill="auto"/>
            <w:noWrap/>
            <w:hideMark/>
          </w:tcPr>
          <w:p w14:paraId="70E7E970" w14:textId="77777777" w:rsidR="000B7B01" w:rsidRPr="00E258E3" w:rsidRDefault="000B7B01" w:rsidP="00E258E3">
            <w:pPr>
              <w:spacing w:after="0" w:line="240" w:lineRule="auto"/>
              <w:jc w:val="center"/>
              <w:rPr>
                <w:rFonts w:ascii="Arial Narrow" w:eastAsia="Times New Roman" w:hAnsi="Arial Narrow" w:cs="Calibri"/>
                <w:b/>
                <w:color w:val="000000"/>
                <w:sz w:val="20"/>
                <w:szCs w:val="20"/>
                <w:lang w:eastAsia="es-CO"/>
              </w:rPr>
            </w:pPr>
            <w:r w:rsidRPr="00E258E3">
              <w:rPr>
                <w:rFonts w:ascii="Arial Narrow" w:eastAsia="Times New Roman" w:hAnsi="Arial Narrow" w:cs="Calibri"/>
                <w:b/>
                <w:color w:val="000000"/>
                <w:sz w:val="20"/>
                <w:szCs w:val="20"/>
                <w:lang w:eastAsia="es-CO"/>
              </w:rPr>
              <w:t>TEXTO</w:t>
            </w:r>
          </w:p>
        </w:tc>
      </w:tr>
      <w:tr w:rsidR="000B7B01" w:rsidRPr="00E258E3" w14:paraId="70E7E975" w14:textId="77777777" w:rsidTr="00803A09">
        <w:trPr>
          <w:trHeight w:val="300"/>
        </w:trPr>
        <w:tc>
          <w:tcPr>
            <w:tcW w:w="562" w:type="dxa"/>
            <w:shd w:val="clear" w:color="auto" w:fill="auto"/>
            <w:noWrap/>
            <w:hideMark/>
          </w:tcPr>
          <w:p w14:paraId="70E7E972"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w:t>
            </w:r>
          </w:p>
        </w:tc>
        <w:tc>
          <w:tcPr>
            <w:tcW w:w="2835" w:type="dxa"/>
          </w:tcPr>
          <w:p w14:paraId="70E7E973"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Comentarios de la gerencia</w:t>
            </w:r>
          </w:p>
        </w:tc>
        <w:tc>
          <w:tcPr>
            <w:tcW w:w="7655" w:type="dxa"/>
            <w:shd w:val="clear" w:color="auto" w:fill="auto"/>
            <w:noWrap/>
            <w:hideMark/>
          </w:tcPr>
          <w:p w14:paraId="70E7E974" w14:textId="0B201F35" w:rsidR="000B7B01" w:rsidRPr="00E258E3" w:rsidRDefault="00E258E3"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RESUMEN DEL INFORME DE GESTION</w:t>
            </w:r>
          </w:p>
        </w:tc>
      </w:tr>
      <w:tr w:rsidR="000B7B01" w:rsidRPr="00E258E3" w14:paraId="70E7E97B" w14:textId="77777777" w:rsidTr="00803A09">
        <w:trPr>
          <w:trHeight w:val="300"/>
        </w:trPr>
        <w:tc>
          <w:tcPr>
            <w:tcW w:w="562" w:type="dxa"/>
            <w:shd w:val="clear" w:color="auto" w:fill="auto"/>
            <w:noWrap/>
            <w:hideMark/>
          </w:tcPr>
          <w:p w14:paraId="70E7E97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w:t>
            </w:r>
          </w:p>
        </w:tc>
        <w:tc>
          <w:tcPr>
            <w:tcW w:w="2835" w:type="dxa"/>
          </w:tcPr>
          <w:p w14:paraId="70E7E97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 naturaleza del negocio</w:t>
            </w:r>
          </w:p>
        </w:tc>
        <w:tc>
          <w:tcPr>
            <w:tcW w:w="7655" w:type="dxa"/>
            <w:shd w:val="clear" w:color="auto" w:fill="auto"/>
            <w:noWrap/>
            <w:hideMark/>
          </w:tcPr>
          <w:p w14:paraId="70E7E978"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Empresa Asociativa sin ánimo de lucro de naturaleza Cooperativa y de carácter privado especializada en ahorro y crédito, con un número de asociados y patrimonio social variable e ilimitado integrado por sus fundadores, por los actuales y por quienes mediante las condiciones establecidas se adhieran a los estatutos y se sometan a ellos.</w:t>
            </w:r>
          </w:p>
          <w:p w14:paraId="70E7E97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7A" w14:textId="3A4AF98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Su objeto principal es contribuir al mejoramiento social, económico y cultural de sus asociados, al desarrollo de la comunidad fomentando la solidaridad y ayuda mutua, actuando con base principal en el esfuerzo propio y mediante la aplicación y la practicas de métodos cooperativos y la eficiente gestión administrativa.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La entidad ejerce la actividad financiera de manera exclusiva con sus asociados conforme al marco normativo establecido en la Ley 454 de 1998. Fomenta el ahorro y bienestar entre los asociados, ofreciéndoles soluciones crediticias para facilitar la adquisición de bienes o servicios, procurar la satisfacción de necesidades personales y familiares de los asociados y sus familiares. Además promueve la solidaridad y los lazos de compañerismo entre los asociados, acogiendo en su integridad la filosofía de la cooperación fomentando los vínculos de compañerismo y contribuyendo a elevar el nivel económico social y cultural. La duración de la Cooperativa es Indefinida, sin embargo, podrá disolverse y liquidarse en cualquier momento por las causales legales, estatutarias y reglamentarias.</w:t>
            </w:r>
          </w:p>
        </w:tc>
      </w:tr>
      <w:tr w:rsidR="000B7B01" w:rsidRPr="00E258E3" w14:paraId="70E7E97F" w14:textId="77777777" w:rsidTr="00803A09">
        <w:trPr>
          <w:trHeight w:val="300"/>
        </w:trPr>
        <w:tc>
          <w:tcPr>
            <w:tcW w:w="562" w:type="dxa"/>
            <w:shd w:val="clear" w:color="auto" w:fill="auto"/>
            <w:noWrap/>
            <w:hideMark/>
          </w:tcPr>
          <w:p w14:paraId="70E7E97C"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w:t>
            </w:r>
          </w:p>
        </w:tc>
        <w:tc>
          <w:tcPr>
            <w:tcW w:w="2835" w:type="dxa"/>
          </w:tcPr>
          <w:p w14:paraId="70E7E97D"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los objetivos de la gerencia y sus estrategias para alcanzar esos objetivos</w:t>
            </w:r>
          </w:p>
        </w:tc>
        <w:tc>
          <w:tcPr>
            <w:tcW w:w="7655" w:type="dxa"/>
            <w:shd w:val="clear" w:color="auto" w:fill="auto"/>
            <w:noWrap/>
            <w:hideMark/>
          </w:tcPr>
          <w:p w14:paraId="70E7E97E" w14:textId="3D866B3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COOPEJEMPLO, como Cooperativa Especializada de ahorro y Crédito, tendrá para el año </w:t>
            </w:r>
            <w:r w:rsidR="00E258E3" w:rsidRPr="00E258E3">
              <w:rPr>
                <w:rFonts w:ascii="Arial Narrow" w:eastAsia="Times New Roman" w:hAnsi="Arial Narrow" w:cs="Calibri"/>
                <w:color w:val="000000"/>
                <w:sz w:val="20"/>
                <w:szCs w:val="20"/>
                <w:lang w:eastAsia="es-CO"/>
              </w:rPr>
              <w:t>2021</w:t>
            </w:r>
            <w:r w:rsidRPr="00E258E3">
              <w:rPr>
                <w:rFonts w:ascii="Arial Narrow" w:eastAsia="Times New Roman" w:hAnsi="Arial Narrow" w:cs="Calibri"/>
                <w:color w:val="000000"/>
                <w:sz w:val="20"/>
                <w:szCs w:val="20"/>
                <w:lang w:eastAsia="es-CO"/>
              </w:rPr>
              <w:t xml:space="preserve"> como tarea relevante, posicionar su nombre en la ciudad, mediante la puesta en marcha de un plan de medios que le permita generar recordación, facilitando con ello la labor de la fuerza comercial. Se dará ejecución al proyecto instalación y puesta en marcha del sistema LINIX, con el objeto de optimizar los procesos operativos, contando además, con una plataforma tecnológica adecuada que permita a los asociados dar manejo electrónico de los recursos que poseen en la entidad mediante la implementación de la tarjeta debito – crédito. Revisará cuidadosamente las políticas de crédito y cobranza, en aras de realizar los ajustes necesarios que le permitan tener controlado el riesgo de crédito y el indicador de calidad de la cartera de crédito. Continuará estableciendo metas y controlando los indicadores de ingresos, costos, gastos, crecimientos de cartera, aportes, ahorros, excedentes y capital institucional con el objeto cumplir con las proyecciones presentadas para transformarse en cooperativa de ahorro y crédito, así como </w:t>
            </w:r>
            <w:proofErr w:type="spellStart"/>
            <w:r w:rsidRPr="00E258E3">
              <w:rPr>
                <w:rFonts w:ascii="Arial Narrow" w:eastAsia="Times New Roman" w:hAnsi="Arial Narrow" w:cs="Calibri"/>
                <w:color w:val="000000"/>
                <w:sz w:val="20"/>
                <w:szCs w:val="20"/>
                <w:lang w:eastAsia="es-CO"/>
              </w:rPr>
              <w:t>tambien</w:t>
            </w:r>
            <w:proofErr w:type="spellEnd"/>
            <w:r w:rsidRPr="00E258E3">
              <w:rPr>
                <w:rFonts w:ascii="Arial Narrow" w:eastAsia="Times New Roman" w:hAnsi="Arial Narrow" w:cs="Calibri"/>
                <w:color w:val="000000"/>
                <w:sz w:val="20"/>
                <w:szCs w:val="20"/>
                <w:lang w:eastAsia="es-CO"/>
              </w:rPr>
              <w:t xml:space="preserve"> asegurar el fortalecimiento y crecimiento de la entidad. Diseñará y pondrá en marcha campañas de profundización con el objeto de mejorar los indicadores de cubrimiento de los servicios de ahorro y crédito en la base social actual.</w:t>
            </w:r>
          </w:p>
        </w:tc>
      </w:tr>
      <w:tr w:rsidR="000B7B01" w:rsidRPr="00E258E3" w14:paraId="70E7E98D" w14:textId="77777777" w:rsidTr="00803A09">
        <w:trPr>
          <w:trHeight w:val="300"/>
        </w:trPr>
        <w:tc>
          <w:tcPr>
            <w:tcW w:w="562" w:type="dxa"/>
            <w:shd w:val="clear" w:color="auto" w:fill="auto"/>
            <w:noWrap/>
            <w:hideMark/>
          </w:tcPr>
          <w:p w14:paraId="70E7E98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w:t>
            </w:r>
          </w:p>
        </w:tc>
        <w:tc>
          <w:tcPr>
            <w:tcW w:w="2835" w:type="dxa"/>
          </w:tcPr>
          <w:p w14:paraId="70E7E98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los recursos, riesgos y relaciones más significativos de la entidad</w:t>
            </w:r>
          </w:p>
        </w:tc>
        <w:tc>
          <w:tcPr>
            <w:tcW w:w="7655" w:type="dxa"/>
            <w:shd w:val="clear" w:color="auto" w:fill="auto"/>
            <w:noWrap/>
            <w:hideMark/>
          </w:tcPr>
          <w:p w14:paraId="70E7E982"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Riesgo de Crédito y/o de Contraparte: El riesgo crediticio es la posibilidad de que una entidad incurra en pérdidas y se disminuya el valor de sus activos, como consecuencia de que sus deudores falten en el cumplimiento oportuno o cumplan imperfectamente los términos acordados en los respectivos contratos. COOPEJEMPLO cuenta con un modelo evaluación interno de iniciación y otorgamiento de créditos, que se emplea como una herramienta en el proceso de toma de decisiones de aprobación o rechazo por parte de los asesores comerciales. COOPEJEMPLO posee la información suficiente para evaluar el nivel de endeudamiento del asociado. </w:t>
            </w:r>
          </w:p>
          <w:p w14:paraId="70E7E98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ab/>
            </w:r>
          </w:p>
          <w:p w14:paraId="70E7E98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Riesgo de Mercado: Posibilidad de que un establecimiento de crédito incurra en pérdidas y se disminuya el valor de su patrimonio técnico como consecuencia de cambios en el precio de los instrumentos financieros en los que la entidad mantenga posiciones dentro o fuera de balance. Estos cambios en el precio de los instrumentos pueden presentarse como resultado de variaciones en las tasas de interés, tipos de cambios y otros índices. La política de la Administración es la de invertir en títulos AAA y AA+ ya que es muy importante la seguridad en este tipo de inversiones, tal como lo indica el reglamento para inversiones que posee COOPEJEMPLO.</w:t>
            </w:r>
          </w:p>
          <w:p w14:paraId="70E7E985"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8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Riesgo de tasa de interés: COOPEJEMPLO hace sus </w:t>
            </w:r>
            <w:proofErr w:type="gramStart"/>
            <w:r w:rsidRPr="00E258E3">
              <w:rPr>
                <w:rFonts w:ascii="Arial Narrow" w:eastAsia="Times New Roman" w:hAnsi="Arial Narrow" w:cs="Calibri"/>
                <w:color w:val="000000"/>
                <w:sz w:val="20"/>
                <w:szCs w:val="20"/>
                <w:lang w:eastAsia="es-CO"/>
              </w:rPr>
              <w:t>créditos acorde</w:t>
            </w:r>
            <w:proofErr w:type="gramEnd"/>
            <w:r w:rsidRPr="00E258E3">
              <w:rPr>
                <w:rFonts w:ascii="Arial Narrow" w:eastAsia="Times New Roman" w:hAnsi="Arial Narrow" w:cs="Calibri"/>
                <w:color w:val="000000"/>
                <w:sz w:val="20"/>
                <w:szCs w:val="20"/>
                <w:lang w:eastAsia="es-CO"/>
              </w:rPr>
              <w:t xml:space="preserve"> con las tasas del mercado para libranza consumo a tasa fija, las cuales son revisadas y ajustadas periódicamente por el Consejo de Administración y no reconoce intereses sobre sus ahorros permanentes lo que le genera un amplio margen de intermediación que absorba posibles fluctuaciones desfavorables de la tasas de interés. </w:t>
            </w:r>
          </w:p>
          <w:p w14:paraId="70E7E98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88"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Riesgo de Liquidez: El Riesgo de Liquidez se define como la contingencia que la entidad incurra en pérdidas por la venta de activos a descuentos inusuales, con el fin de disponer rápidamente de los recursos necesarios para cumplir con sus obligaciones contractuales. </w:t>
            </w:r>
          </w:p>
          <w:p w14:paraId="70E7E98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8A"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Riesgo Operativo y Legal: Se entiende como la posibilidad de incurrir en pérdidas por deficiencias, fallas o inadecuaciones, en el recurso humano, los procesos, la tecnología, la infraestructura o por la ocurrencia de acontecimientos externos. Esta definición incluye los riesgos legales, de custodia y </w:t>
            </w:r>
            <w:r w:rsidRPr="00E258E3">
              <w:rPr>
                <w:rFonts w:ascii="Arial Narrow" w:eastAsia="Times New Roman" w:hAnsi="Arial Narrow" w:cs="Calibri"/>
                <w:color w:val="000000"/>
                <w:sz w:val="20"/>
                <w:szCs w:val="20"/>
                <w:lang w:eastAsia="es-CO"/>
              </w:rPr>
              <w:lastRenderedPageBreak/>
              <w:t>reputacional asociados a tales factores. COOPEJEMPLO cuenta actualmente con un software integrado y en línea que permite mantener actualizada la información y generar los reportes exigidos por la Superintendencia de la Economía Solidaria. Igualmente COOPEJEMPLO cuenta con Estatutos y Reglamentos de sus servicios y beneficios los cuales son conocidos y actualizados permanentemente por sus empleados. Se cuenta con una Revisoría Fiscal que hace visitas mensuales y vela por el cumplimiento de las normas legales, también se tiene auditoría interna.</w:t>
            </w:r>
          </w:p>
          <w:p w14:paraId="70E7E98B"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8C"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Riesgo de Lavado de Activos y Financiación del Terrorismo: El marco legal sobre el tema de prevención y control de lavado de activos y financiación del terrorismo LA/FT, tiene como base fundamental las políticas, normas y procedimientos consagrados en la Circular Básica Jurídica No. 007 de 2008, de la Superintendencia de la Economía Solidaria. COOPEJEMPLO cuenta con políticas de LA/TF, su cumplimiento se verifica mediante mecanismos y procedimientos adecuados de control interno que le permiten mitigar el riesgo legal, reputacional y de contagio. Como medidas adicionales para mitigar el riesgo se realizan publicaciones periódicas y se envían por correo electrónico a todos los empleados sobre temas relacionados con el lavado de activos, además se realizan capacitaciones periódicas a los empleados y directivos. Adicionalmente se cuenta con un sistema que controla alertas por operaciones en efectivo y permite cargar listas de control, para cruce con la base de datos.</w:t>
            </w:r>
          </w:p>
        </w:tc>
      </w:tr>
      <w:tr w:rsidR="000B7B01" w:rsidRPr="00E258E3" w14:paraId="70E7E995" w14:textId="77777777" w:rsidTr="00803A09">
        <w:trPr>
          <w:trHeight w:val="300"/>
        </w:trPr>
        <w:tc>
          <w:tcPr>
            <w:tcW w:w="562" w:type="dxa"/>
            <w:shd w:val="clear" w:color="auto" w:fill="auto"/>
            <w:noWrap/>
            <w:hideMark/>
          </w:tcPr>
          <w:p w14:paraId="70E7E98E"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C5</w:t>
            </w:r>
          </w:p>
        </w:tc>
        <w:tc>
          <w:tcPr>
            <w:tcW w:w="2835" w:type="dxa"/>
          </w:tcPr>
          <w:p w14:paraId="70E7E98F"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los resultados de las operaciones y perspectivas </w:t>
            </w:r>
          </w:p>
        </w:tc>
        <w:tc>
          <w:tcPr>
            <w:tcW w:w="7655" w:type="dxa"/>
            <w:shd w:val="clear" w:color="auto" w:fill="auto"/>
            <w:noWrap/>
            <w:hideMark/>
          </w:tcPr>
          <w:p w14:paraId="70E7E990" w14:textId="328DBC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El portafolio de créditos de COOPEJEMPLO, permitió llegar a los asociados con 1734 créditos desembolsados por un valor total de $5.491 millones de pesos. El crecimiento en colocación con relación al año anterior fue $ 547 millones equivalentes al 11%, el promedio de crédito otorgado fue en el </w:t>
            </w:r>
            <w:r w:rsidR="00E258E3" w:rsidRPr="00E258E3">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 xml:space="preserve"> de $ 3.1 millones de pesos, desembolsos que se originaron a lo largo del año principalmente por las líneas de crédito ordinario nomina, ordinario personal crédito rotativo y crédito prima. La cooperativa cierra el año con 1510 créditos vigentes por valor de</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$ 5.271 millones de pesos, presentando un crecimiento con relación al año anterior de $ 327 millones y porcentualmente del 7.3%. Las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políticas establecidas en aras de hacer más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ágil y accesible a los asociados el servicio de crédito, sumado a las constantes campañas de colocación desarrolladas a lo largo del año, pero principalmente al sentido de pertenencia de la base social quien continua considerado a la cooperativa como una muy buena opción de financiamiento, fueron las razones que</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permitieron que a pesar de la desaceleración de la economía en la ciudad, la incertidumbre laboral y la fuerte competencia bancaria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especialmente en compra de cartera se</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presentaran resultados positivos al cierre del año. Del total de la cartera de crédito vigente al cierre de año, un 4,98% presentan cuotas en mora con calificaciones iguales o superiores a B. Situación presentada debido al deterioro de la economía en Cúcuta, producto de la crisis binacional, situación que ha desencadenado la desvinculación laboral de asociados de la cooperativa, razón por la cual no han podido continuar dando oportuno pago a sus obligaciones, no obstante la entidad realiza seguimiento continuo a estos créditos, dando aplicación en su orden a cada una de las políticas de cobro establecidas, buscando siempre la recuperación de esta cartera. Al cierre del año la cartera en mora ascendió a $ 263 millones, las provisiones que cubren esta cartera registraron $ 315 millones, un indicador de cobertura de cartera con calificación superior a B del 120%.</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Cabe resaltar que para el logro de este indicador,</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las directivas de las ultimas vigencias obrando prudentemente y ante el inminente riesgo del incremento de la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morosidad, han aprobado y aplicado las siguientes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politicas de provision. Provision individual de cartera aplicando el % </w:t>
            </w:r>
            <w:r w:rsidR="00E258E3" w:rsidRPr="00E258E3">
              <w:rPr>
                <w:rFonts w:ascii="Arial Narrow" w:eastAsia="Times New Roman" w:hAnsi="Arial Narrow" w:cs="Calibri"/>
                <w:color w:val="000000"/>
                <w:sz w:val="20"/>
                <w:szCs w:val="20"/>
                <w:lang w:eastAsia="es-CO"/>
              </w:rPr>
              <w:t>máximo</w:t>
            </w:r>
            <w:r w:rsidRPr="00E258E3">
              <w:rPr>
                <w:rFonts w:ascii="Arial Narrow" w:eastAsia="Times New Roman" w:hAnsi="Arial Narrow" w:cs="Calibri"/>
                <w:color w:val="000000"/>
                <w:sz w:val="20"/>
                <w:szCs w:val="20"/>
                <w:lang w:eastAsia="es-CO"/>
              </w:rPr>
              <w:t xml:space="preserve"> permitido por la SUPERSOLIDARIA para cada calificación, </w:t>
            </w:r>
            <w:r w:rsidR="00E258E3" w:rsidRPr="00E258E3">
              <w:rPr>
                <w:rFonts w:ascii="Arial Narrow" w:eastAsia="Times New Roman" w:hAnsi="Arial Narrow" w:cs="Calibri"/>
                <w:color w:val="000000"/>
                <w:sz w:val="20"/>
                <w:szCs w:val="20"/>
                <w:lang w:eastAsia="es-CO"/>
              </w:rPr>
              <w:t>así</w:t>
            </w:r>
            <w:r w:rsidRPr="00E258E3">
              <w:rPr>
                <w:rFonts w:ascii="Arial Narrow" w:eastAsia="Times New Roman" w:hAnsi="Arial Narrow" w:cs="Calibri"/>
                <w:color w:val="000000"/>
                <w:sz w:val="20"/>
                <w:szCs w:val="20"/>
                <w:lang w:eastAsia="es-CO"/>
              </w:rPr>
              <w:t xml:space="preserve"> como </w:t>
            </w:r>
            <w:r w:rsidR="00E258E3" w:rsidRPr="00E258E3">
              <w:rPr>
                <w:rFonts w:ascii="Arial Narrow" w:eastAsia="Times New Roman" w:hAnsi="Arial Narrow" w:cs="Calibri"/>
                <w:color w:val="000000"/>
                <w:sz w:val="20"/>
                <w:szCs w:val="20"/>
                <w:lang w:eastAsia="es-CO"/>
              </w:rPr>
              <w:t>también</w:t>
            </w:r>
            <w:r w:rsidRPr="00E258E3">
              <w:rPr>
                <w:rFonts w:ascii="Arial Narrow" w:eastAsia="Times New Roman" w:hAnsi="Arial Narrow" w:cs="Calibri"/>
                <w:color w:val="000000"/>
                <w:sz w:val="20"/>
                <w:szCs w:val="20"/>
                <w:lang w:eastAsia="es-CO"/>
              </w:rPr>
              <w:t xml:space="preserve"> la no deducción de los aportes sociales al momento de realizar el </w:t>
            </w:r>
            <w:r w:rsidR="00E258E3" w:rsidRPr="00E258E3">
              <w:rPr>
                <w:rFonts w:ascii="Arial Narrow" w:eastAsia="Times New Roman" w:hAnsi="Arial Narrow" w:cs="Calibri"/>
                <w:color w:val="000000"/>
                <w:sz w:val="20"/>
                <w:szCs w:val="20"/>
                <w:lang w:eastAsia="es-CO"/>
              </w:rPr>
              <w:t>cálculo</w:t>
            </w:r>
            <w:r w:rsidRPr="00E258E3">
              <w:rPr>
                <w:rFonts w:ascii="Arial Narrow" w:eastAsia="Times New Roman" w:hAnsi="Arial Narrow" w:cs="Calibri"/>
                <w:color w:val="000000"/>
                <w:sz w:val="20"/>
                <w:szCs w:val="20"/>
                <w:lang w:eastAsia="es-CO"/>
              </w:rPr>
              <w:t>.</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Incrementar el % de provision general de cartera en el año </w:t>
            </w:r>
            <w:r w:rsidR="00E258E3" w:rsidRPr="00E258E3">
              <w:rPr>
                <w:rFonts w:ascii="Arial Narrow" w:eastAsia="Times New Roman" w:hAnsi="Arial Narrow" w:cs="Calibri"/>
                <w:color w:val="000000"/>
                <w:sz w:val="20"/>
                <w:szCs w:val="20"/>
                <w:lang w:eastAsia="es-CO"/>
              </w:rPr>
              <w:t>2019</w:t>
            </w:r>
            <w:r w:rsidRPr="00E258E3">
              <w:rPr>
                <w:rFonts w:ascii="Arial Narrow" w:eastAsia="Times New Roman" w:hAnsi="Arial Narrow" w:cs="Calibri"/>
                <w:color w:val="000000"/>
                <w:sz w:val="20"/>
                <w:szCs w:val="20"/>
                <w:lang w:eastAsia="es-CO"/>
              </w:rPr>
              <w:t xml:space="preserve"> en 1% adicional 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1% exigido por norma y para el año </w:t>
            </w:r>
            <w:r w:rsidR="00E258E3" w:rsidRPr="00E258E3">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 xml:space="preserve"> otro 1%, dando como resultado un porcentaje de provision general de cartera del 3%.</w:t>
            </w:r>
          </w:p>
          <w:p w14:paraId="70E7E99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92" w14:textId="07AD937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COOPEJEMPLO dio inicio en septiembre de </w:t>
            </w:r>
            <w:r w:rsidR="00E258E3" w:rsidRPr="00E258E3">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 xml:space="preserve"> a la captación de ahorros de sus asociados, depósitos que a cierre de año ascendieron a $208 millones de pesos en 346 productos abiertos.</w:t>
            </w:r>
          </w:p>
          <w:p w14:paraId="70E7E99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94" w14:textId="5903710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Ingresaron a la entidad en el trascurso del año 320 asociados, la deserción durante el </w:t>
            </w:r>
            <w:r w:rsidR="00E258E3" w:rsidRPr="00E258E3">
              <w:rPr>
                <w:rFonts w:ascii="Arial Narrow" w:eastAsia="Times New Roman" w:hAnsi="Arial Narrow" w:cs="Calibri"/>
                <w:color w:val="000000"/>
                <w:sz w:val="20"/>
                <w:szCs w:val="20"/>
                <w:lang w:eastAsia="es-CO"/>
              </w:rPr>
              <w:t>2019</w:t>
            </w:r>
            <w:r w:rsidRPr="00E258E3">
              <w:rPr>
                <w:rFonts w:ascii="Arial Narrow" w:eastAsia="Times New Roman" w:hAnsi="Arial Narrow" w:cs="Calibri"/>
                <w:color w:val="000000"/>
                <w:sz w:val="20"/>
                <w:szCs w:val="20"/>
                <w:lang w:eastAsia="es-CO"/>
              </w:rPr>
              <w:t xml:space="preserve"> fue de 21 asociados por mes, para un total de 258 retiros, así </w:t>
            </w:r>
            <w:proofErr w:type="spellStart"/>
            <w:r w:rsidRPr="00E258E3">
              <w:rPr>
                <w:rFonts w:ascii="Arial Narrow" w:eastAsia="Times New Roman" w:hAnsi="Arial Narrow" w:cs="Calibri"/>
                <w:color w:val="000000"/>
                <w:sz w:val="20"/>
                <w:szCs w:val="20"/>
                <w:lang w:eastAsia="es-CO"/>
              </w:rPr>
              <w:t>tambien</w:t>
            </w:r>
            <w:proofErr w:type="spellEnd"/>
            <w:r w:rsidRPr="00E258E3">
              <w:rPr>
                <w:rFonts w:ascii="Arial Narrow" w:eastAsia="Times New Roman" w:hAnsi="Arial Narrow" w:cs="Calibri"/>
                <w:color w:val="000000"/>
                <w:sz w:val="20"/>
                <w:szCs w:val="20"/>
                <w:lang w:eastAsia="es-CO"/>
              </w:rPr>
              <w:t xml:space="preserve"> fallecieron 3 asociados, Al cierre del año la base social quedo constituida con 2435 asociados.</w:t>
            </w:r>
          </w:p>
        </w:tc>
      </w:tr>
      <w:tr w:rsidR="000B7B01" w:rsidRPr="00E258E3" w14:paraId="70E7E9A7" w14:textId="77777777" w:rsidTr="00803A09">
        <w:trPr>
          <w:trHeight w:val="300"/>
        </w:trPr>
        <w:tc>
          <w:tcPr>
            <w:tcW w:w="562" w:type="dxa"/>
            <w:shd w:val="clear" w:color="auto" w:fill="auto"/>
            <w:noWrap/>
            <w:hideMark/>
          </w:tcPr>
          <w:p w14:paraId="70E7E99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w:t>
            </w:r>
          </w:p>
        </w:tc>
        <w:tc>
          <w:tcPr>
            <w:tcW w:w="2835" w:type="dxa"/>
          </w:tcPr>
          <w:p w14:paraId="70E7E99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las medidas de rendimiento fundamentales e indicadores que la gerencia utiliza para evaluar el rendimiento de la entidad con respecto a los objetivos establecidos</w:t>
            </w:r>
          </w:p>
        </w:tc>
        <w:tc>
          <w:tcPr>
            <w:tcW w:w="7655" w:type="dxa"/>
            <w:shd w:val="clear" w:color="auto" w:fill="auto"/>
            <w:noWrap/>
            <w:hideMark/>
          </w:tcPr>
          <w:p w14:paraId="70E7E998"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Cartera / Activos</w:t>
            </w:r>
          </w:p>
          <w:p w14:paraId="70E7E99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Cartera + Inversiones + Cuentas por Cobrar + Efectivo y Equivalentes / Depositos + Aportes + Obligaciones Financieras + cuentas por pagar + beneficios a empleados + impuestos</w:t>
            </w:r>
          </w:p>
          <w:p w14:paraId="70E7E99A" w14:textId="1D3AE81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Quebranto Patrimonial: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Patrimonio / Capital Social</w:t>
            </w:r>
          </w:p>
          <w:p w14:paraId="70E7E99B" w14:textId="62603B6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Margen de Solvencia: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Patrimonio Técnico / Activos ponderados por riesgo</w:t>
            </w:r>
          </w:p>
          <w:p w14:paraId="70E7E99C" w14:textId="66F6F2E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Margen Tasa: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Rentabilidad ponderada del Activo - Costo ponderado del apalancamiento y el capital</w:t>
            </w:r>
          </w:p>
          <w:p w14:paraId="70E7E99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Crecimiento porcentual de: Cartera / Depositos / Aportes / Asociados</w:t>
            </w:r>
          </w:p>
          <w:p w14:paraId="70E7E99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Suficiencia del margen =Margen Financiero bruto / (Gastos de personal + Gastos Generales + Gastos de fondos + Provisiones + Depreciaciones + amortizaciones</w:t>
            </w:r>
          </w:p>
          <w:p w14:paraId="70E7E99F" w14:textId="61B101C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Eficiencia administrativa: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Gastos de personal + gastos generales / ingresos operacionales ordinarios</w:t>
            </w:r>
          </w:p>
          <w:p w14:paraId="70E7E9A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Margen financiero bruto = Margen de intermediación + otros ingresos actividad financiera - otros egresos actividad financiera</w:t>
            </w:r>
          </w:p>
          <w:p w14:paraId="70E7E9A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Margen de Intermediación = Intereses recibidos de cartera - Intereses pagados de depósitos</w:t>
            </w:r>
          </w:p>
          <w:p w14:paraId="70E7E9A2" w14:textId="4D07FFA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Calidad de la cartera = Cartera vencida mayor a B / total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cartera bruta</w:t>
            </w:r>
          </w:p>
          <w:p w14:paraId="70E7E9A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Cobertura de la cartera mayor a B = Provisiones de cartera / (sumatoria de cartera en categorías B-C-D-E)</w:t>
            </w:r>
          </w:p>
          <w:p w14:paraId="70E7E9A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Indicador de cobertura de gastos de personal y gastos generales / ingresos operacionales</w:t>
            </w:r>
          </w:p>
          <w:p w14:paraId="70E7E9A5" w14:textId="35F5B55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Capital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Institucional/ Activos = Total patrimonio - capital social ( aportes)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total activos</w:t>
            </w:r>
          </w:p>
          <w:p w14:paraId="70E7E9A6" w14:textId="0905C76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Mantenimiento del Capital: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excedentes / Capital Social</w:t>
            </w:r>
          </w:p>
        </w:tc>
      </w:tr>
      <w:tr w:rsidR="000B7B01" w:rsidRPr="00E258E3" w14:paraId="70E7E9AE" w14:textId="77777777" w:rsidTr="00803A09">
        <w:trPr>
          <w:trHeight w:val="300"/>
        </w:trPr>
        <w:tc>
          <w:tcPr>
            <w:tcW w:w="562" w:type="dxa"/>
            <w:shd w:val="clear" w:color="auto" w:fill="auto"/>
            <w:noWrap/>
            <w:hideMark/>
          </w:tcPr>
          <w:p w14:paraId="70E7E9A8"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C7</w:t>
            </w:r>
          </w:p>
        </w:tc>
        <w:tc>
          <w:tcPr>
            <w:tcW w:w="2835" w:type="dxa"/>
          </w:tcPr>
          <w:p w14:paraId="70E7E9A9"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información general sobre los estados financieros </w:t>
            </w:r>
          </w:p>
        </w:tc>
        <w:tc>
          <w:tcPr>
            <w:tcW w:w="7655" w:type="dxa"/>
            <w:shd w:val="clear" w:color="auto" w:fill="auto"/>
            <w:noWrap/>
            <w:hideMark/>
          </w:tcPr>
          <w:p w14:paraId="70E7E9AA" w14:textId="42A1C01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E258E3" w:rsidRPr="00E258E3">
              <w:rPr>
                <w:rFonts w:ascii="Arial Narrow" w:eastAsia="Times New Roman" w:hAnsi="Arial Narrow" w:cs="Calibri"/>
                <w:color w:val="000000"/>
                <w:sz w:val="20"/>
                <w:szCs w:val="20"/>
                <w:lang w:eastAsia="es-CO"/>
              </w:rPr>
              <w:t>COOPEJEMPLO</w:t>
            </w:r>
          </w:p>
          <w:p w14:paraId="70E7E9AB" w14:textId="7C6CDC4F"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NIT </w:t>
            </w:r>
            <w:r w:rsidR="00E258E3" w:rsidRPr="00E258E3">
              <w:rPr>
                <w:rFonts w:ascii="Arial Narrow" w:eastAsia="Times New Roman" w:hAnsi="Arial Narrow" w:cs="Calibri"/>
                <w:color w:val="000000"/>
                <w:sz w:val="20"/>
                <w:szCs w:val="20"/>
                <w:lang w:eastAsia="es-CO"/>
              </w:rPr>
              <w:t>999.999.999-9</w:t>
            </w:r>
          </w:p>
          <w:p w14:paraId="70E7E9AC" w14:textId="4DFD34C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Estados Financieros individuales comparativos </w:t>
            </w:r>
            <w:r w:rsidR="00E258E3" w:rsidRPr="00E258E3">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w:t>
            </w:r>
            <w:r w:rsidR="00E258E3" w:rsidRPr="00E258E3">
              <w:rPr>
                <w:rFonts w:ascii="Arial Narrow" w:eastAsia="Times New Roman" w:hAnsi="Arial Narrow" w:cs="Calibri"/>
                <w:color w:val="000000"/>
                <w:sz w:val="20"/>
                <w:szCs w:val="20"/>
                <w:lang w:eastAsia="es-CO"/>
              </w:rPr>
              <w:t>2019</w:t>
            </w:r>
          </w:p>
          <w:p w14:paraId="70E7E9A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(Cifras Expresadas en Pesos Colombianos)</w:t>
            </w:r>
          </w:p>
        </w:tc>
      </w:tr>
      <w:tr w:rsidR="000B7B01" w:rsidRPr="00E258E3" w14:paraId="70E7E9B4" w14:textId="77777777" w:rsidTr="00803A09">
        <w:trPr>
          <w:trHeight w:val="300"/>
        </w:trPr>
        <w:tc>
          <w:tcPr>
            <w:tcW w:w="562" w:type="dxa"/>
            <w:shd w:val="clear" w:color="auto" w:fill="auto"/>
            <w:noWrap/>
            <w:hideMark/>
          </w:tcPr>
          <w:p w14:paraId="70E7E9A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w:t>
            </w:r>
          </w:p>
        </w:tc>
        <w:tc>
          <w:tcPr>
            <w:tcW w:w="2835" w:type="dxa"/>
          </w:tcPr>
          <w:p w14:paraId="70E7E9B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cambio en el nombre de la entidad que informa u otras formas de identificación desde el final del periodo sobre el que se informa precedente</w:t>
            </w:r>
          </w:p>
        </w:tc>
        <w:tc>
          <w:tcPr>
            <w:tcW w:w="7655" w:type="dxa"/>
            <w:shd w:val="clear" w:color="auto" w:fill="auto"/>
            <w:noWrap/>
            <w:hideMark/>
          </w:tcPr>
          <w:p w14:paraId="70E7E9B3" w14:textId="143558CC" w:rsidR="000B7B01" w:rsidRPr="00E258E3" w:rsidRDefault="009A56BC"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9B8" w14:textId="77777777" w:rsidTr="00803A09">
        <w:trPr>
          <w:trHeight w:val="300"/>
        </w:trPr>
        <w:tc>
          <w:tcPr>
            <w:tcW w:w="562" w:type="dxa"/>
            <w:shd w:val="clear" w:color="auto" w:fill="auto"/>
            <w:noWrap/>
            <w:hideMark/>
          </w:tcPr>
          <w:p w14:paraId="70E7E9B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w:t>
            </w:r>
          </w:p>
        </w:tc>
        <w:tc>
          <w:tcPr>
            <w:tcW w:w="2835" w:type="dxa"/>
          </w:tcPr>
          <w:p w14:paraId="70E7E9B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los estados financieros</w:t>
            </w:r>
          </w:p>
        </w:tc>
        <w:tc>
          <w:tcPr>
            <w:tcW w:w="7655" w:type="dxa"/>
            <w:shd w:val="clear" w:color="auto" w:fill="auto"/>
            <w:noWrap/>
            <w:hideMark/>
          </w:tcPr>
          <w:p w14:paraId="70E7E9B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INDIVIDUALES</w:t>
            </w:r>
          </w:p>
        </w:tc>
      </w:tr>
      <w:tr w:rsidR="000B7B01" w:rsidRPr="00E258E3" w14:paraId="70E7E9BC" w14:textId="77777777" w:rsidTr="00803A09">
        <w:trPr>
          <w:trHeight w:val="300"/>
        </w:trPr>
        <w:tc>
          <w:tcPr>
            <w:tcW w:w="562" w:type="dxa"/>
            <w:shd w:val="clear" w:color="auto" w:fill="auto"/>
            <w:noWrap/>
            <w:hideMark/>
          </w:tcPr>
          <w:p w14:paraId="70E7E9B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w:t>
            </w:r>
          </w:p>
        </w:tc>
        <w:tc>
          <w:tcPr>
            <w:tcW w:w="2835" w:type="dxa"/>
          </w:tcPr>
          <w:p w14:paraId="70E7E9B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Periodo cubierto por los estados financieros</w:t>
            </w:r>
          </w:p>
        </w:tc>
        <w:tc>
          <w:tcPr>
            <w:tcW w:w="7655" w:type="dxa"/>
            <w:shd w:val="clear" w:color="auto" w:fill="auto"/>
            <w:noWrap/>
            <w:hideMark/>
          </w:tcPr>
          <w:p w14:paraId="70E7E9BB" w14:textId="084F47A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Del 01 de enero al 31 de diciembre del año </w:t>
            </w:r>
            <w:r w:rsidR="00E258E3" w:rsidRPr="00E258E3">
              <w:rPr>
                <w:rFonts w:ascii="Arial Narrow" w:eastAsia="Times New Roman" w:hAnsi="Arial Narrow" w:cs="Calibri"/>
                <w:color w:val="000000"/>
                <w:sz w:val="20"/>
                <w:szCs w:val="20"/>
                <w:lang w:eastAsia="es-CO"/>
              </w:rPr>
              <w:t>2020</w:t>
            </w:r>
          </w:p>
        </w:tc>
      </w:tr>
      <w:tr w:rsidR="000B7B01" w:rsidRPr="00E258E3" w14:paraId="70E7E9C8" w14:textId="77777777" w:rsidTr="00803A09">
        <w:trPr>
          <w:trHeight w:val="300"/>
        </w:trPr>
        <w:tc>
          <w:tcPr>
            <w:tcW w:w="562" w:type="dxa"/>
            <w:shd w:val="clear" w:color="auto" w:fill="auto"/>
            <w:noWrap/>
            <w:hideMark/>
          </w:tcPr>
          <w:p w14:paraId="70E7E9B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w:t>
            </w:r>
          </w:p>
        </w:tc>
        <w:tc>
          <w:tcPr>
            <w:tcW w:w="2835" w:type="dxa"/>
          </w:tcPr>
          <w:p w14:paraId="70E7E9B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notas y otra información explicativa</w:t>
            </w:r>
          </w:p>
        </w:tc>
        <w:tc>
          <w:tcPr>
            <w:tcW w:w="7655" w:type="dxa"/>
            <w:shd w:val="clear" w:color="auto" w:fill="auto"/>
            <w:noWrap/>
            <w:hideMark/>
          </w:tcPr>
          <w:p w14:paraId="70E7E9BF" w14:textId="764DA01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El periodo contable revelado en estas notas es tomado al 31 de </w:t>
            </w:r>
            <w:proofErr w:type="gramStart"/>
            <w:r w:rsidRPr="00E258E3">
              <w:rPr>
                <w:rFonts w:ascii="Arial Narrow" w:eastAsia="Times New Roman" w:hAnsi="Arial Narrow" w:cs="Calibri"/>
                <w:color w:val="000000"/>
                <w:sz w:val="20"/>
                <w:szCs w:val="20"/>
                <w:lang w:eastAsia="es-CO"/>
              </w:rPr>
              <w:t>Diciembre</w:t>
            </w:r>
            <w:proofErr w:type="gramEnd"/>
            <w:r w:rsidRPr="00E258E3">
              <w:rPr>
                <w:rFonts w:ascii="Arial Narrow" w:eastAsia="Times New Roman" w:hAnsi="Arial Narrow" w:cs="Calibri"/>
                <w:color w:val="000000"/>
                <w:sz w:val="20"/>
                <w:szCs w:val="20"/>
                <w:lang w:eastAsia="es-CO"/>
              </w:rPr>
              <w:t xml:space="preserve"> del año </w:t>
            </w:r>
            <w:r w:rsidR="00E258E3" w:rsidRPr="00E258E3">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 xml:space="preserve"> el cual se compara con el periodo </w:t>
            </w:r>
            <w:r w:rsidR="00E258E3" w:rsidRPr="00E258E3">
              <w:rPr>
                <w:rFonts w:ascii="Arial Narrow" w:eastAsia="Times New Roman" w:hAnsi="Arial Narrow" w:cs="Calibri"/>
                <w:color w:val="000000"/>
                <w:sz w:val="20"/>
                <w:szCs w:val="20"/>
                <w:lang w:eastAsia="es-CO"/>
              </w:rPr>
              <w:t>2019</w:t>
            </w:r>
            <w:r w:rsidRPr="00E258E3">
              <w:rPr>
                <w:rFonts w:ascii="Arial Narrow" w:eastAsia="Times New Roman" w:hAnsi="Arial Narrow" w:cs="Calibri"/>
                <w:color w:val="000000"/>
                <w:sz w:val="20"/>
                <w:szCs w:val="20"/>
                <w:lang w:eastAsia="es-CO"/>
              </w:rPr>
              <w:t xml:space="preserve"> cortado con esa misma fecha. Adicionalmente la entidad debe cumplir instrucciones específicas señaladas por la Superintendencia de la Economía Solidaria (S.E.S.), en la Circular “Básica Jurídica” reformada en el año </w:t>
            </w:r>
            <w:r w:rsidR="00E258E3" w:rsidRPr="00E258E3">
              <w:rPr>
                <w:rFonts w:ascii="Arial Narrow" w:eastAsia="Times New Roman" w:hAnsi="Arial Narrow" w:cs="Calibri"/>
                <w:color w:val="000000"/>
                <w:sz w:val="20"/>
                <w:szCs w:val="20"/>
                <w:lang w:eastAsia="es-CO"/>
              </w:rPr>
              <w:t>2019</w:t>
            </w:r>
            <w:r w:rsidRPr="00E258E3">
              <w:rPr>
                <w:rFonts w:ascii="Arial Narrow" w:eastAsia="Times New Roman" w:hAnsi="Arial Narrow" w:cs="Calibri"/>
                <w:color w:val="000000"/>
                <w:sz w:val="20"/>
                <w:szCs w:val="20"/>
                <w:lang w:eastAsia="es-CO"/>
              </w:rPr>
              <w:t xml:space="preserve">, con el propósito de reunir las diferentes instrucciones en materia jurídica emitidas por la misma y que a la fecha se encuentran vigentes, para facilitar su consulta. </w:t>
            </w:r>
          </w:p>
          <w:p w14:paraId="70E7E9C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C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Las instrucciones incorporadas deberán observarse de manera complementaria con las establecidas en la Circular Básica Contable y Financiera. La citada norma empezó a regir a partir del 21 de octubre de 2008, e incorporó y sustituyó las resoluciones de carácter general y las circulares externas expedidas por esa entidad hasta esa fecha, las cuales por ende quedaron derogadas; En la medida en que se expidan nuevas normas, observó la S.E.S., se irán haciendo los ajustes del caso a la citada circular. </w:t>
            </w:r>
          </w:p>
          <w:p w14:paraId="70E7E9C2"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C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Así mismo señaló, que quedaron vigentes las circulares externas interpretativas, expedidas por la S.E.S., por considerar que son complementarias de la norma en mención y que pueden ser de gran utilidad para su mejor comprensión. </w:t>
            </w:r>
          </w:p>
          <w:p w14:paraId="70E7E9C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C5"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Las entidades supervisadas por la S.E.S., deben tener en cuenta en adelante dichas circulares básicas además de la legislación cooperativa y solidaria vigente, contenida, entre otras normas en las Leyes: 79 de 1988 y 454 de 1998. </w:t>
            </w:r>
          </w:p>
          <w:p w14:paraId="70E7E9C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C7" w14:textId="14C28175"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Catálogo de Cuentas: El Catálogo de Cuentas aplicado hasta diciembre 31 de </w:t>
            </w:r>
            <w:r w:rsidR="00E258E3" w:rsidRPr="00E258E3">
              <w:rPr>
                <w:rFonts w:ascii="Arial Narrow" w:eastAsia="Times New Roman" w:hAnsi="Arial Narrow" w:cs="Calibri"/>
                <w:color w:val="000000"/>
                <w:sz w:val="20"/>
                <w:szCs w:val="20"/>
                <w:lang w:eastAsia="es-CO"/>
              </w:rPr>
              <w:t>2019</w:t>
            </w:r>
            <w:r w:rsidRPr="00E258E3">
              <w:rPr>
                <w:rFonts w:ascii="Arial Narrow" w:eastAsia="Times New Roman" w:hAnsi="Arial Narrow" w:cs="Calibri"/>
                <w:color w:val="000000"/>
                <w:sz w:val="20"/>
                <w:szCs w:val="20"/>
                <w:lang w:eastAsia="es-CO"/>
              </w:rPr>
              <w:t xml:space="preserve">, se rigió por los parámetros establecidos en la resolución </w:t>
            </w:r>
            <w:proofErr w:type="spellStart"/>
            <w:r w:rsidRPr="00E258E3">
              <w:rPr>
                <w:rFonts w:ascii="Arial Narrow" w:eastAsia="Times New Roman" w:hAnsi="Arial Narrow" w:cs="Calibri"/>
                <w:color w:val="000000"/>
                <w:sz w:val="20"/>
                <w:szCs w:val="20"/>
                <w:lang w:eastAsia="es-CO"/>
              </w:rPr>
              <w:t>Nº</w:t>
            </w:r>
            <w:proofErr w:type="spellEnd"/>
            <w:r w:rsidRPr="00E258E3">
              <w:rPr>
                <w:rFonts w:ascii="Arial Narrow" w:eastAsia="Times New Roman" w:hAnsi="Arial Narrow" w:cs="Calibri"/>
                <w:color w:val="000000"/>
                <w:sz w:val="20"/>
                <w:szCs w:val="20"/>
                <w:lang w:eastAsia="es-CO"/>
              </w:rPr>
              <w:t xml:space="preserve"> 1515 de 2001 y 890 de 2004, por las cuales se expidió el Plan Único de Cuentas del sector Solidario vigilado por la Supersolidaria de Economía Solidaria.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La entidad ha continuado utilizando dicho catálogo de cuentas a partir del 01 de enero de </w:t>
            </w:r>
            <w:r w:rsidR="00E258E3" w:rsidRPr="00E258E3">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 adaptándolo a sus necesidades de reporte a los entes de control y además para propósitos de presentación y revelación adecuada acorde con la NIIF para PYMES. Los libros oficiales obligatorios de contabilidad debidamente registrados, han sido llevados aplicando los códigos numéricos y las denominaciones del Catálogo de cuentas ajustado.</w:t>
            </w:r>
          </w:p>
        </w:tc>
      </w:tr>
      <w:tr w:rsidR="000B7B01" w:rsidRPr="00E258E3" w14:paraId="70E7E9CC" w14:textId="77777777" w:rsidTr="00803A09">
        <w:trPr>
          <w:trHeight w:val="300"/>
        </w:trPr>
        <w:tc>
          <w:tcPr>
            <w:tcW w:w="562" w:type="dxa"/>
            <w:shd w:val="clear" w:color="auto" w:fill="auto"/>
            <w:noWrap/>
            <w:hideMark/>
          </w:tcPr>
          <w:p w14:paraId="70E7E9C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w:t>
            </w:r>
          </w:p>
        </w:tc>
        <w:tc>
          <w:tcPr>
            <w:tcW w:w="2835" w:type="dxa"/>
          </w:tcPr>
          <w:p w14:paraId="70E7E9CA" w14:textId="3228DD00" w:rsidR="000B7B01" w:rsidRPr="00E258E3" w:rsidRDefault="000B7B01" w:rsidP="00E258E3">
            <w:pPr>
              <w:spacing w:after="0" w:line="240" w:lineRule="auto"/>
              <w:ind w:firstLine="230"/>
              <w:rPr>
                <w:rFonts w:ascii="Arial Narrow" w:hAnsi="Arial Narrow" w:cs="Calibri"/>
                <w:color w:val="000000"/>
                <w:sz w:val="20"/>
                <w:szCs w:val="20"/>
              </w:rPr>
            </w:pPr>
            <w:r w:rsidRPr="00E258E3">
              <w:rPr>
                <w:rFonts w:ascii="Arial Narrow" w:hAnsi="Arial Narrow" w:cs="Calibri"/>
                <w:color w:val="000000"/>
                <w:sz w:val="20"/>
                <w:szCs w:val="20"/>
              </w:rPr>
              <w:t>Sede de la entidad</w:t>
            </w:r>
          </w:p>
        </w:tc>
        <w:tc>
          <w:tcPr>
            <w:tcW w:w="7655" w:type="dxa"/>
            <w:shd w:val="clear" w:color="auto" w:fill="auto"/>
            <w:noWrap/>
            <w:hideMark/>
          </w:tcPr>
          <w:p w14:paraId="70E7E9CB"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Calle 13 </w:t>
            </w:r>
            <w:proofErr w:type="spellStart"/>
            <w:r w:rsidRPr="00E258E3">
              <w:rPr>
                <w:rFonts w:ascii="Arial Narrow" w:eastAsia="Times New Roman" w:hAnsi="Arial Narrow" w:cs="Calibri"/>
                <w:color w:val="000000"/>
                <w:sz w:val="20"/>
                <w:szCs w:val="20"/>
                <w:lang w:eastAsia="es-CO"/>
              </w:rPr>
              <w:t>N°</w:t>
            </w:r>
            <w:proofErr w:type="spellEnd"/>
            <w:r w:rsidRPr="00E258E3">
              <w:rPr>
                <w:rFonts w:ascii="Arial Narrow" w:eastAsia="Times New Roman" w:hAnsi="Arial Narrow" w:cs="Calibri"/>
                <w:color w:val="000000"/>
                <w:sz w:val="20"/>
                <w:szCs w:val="20"/>
                <w:lang w:eastAsia="es-CO"/>
              </w:rPr>
              <w:t xml:space="preserve"> 5-23 Local 105</w:t>
            </w:r>
          </w:p>
        </w:tc>
      </w:tr>
      <w:tr w:rsidR="000B7B01" w:rsidRPr="00E258E3" w14:paraId="70E7E9D0" w14:textId="77777777" w:rsidTr="00803A09">
        <w:trPr>
          <w:trHeight w:val="300"/>
        </w:trPr>
        <w:tc>
          <w:tcPr>
            <w:tcW w:w="562" w:type="dxa"/>
            <w:shd w:val="clear" w:color="auto" w:fill="auto"/>
            <w:noWrap/>
            <w:hideMark/>
          </w:tcPr>
          <w:p w14:paraId="70E7E9C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C13</w:t>
            </w:r>
          </w:p>
        </w:tc>
        <w:tc>
          <w:tcPr>
            <w:tcW w:w="2835" w:type="dxa"/>
          </w:tcPr>
          <w:p w14:paraId="70E7E9C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Forma legal de la entidad</w:t>
            </w:r>
          </w:p>
        </w:tc>
        <w:tc>
          <w:tcPr>
            <w:tcW w:w="7655" w:type="dxa"/>
            <w:shd w:val="clear" w:color="auto" w:fill="auto"/>
            <w:noWrap/>
            <w:hideMark/>
          </w:tcPr>
          <w:p w14:paraId="70E7E9C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COOPERATIVA DE AHORRO Y CREDITO</w:t>
            </w:r>
          </w:p>
        </w:tc>
      </w:tr>
      <w:tr w:rsidR="000B7B01" w:rsidRPr="00E258E3" w14:paraId="70E7E9D4" w14:textId="77777777" w:rsidTr="00803A09">
        <w:trPr>
          <w:trHeight w:val="300"/>
        </w:trPr>
        <w:tc>
          <w:tcPr>
            <w:tcW w:w="562" w:type="dxa"/>
            <w:shd w:val="clear" w:color="auto" w:fill="auto"/>
            <w:noWrap/>
            <w:hideMark/>
          </w:tcPr>
          <w:p w14:paraId="70E7E9D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C14</w:t>
            </w:r>
          </w:p>
        </w:tc>
        <w:tc>
          <w:tcPr>
            <w:tcW w:w="2835" w:type="dxa"/>
          </w:tcPr>
          <w:p w14:paraId="70E7E9D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Domicilio principal donde desarrolla sus actividades</w:t>
            </w:r>
          </w:p>
        </w:tc>
        <w:tc>
          <w:tcPr>
            <w:tcW w:w="7655" w:type="dxa"/>
            <w:shd w:val="clear" w:color="auto" w:fill="auto"/>
            <w:noWrap/>
            <w:hideMark/>
          </w:tcPr>
          <w:p w14:paraId="70E7E9D3" w14:textId="39D14565"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E258E3" w:rsidRPr="00E258E3">
              <w:rPr>
                <w:rFonts w:ascii="Arial Narrow" w:eastAsia="Times New Roman" w:hAnsi="Arial Narrow" w:cs="Calibri"/>
                <w:color w:val="000000"/>
                <w:sz w:val="20"/>
                <w:szCs w:val="20"/>
                <w:lang w:eastAsia="es-CO"/>
              </w:rPr>
              <w:t>CALI</w:t>
            </w:r>
          </w:p>
        </w:tc>
      </w:tr>
      <w:tr w:rsidR="000B7B01" w:rsidRPr="00E258E3" w14:paraId="70E7E9E8" w14:textId="77777777" w:rsidTr="00803A09">
        <w:trPr>
          <w:trHeight w:val="300"/>
        </w:trPr>
        <w:tc>
          <w:tcPr>
            <w:tcW w:w="562" w:type="dxa"/>
            <w:shd w:val="clear" w:color="auto" w:fill="auto"/>
            <w:noWrap/>
            <w:hideMark/>
          </w:tcPr>
          <w:p w14:paraId="70E7E9D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C15</w:t>
            </w:r>
          </w:p>
        </w:tc>
        <w:tc>
          <w:tcPr>
            <w:tcW w:w="2835" w:type="dxa"/>
          </w:tcPr>
          <w:p w14:paraId="70E7E9D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las operaciones de la entidad y actividades principales</w:t>
            </w:r>
          </w:p>
        </w:tc>
        <w:tc>
          <w:tcPr>
            <w:tcW w:w="7655" w:type="dxa"/>
            <w:shd w:val="clear" w:color="auto" w:fill="auto"/>
            <w:noWrap/>
            <w:hideMark/>
          </w:tcPr>
          <w:p w14:paraId="70E7E9D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Todo asociado debe aportar mensualmente como mínimo el 5% de un SMLMV y aquellos que tengan aportes sociales acumulados superiores a 20 SMLMV, podrán disminuirlo al 1%. Los aportes sociales solo se reintegran al momento del retiro del asociado, previa compensación de obligaciones a su cargo </w:t>
            </w:r>
            <w:r w:rsidRPr="00E258E3">
              <w:rPr>
                <w:rFonts w:ascii="Arial Narrow" w:eastAsia="Times New Roman" w:hAnsi="Arial Narrow" w:cs="Calibri"/>
                <w:color w:val="000000"/>
                <w:sz w:val="20"/>
                <w:szCs w:val="20"/>
                <w:lang w:eastAsia="es-CO"/>
              </w:rPr>
              <w:lastRenderedPageBreak/>
              <w:t xml:space="preserve">y descuento proporcional de sus aportes de las pérdidas acumuladas que no alcancen a ser cubiertas con la reserva para protección de aportes. </w:t>
            </w:r>
          </w:p>
          <w:p w14:paraId="70E7E9D8"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D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Adicionalmente capta ahorros en las modalidades de ahorro a la vista, Certificados de Ahorro a Término - CDAT y ahorro contractual (programado). Las tasas las define el Consejo de Administración y se modifican periódicamente acorde con las condiciones del mercado. </w:t>
            </w:r>
          </w:p>
          <w:p w14:paraId="70E7E9DA"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DB"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La entidad además suscribe convenios con proveedores de bienes y servicios en beneficio de sus asociados actuando como financiador o recaudador de los mismos. </w:t>
            </w:r>
          </w:p>
          <w:p w14:paraId="70E7E9DC"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D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De los ahorros captados debe constituir un fondo de liquidez equivalente al 10% de las captaciones (sobre los aportes NO), representado en depósitos a la vista o inversiones de alta seguridad y liquidez en el sector financiero y que solo puede utilizarse para retiros masivos o inesperados de depósitos. </w:t>
            </w:r>
          </w:p>
          <w:p w14:paraId="70E7E9D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D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Los recursos disponibles se utilizan para colocar créditos a los asociados en la modalidad de consumo y microcrédito a través de diferentes líneas que son reglamentadas por el Consejo de Administración quien periódicamente las ajusta a las condiciones del mercado en materia de tasas y plazos. </w:t>
            </w:r>
          </w:p>
          <w:p w14:paraId="70E7E9E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E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Eventualmente la entidad puede requerir capital de trabajo adicional a través de apalancamiento externo con obligaciones financieras. </w:t>
            </w:r>
          </w:p>
          <w:p w14:paraId="70E7E9E2"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E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De los excedentes obtenidos (resultado neto) se constituye una reserva legal del 20% y se destina mínimo el 20% para el Fondo de Educación y el 10% para el Fondo de Solidaridad. </w:t>
            </w:r>
          </w:p>
          <w:p w14:paraId="70E7E9E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E5"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El remanente puede destinarse en todo o en parte para para revalorizar los aportes (restituir la pérdida de poder adquisitivo) o efectuar retornos a los asociados en proporción al uso de sus servicios, sin perjuicio de que también puedan destinarse sus excedentes para alimentar fondos sociales agotables que beneficien a los asociados, sus familias y la comunidad en todos los campos del bienestar o constituir fondos y reservas patrimoniales permanentes. </w:t>
            </w:r>
          </w:p>
          <w:p w14:paraId="70E7E9E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E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Pertenece al régimen tributario especial (Artículo 19 numeral 4 del Estatuto Tributario) por ende para ser exenta del pago del impuesto de renta debe distribuir sus excedentes como lo establece la normatividad cooperativa y destinar el 20% del excedente, tomado de los Fondos de Educación y Solidaridad para invertir en educación formal conforme a las instrucciones del decreto 2880 de 2004. No es responsable del impuesto a la equidad – CREE pero debe pagar las contribuciones parafiscales a la nómina de ICBF, SENA, CAJA DE COMPENSACION. No está sujeta al régimen de renta presuntiva. A nivel municipal es contribuyente del impuesto de industria y comercio liquidado sobre los ingresos. No vende servicios o bienes gravados con el impuesto al valor agregado y por ende no está en obligación de facturar sus ingresos y el IVA pagado en la adquisición de bienes y servicios es un mayor valor de costo o del gasto. Constitución: Constituida el 3 de julio de 1966 y protocolizada en la Notaria 2ª Principal de Cúcuta por medio de la Escritura Pública </w:t>
            </w:r>
            <w:proofErr w:type="spellStart"/>
            <w:r w:rsidRPr="00E258E3">
              <w:rPr>
                <w:rFonts w:ascii="Arial Narrow" w:eastAsia="Times New Roman" w:hAnsi="Arial Narrow" w:cs="Calibri"/>
                <w:color w:val="000000"/>
                <w:sz w:val="20"/>
                <w:szCs w:val="20"/>
                <w:lang w:eastAsia="es-CO"/>
              </w:rPr>
              <w:t>Nº</w:t>
            </w:r>
            <w:proofErr w:type="spellEnd"/>
            <w:r w:rsidRPr="00E258E3">
              <w:rPr>
                <w:rFonts w:ascii="Arial Narrow" w:eastAsia="Times New Roman" w:hAnsi="Arial Narrow" w:cs="Calibri"/>
                <w:color w:val="000000"/>
                <w:sz w:val="20"/>
                <w:szCs w:val="20"/>
                <w:lang w:eastAsia="es-CO"/>
              </w:rPr>
              <w:t xml:space="preserve"> 0048 de enero 24 de 1967, expedida por la Superintendencia Nacional de Cooperativas. La administración de la Cooperativa se encuentra a cargo de la Asamblea General, el Consejo de Administración y la Gerente. La vigilancia es ejercida por la Junta de Vigilancia y la Revisora Fiscal.</w:t>
            </w:r>
            <w:r w:rsidRPr="00E258E3">
              <w:rPr>
                <w:rFonts w:ascii="Arial Narrow" w:eastAsia="Times New Roman" w:hAnsi="Arial Narrow" w:cs="Calibri"/>
                <w:color w:val="000000"/>
                <w:sz w:val="20"/>
                <w:szCs w:val="20"/>
                <w:lang w:eastAsia="es-CO"/>
              </w:rPr>
              <w:tab/>
              <w:t xml:space="preserve">La Asamblea General es el órgano máximo de administración de la Cooperativa y sus decisiones y Acuerdos son obligatorios para todos los asociados, siempre que se hayan adoptado de conformidad con la Ley y los Estatutos; La constituye la reunión de los asociados hábiles o de los </w:t>
            </w:r>
            <w:proofErr w:type="gramStart"/>
            <w:r w:rsidRPr="00E258E3">
              <w:rPr>
                <w:rFonts w:ascii="Arial Narrow" w:eastAsia="Times New Roman" w:hAnsi="Arial Narrow" w:cs="Calibri"/>
                <w:color w:val="000000"/>
                <w:sz w:val="20"/>
                <w:szCs w:val="20"/>
                <w:lang w:eastAsia="es-CO"/>
              </w:rPr>
              <w:t>Delegados</w:t>
            </w:r>
            <w:proofErr w:type="gramEnd"/>
            <w:r w:rsidRPr="00E258E3">
              <w:rPr>
                <w:rFonts w:ascii="Arial Narrow" w:eastAsia="Times New Roman" w:hAnsi="Arial Narrow" w:cs="Calibri"/>
                <w:color w:val="000000"/>
                <w:sz w:val="20"/>
                <w:szCs w:val="20"/>
                <w:lang w:eastAsia="es-CO"/>
              </w:rPr>
              <w:t xml:space="preserve"> elegidos por éstos. La Cooperativa es vigilada por la SUPERSOLIDARIA y cuenta con el seguro de depósito del FOGACOOP</w:t>
            </w:r>
          </w:p>
        </w:tc>
      </w:tr>
      <w:tr w:rsidR="000B7B01" w:rsidRPr="00E258E3" w14:paraId="70E7E9EC" w14:textId="77777777" w:rsidTr="00803A09">
        <w:trPr>
          <w:trHeight w:val="300"/>
        </w:trPr>
        <w:tc>
          <w:tcPr>
            <w:tcW w:w="562" w:type="dxa"/>
            <w:shd w:val="clear" w:color="auto" w:fill="auto"/>
            <w:noWrap/>
            <w:hideMark/>
          </w:tcPr>
          <w:p w14:paraId="70E7E9E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C16</w:t>
            </w:r>
          </w:p>
        </w:tc>
        <w:tc>
          <w:tcPr>
            <w:tcW w:w="2835" w:type="dxa"/>
          </w:tcPr>
          <w:p w14:paraId="70E7E9E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Nombre de la entidad controladora</w:t>
            </w:r>
          </w:p>
        </w:tc>
        <w:tc>
          <w:tcPr>
            <w:tcW w:w="7655" w:type="dxa"/>
            <w:shd w:val="clear" w:color="auto" w:fill="auto"/>
            <w:noWrap/>
            <w:hideMark/>
          </w:tcPr>
          <w:p w14:paraId="70E7E9EB" w14:textId="4FC5203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9F0" w14:textId="77777777" w:rsidTr="00803A09">
        <w:trPr>
          <w:trHeight w:val="300"/>
        </w:trPr>
        <w:tc>
          <w:tcPr>
            <w:tcW w:w="562" w:type="dxa"/>
            <w:shd w:val="clear" w:color="auto" w:fill="auto"/>
            <w:noWrap/>
            <w:hideMark/>
          </w:tcPr>
          <w:p w14:paraId="70E7E9E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C17</w:t>
            </w:r>
          </w:p>
        </w:tc>
        <w:tc>
          <w:tcPr>
            <w:tcW w:w="2835" w:type="dxa"/>
          </w:tcPr>
          <w:p w14:paraId="70E7E9E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Nombre de la controladora última del grupo</w:t>
            </w:r>
          </w:p>
        </w:tc>
        <w:tc>
          <w:tcPr>
            <w:tcW w:w="7655" w:type="dxa"/>
            <w:shd w:val="clear" w:color="auto" w:fill="auto"/>
            <w:noWrap/>
            <w:hideMark/>
          </w:tcPr>
          <w:p w14:paraId="70E7E9EF" w14:textId="1B44606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9F4" w14:textId="77777777" w:rsidTr="00803A09">
        <w:trPr>
          <w:trHeight w:val="300"/>
        </w:trPr>
        <w:tc>
          <w:tcPr>
            <w:tcW w:w="562" w:type="dxa"/>
            <w:shd w:val="clear" w:color="auto" w:fill="auto"/>
            <w:noWrap/>
            <w:hideMark/>
          </w:tcPr>
          <w:p w14:paraId="70E7E9F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C18</w:t>
            </w:r>
          </w:p>
        </w:tc>
        <w:tc>
          <w:tcPr>
            <w:tcW w:w="2835" w:type="dxa"/>
          </w:tcPr>
          <w:p w14:paraId="70E7E9F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Duración de la vida de entidades de vida limitada </w:t>
            </w:r>
          </w:p>
        </w:tc>
        <w:tc>
          <w:tcPr>
            <w:tcW w:w="7655" w:type="dxa"/>
            <w:shd w:val="clear" w:color="auto" w:fill="auto"/>
            <w:noWrap/>
            <w:hideMark/>
          </w:tcPr>
          <w:p w14:paraId="70E7E9F3" w14:textId="06E577B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9F8" w14:textId="77777777" w:rsidTr="00803A09">
        <w:trPr>
          <w:trHeight w:val="300"/>
        </w:trPr>
        <w:tc>
          <w:tcPr>
            <w:tcW w:w="562" w:type="dxa"/>
            <w:shd w:val="clear" w:color="auto" w:fill="auto"/>
            <w:noWrap/>
            <w:hideMark/>
          </w:tcPr>
          <w:p w14:paraId="70E7E9F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C19</w:t>
            </w:r>
          </w:p>
        </w:tc>
        <w:tc>
          <w:tcPr>
            <w:tcW w:w="2835" w:type="dxa"/>
          </w:tcPr>
          <w:p w14:paraId="70E7E9F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Declaración de cumplimiento con las NIF</w:t>
            </w:r>
          </w:p>
        </w:tc>
        <w:tc>
          <w:tcPr>
            <w:tcW w:w="7655" w:type="dxa"/>
            <w:shd w:val="clear" w:color="auto" w:fill="auto"/>
            <w:noWrap/>
            <w:hideMark/>
          </w:tcPr>
          <w:p w14:paraId="70E7E9F7" w14:textId="1AC0FA5F"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Estos estados financieros individuales se han elaborado de acuerdo con la Norma Internacional de Información Financiera para Pequeñas y Medianas Entidades (NIIF para las PYMES) emitida por el Consejo de Normas Internacionales de Contabilidad (IASB) </w:t>
            </w:r>
            <w:proofErr w:type="spellStart"/>
            <w:r w:rsidRPr="00E258E3">
              <w:rPr>
                <w:rFonts w:ascii="Arial Narrow" w:eastAsia="Times New Roman" w:hAnsi="Arial Narrow" w:cs="Calibri"/>
                <w:color w:val="000000"/>
                <w:sz w:val="20"/>
                <w:szCs w:val="20"/>
                <w:lang w:eastAsia="es-CO"/>
              </w:rPr>
              <w:t>version</w:t>
            </w:r>
            <w:proofErr w:type="spellEnd"/>
            <w:r w:rsidRPr="00E258E3">
              <w:rPr>
                <w:rFonts w:ascii="Arial Narrow" w:eastAsia="Times New Roman" w:hAnsi="Arial Narrow" w:cs="Calibri"/>
                <w:color w:val="000000"/>
                <w:sz w:val="20"/>
                <w:szCs w:val="20"/>
                <w:lang w:eastAsia="es-CO"/>
              </w:rPr>
              <w:t xml:space="preserve"> 2009 y modificaciones </w:t>
            </w:r>
            <w:r w:rsidR="00E258E3" w:rsidRPr="00E258E3">
              <w:rPr>
                <w:rFonts w:ascii="Arial Narrow" w:eastAsia="Times New Roman" w:hAnsi="Arial Narrow" w:cs="Calibri"/>
                <w:color w:val="000000"/>
                <w:sz w:val="20"/>
                <w:szCs w:val="20"/>
                <w:lang w:eastAsia="es-CO"/>
              </w:rPr>
              <w:t>2019</w:t>
            </w:r>
            <w:r w:rsidRPr="00E258E3">
              <w:rPr>
                <w:rFonts w:ascii="Arial Narrow" w:eastAsia="Times New Roman" w:hAnsi="Arial Narrow" w:cs="Calibri"/>
                <w:color w:val="000000"/>
                <w:sz w:val="20"/>
                <w:szCs w:val="20"/>
                <w:lang w:eastAsia="es-CO"/>
              </w:rPr>
              <w:t xml:space="preserve"> contenidas en el </w:t>
            </w:r>
            <w:r w:rsidR="00E258E3" w:rsidRPr="00E258E3">
              <w:rPr>
                <w:rFonts w:ascii="Arial Narrow" w:eastAsia="Times New Roman" w:hAnsi="Arial Narrow" w:cs="Calibri"/>
                <w:color w:val="000000"/>
                <w:sz w:val="20"/>
                <w:szCs w:val="20"/>
                <w:lang w:eastAsia="es-CO"/>
              </w:rPr>
              <w:t>anexo 2 del decreto 2420 y 2.1 del decreto 2496 ambos de diciembre de 2015</w:t>
            </w:r>
            <w:r w:rsidRPr="00E258E3">
              <w:rPr>
                <w:rFonts w:ascii="Arial Narrow" w:eastAsia="Times New Roman" w:hAnsi="Arial Narrow" w:cs="Calibri"/>
                <w:color w:val="000000"/>
                <w:sz w:val="20"/>
                <w:szCs w:val="20"/>
                <w:lang w:eastAsia="es-CO"/>
              </w:rPr>
              <w:t>.</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 Ello incluye la salvedad para aplicar las NIIF sobre Cartera de Crédito y Aportes contenida en el </w:t>
            </w:r>
            <w:r w:rsidR="00E258E3" w:rsidRPr="00E258E3">
              <w:rPr>
                <w:rFonts w:ascii="Arial Narrow" w:eastAsia="Times New Roman" w:hAnsi="Arial Narrow" w:cs="Calibri"/>
                <w:color w:val="000000"/>
                <w:sz w:val="20"/>
                <w:szCs w:val="20"/>
                <w:lang w:eastAsia="es-CO"/>
              </w:rPr>
              <w:t>artículo</w:t>
            </w:r>
            <w:r w:rsidRPr="00E258E3">
              <w:rPr>
                <w:rFonts w:ascii="Arial Narrow" w:eastAsia="Times New Roman" w:hAnsi="Arial Narrow" w:cs="Calibri"/>
                <w:color w:val="000000"/>
                <w:sz w:val="20"/>
                <w:szCs w:val="20"/>
                <w:lang w:eastAsia="es-CO"/>
              </w:rPr>
              <w:t xml:space="preserve"> 3 del </w:t>
            </w:r>
            <w:r w:rsidR="00E258E3" w:rsidRPr="00E258E3">
              <w:rPr>
                <w:rFonts w:ascii="Arial Narrow" w:eastAsia="Times New Roman" w:hAnsi="Arial Narrow" w:cs="Calibri"/>
                <w:color w:val="000000"/>
                <w:sz w:val="20"/>
                <w:szCs w:val="20"/>
                <w:lang w:eastAsia="es-CO"/>
              </w:rPr>
              <w:t>decreto 2496 de diciembre de 2015</w:t>
            </w:r>
            <w:r w:rsidRPr="00E258E3">
              <w:rPr>
                <w:rFonts w:ascii="Arial Narrow" w:eastAsia="Times New Roman" w:hAnsi="Arial Narrow" w:cs="Calibri"/>
                <w:color w:val="000000"/>
                <w:sz w:val="20"/>
                <w:szCs w:val="20"/>
                <w:lang w:eastAsia="es-CO"/>
              </w:rPr>
              <w:t>.</w:t>
            </w:r>
          </w:p>
        </w:tc>
      </w:tr>
      <w:tr w:rsidR="000B7B01" w:rsidRPr="00E258E3" w14:paraId="70E7E9FC" w14:textId="77777777" w:rsidTr="00803A09">
        <w:trPr>
          <w:trHeight w:val="300"/>
        </w:trPr>
        <w:tc>
          <w:tcPr>
            <w:tcW w:w="562" w:type="dxa"/>
            <w:shd w:val="clear" w:color="auto" w:fill="auto"/>
            <w:noWrap/>
            <w:hideMark/>
          </w:tcPr>
          <w:p w14:paraId="70E7E9F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C20</w:t>
            </w:r>
          </w:p>
        </w:tc>
        <w:tc>
          <w:tcPr>
            <w:tcW w:w="2835" w:type="dxa"/>
          </w:tcPr>
          <w:p w14:paraId="70E7E9F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Conclusión de la gerencia sobre la presentación razonable como consecuencia de la falta de aplicación </w:t>
            </w:r>
          </w:p>
        </w:tc>
        <w:tc>
          <w:tcPr>
            <w:tcW w:w="7655" w:type="dxa"/>
            <w:shd w:val="clear" w:color="auto" w:fill="auto"/>
            <w:noWrap/>
            <w:hideMark/>
          </w:tcPr>
          <w:p w14:paraId="70E7E9FB" w14:textId="0C3704B5"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Los estados financieros presentados reflejan razonablemente la situación financiera de la entidad a pesar de la salvedad existente en el </w:t>
            </w:r>
            <w:r w:rsidR="00E258E3" w:rsidRPr="00E258E3">
              <w:rPr>
                <w:rFonts w:ascii="Arial Narrow" w:eastAsia="Times New Roman" w:hAnsi="Arial Narrow" w:cs="Calibri"/>
                <w:color w:val="000000"/>
                <w:sz w:val="20"/>
                <w:szCs w:val="20"/>
                <w:lang w:eastAsia="es-CO"/>
              </w:rPr>
              <w:t xml:space="preserve">artículo </w:t>
            </w:r>
            <w:r w:rsidRPr="00E258E3">
              <w:rPr>
                <w:rFonts w:ascii="Arial Narrow" w:eastAsia="Times New Roman" w:hAnsi="Arial Narrow" w:cs="Calibri"/>
                <w:color w:val="000000"/>
                <w:sz w:val="20"/>
                <w:szCs w:val="20"/>
                <w:lang w:eastAsia="es-CO"/>
              </w:rPr>
              <w:t xml:space="preserve">del </w:t>
            </w:r>
            <w:r w:rsidR="00E258E3" w:rsidRPr="00E258E3">
              <w:rPr>
                <w:rFonts w:ascii="Arial Narrow" w:eastAsia="Times New Roman" w:hAnsi="Arial Narrow" w:cs="Calibri"/>
                <w:color w:val="000000"/>
                <w:sz w:val="20"/>
                <w:szCs w:val="20"/>
                <w:lang w:eastAsia="es-CO"/>
              </w:rPr>
              <w:t>decreto 2496 de diciembre de 2015</w:t>
            </w:r>
            <w:r w:rsidRPr="00E258E3">
              <w:rPr>
                <w:rFonts w:ascii="Arial Narrow" w:eastAsia="Times New Roman" w:hAnsi="Arial Narrow" w:cs="Calibri"/>
                <w:color w:val="000000"/>
                <w:sz w:val="20"/>
                <w:szCs w:val="20"/>
                <w:lang w:eastAsia="es-CO"/>
              </w:rPr>
              <w:t xml:space="preserve"> para la aplicación de las NIIF sobre la </w:t>
            </w:r>
            <w:r w:rsidR="00E258E3" w:rsidRPr="00E258E3">
              <w:rPr>
                <w:rFonts w:ascii="Arial Narrow" w:eastAsia="Times New Roman" w:hAnsi="Arial Narrow" w:cs="Calibri"/>
                <w:color w:val="000000"/>
                <w:sz w:val="20"/>
                <w:szCs w:val="20"/>
                <w:lang w:eastAsia="es-CO"/>
              </w:rPr>
              <w:t>medición</w:t>
            </w:r>
            <w:r w:rsidRPr="00E258E3">
              <w:rPr>
                <w:rFonts w:ascii="Arial Narrow" w:eastAsia="Times New Roman" w:hAnsi="Arial Narrow" w:cs="Calibri"/>
                <w:color w:val="000000"/>
                <w:sz w:val="20"/>
                <w:szCs w:val="20"/>
                <w:lang w:eastAsia="es-CO"/>
              </w:rPr>
              <w:t xml:space="preserve"> del </w:t>
            </w:r>
            <w:r w:rsidR="00E258E3" w:rsidRPr="00E258E3">
              <w:rPr>
                <w:rFonts w:ascii="Arial Narrow" w:eastAsia="Times New Roman" w:hAnsi="Arial Narrow" w:cs="Calibri"/>
                <w:color w:val="000000"/>
                <w:sz w:val="20"/>
                <w:szCs w:val="20"/>
                <w:lang w:eastAsia="es-CO"/>
              </w:rPr>
              <w:t>deterioro</w:t>
            </w:r>
            <w:r w:rsidRPr="00E258E3">
              <w:rPr>
                <w:rFonts w:ascii="Arial Narrow" w:eastAsia="Times New Roman" w:hAnsi="Arial Narrow" w:cs="Calibri"/>
                <w:color w:val="000000"/>
                <w:sz w:val="20"/>
                <w:szCs w:val="20"/>
                <w:lang w:eastAsia="es-CO"/>
              </w:rPr>
              <w:t xml:space="preserve"> de la Cartera y el traslado de los aportes sociales al pasivo.</w:t>
            </w:r>
          </w:p>
        </w:tc>
      </w:tr>
      <w:tr w:rsidR="000B7B01" w:rsidRPr="00E258E3" w14:paraId="70E7EA00" w14:textId="77777777" w:rsidTr="00803A09">
        <w:trPr>
          <w:trHeight w:val="300"/>
        </w:trPr>
        <w:tc>
          <w:tcPr>
            <w:tcW w:w="562" w:type="dxa"/>
            <w:shd w:val="clear" w:color="auto" w:fill="auto"/>
            <w:noWrap/>
            <w:hideMark/>
          </w:tcPr>
          <w:p w14:paraId="70E7E9F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C21</w:t>
            </w:r>
          </w:p>
        </w:tc>
        <w:tc>
          <w:tcPr>
            <w:tcW w:w="2835" w:type="dxa"/>
          </w:tcPr>
          <w:p w14:paraId="70E7E9F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faltas de aplicación de las NIF</w:t>
            </w:r>
          </w:p>
        </w:tc>
        <w:tc>
          <w:tcPr>
            <w:tcW w:w="7655" w:type="dxa"/>
            <w:shd w:val="clear" w:color="auto" w:fill="auto"/>
            <w:noWrap/>
            <w:hideMark/>
          </w:tcPr>
          <w:p w14:paraId="70E7E9FF" w14:textId="73BF964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La medición del deterioro de la cartera de crédito se efectúa conforme a las instrucciones de la circular básica contable capitulo II numeral 6 emanada de la Superintendencia de la Economía Solidaria lo cual implica que no se aplica pérdida por deterioro ni se aplican tasas de referencia para la medición de la cartera y el deterioro obedece a un porcentaje señalado por la Superintendencia de acuerdo con la altura de mora más un porcentaje fijo de deterioro general sobre la cartera bruta. Los aportes sociales con derecho a rescate y sin derecho a rescate (</w:t>
            </w:r>
            <w:r w:rsidR="00E258E3" w:rsidRPr="00E258E3">
              <w:rPr>
                <w:rFonts w:ascii="Arial Narrow" w:eastAsia="Times New Roman" w:hAnsi="Arial Narrow" w:cs="Calibri"/>
                <w:color w:val="000000"/>
                <w:sz w:val="20"/>
                <w:szCs w:val="20"/>
                <w:lang w:eastAsia="es-CO"/>
              </w:rPr>
              <w:t>mínimo</w:t>
            </w:r>
            <w:r w:rsidRPr="00E258E3">
              <w:rPr>
                <w:rFonts w:ascii="Arial Narrow" w:eastAsia="Times New Roman" w:hAnsi="Arial Narrow" w:cs="Calibri"/>
                <w:color w:val="000000"/>
                <w:sz w:val="20"/>
                <w:szCs w:val="20"/>
                <w:lang w:eastAsia="es-CO"/>
              </w:rPr>
              <w:t xml:space="preserve"> irreducible) se presentan ambos en el patrimonio.</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Actualmente Existe controversia con el CTCP que considera los Fondos Sociales deben tratarse como patrimonio, solicitud que ha sido efectuada a la Supersolidaria y sobre la que no hay respuesta </w:t>
            </w:r>
            <w:proofErr w:type="gramStart"/>
            <w:r w:rsidRPr="00E258E3">
              <w:rPr>
                <w:rFonts w:ascii="Arial Narrow" w:eastAsia="Times New Roman" w:hAnsi="Arial Narrow" w:cs="Calibri"/>
                <w:color w:val="000000"/>
                <w:sz w:val="20"/>
                <w:szCs w:val="20"/>
                <w:lang w:eastAsia="es-CO"/>
              </w:rPr>
              <w:t>aun</w:t>
            </w:r>
            <w:proofErr w:type="gramEnd"/>
            <w:r w:rsidRPr="00E258E3">
              <w:rPr>
                <w:rFonts w:ascii="Arial Narrow" w:eastAsia="Times New Roman" w:hAnsi="Arial Narrow" w:cs="Calibri"/>
                <w:color w:val="000000"/>
                <w:sz w:val="20"/>
                <w:szCs w:val="20"/>
                <w:lang w:eastAsia="es-CO"/>
              </w:rPr>
              <w:t>.</w:t>
            </w:r>
          </w:p>
        </w:tc>
      </w:tr>
      <w:tr w:rsidR="000B7B01" w:rsidRPr="00E258E3" w14:paraId="70E7EA05" w14:textId="77777777" w:rsidTr="00803A09">
        <w:trPr>
          <w:trHeight w:val="300"/>
        </w:trPr>
        <w:tc>
          <w:tcPr>
            <w:tcW w:w="562" w:type="dxa"/>
            <w:shd w:val="clear" w:color="auto" w:fill="auto"/>
            <w:noWrap/>
            <w:hideMark/>
          </w:tcPr>
          <w:p w14:paraId="70E7EA0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C22</w:t>
            </w:r>
          </w:p>
        </w:tc>
        <w:tc>
          <w:tcPr>
            <w:tcW w:w="2835" w:type="dxa"/>
          </w:tcPr>
          <w:p w14:paraId="70E7EA0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del efecto financiero de faltas de aplicación de las NIF </w:t>
            </w:r>
          </w:p>
        </w:tc>
        <w:tc>
          <w:tcPr>
            <w:tcW w:w="7655" w:type="dxa"/>
            <w:shd w:val="clear" w:color="auto" w:fill="auto"/>
            <w:noWrap/>
            <w:hideMark/>
          </w:tcPr>
          <w:p w14:paraId="70E7EA03" w14:textId="6F110D8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Si se aplicaran las NIIF en la cartera sería necesario revertir la provisión general de cartera incrementando el patrimonio.</w:t>
            </w:r>
          </w:p>
          <w:p w14:paraId="70E7EA04" w14:textId="7BEF85C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Tambien sería necesario reclasificar del patrimonio al pasivo el aporte social con derecho a rescate y los Fondos Sociales al patrimonio.</w:t>
            </w:r>
          </w:p>
        </w:tc>
      </w:tr>
      <w:tr w:rsidR="000B7B01" w:rsidRPr="00E258E3" w14:paraId="70E7EA09" w14:textId="77777777" w:rsidTr="00803A09">
        <w:trPr>
          <w:trHeight w:val="300"/>
        </w:trPr>
        <w:tc>
          <w:tcPr>
            <w:tcW w:w="562" w:type="dxa"/>
            <w:shd w:val="clear" w:color="auto" w:fill="auto"/>
            <w:noWrap/>
            <w:hideMark/>
          </w:tcPr>
          <w:p w14:paraId="70E7EA0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C23</w:t>
            </w:r>
          </w:p>
        </w:tc>
        <w:tc>
          <w:tcPr>
            <w:tcW w:w="2835" w:type="dxa"/>
          </w:tcPr>
          <w:p w14:paraId="70E7EA0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 naturaleza del requerimiento de las NIF y conclusiones sobre la razón por la que dicho requerimiento está en conflicto con algún objetivo de los estados financieros establecido en el Marco Conceptual</w:t>
            </w:r>
          </w:p>
        </w:tc>
        <w:tc>
          <w:tcPr>
            <w:tcW w:w="7655" w:type="dxa"/>
            <w:shd w:val="clear" w:color="auto" w:fill="auto"/>
            <w:noWrap/>
            <w:hideMark/>
          </w:tcPr>
          <w:p w14:paraId="70E7EA08" w14:textId="0FADF242"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0D" w14:textId="77777777" w:rsidTr="00803A09">
        <w:trPr>
          <w:trHeight w:val="300"/>
        </w:trPr>
        <w:tc>
          <w:tcPr>
            <w:tcW w:w="562" w:type="dxa"/>
            <w:shd w:val="clear" w:color="auto" w:fill="auto"/>
            <w:noWrap/>
            <w:hideMark/>
          </w:tcPr>
          <w:p w14:paraId="70E7EA0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C24</w:t>
            </w:r>
          </w:p>
        </w:tc>
        <w:tc>
          <w:tcPr>
            <w:tcW w:w="2835" w:type="dxa"/>
          </w:tcPr>
          <w:p w14:paraId="70E7EA0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 ajustes que serían necesarios para lograr la presentación fiel </w:t>
            </w:r>
          </w:p>
        </w:tc>
        <w:tc>
          <w:tcPr>
            <w:tcW w:w="7655" w:type="dxa"/>
            <w:shd w:val="clear" w:color="auto" w:fill="auto"/>
            <w:noWrap/>
            <w:hideMark/>
          </w:tcPr>
          <w:p w14:paraId="70E7EA0C" w14:textId="1502DBF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11" w14:textId="77777777" w:rsidTr="00803A09">
        <w:trPr>
          <w:trHeight w:val="300"/>
        </w:trPr>
        <w:tc>
          <w:tcPr>
            <w:tcW w:w="562" w:type="dxa"/>
            <w:shd w:val="clear" w:color="auto" w:fill="auto"/>
            <w:noWrap/>
            <w:hideMark/>
          </w:tcPr>
          <w:p w14:paraId="70E7EA0E"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C25</w:t>
            </w:r>
          </w:p>
        </w:tc>
        <w:tc>
          <w:tcPr>
            <w:tcW w:w="2835" w:type="dxa"/>
          </w:tcPr>
          <w:p w14:paraId="70E7EA0F"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incertidumbres sobre la capacidad de la entidad para continuar como negocio en marcha</w:t>
            </w:r>
          </w:p>
        </w:tc>
        <w:tc>
          <w:tcPr>
            <w:tcW w:w="7655" w:type="dxa"/>
            <w:shd w:val="clear" w:color="auto" w:fill="auto"/>
            <w:noWrap/>
            <w:hideMark/>
          </w:tcPr>
          <w:p w14:paraId="70E7EA1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NO EXISTEN</w:t>
            </w:r>
          </w:p>
        </w:tc>
      </w:tr>
      <w:tr w:rsidR="000B7B01" w:rsidRPr="00E258E3" w14:paraId="70E7EA15" w14:textId="77777777" w:rsidTr="00803A09">
        <w:trPr>
          <w:trHeight w:val="300"/>
        </w:trPr>
        <w:tc>
          <w:tcPr>
            <w:tcW w:w="562" w:type="dxa"/>
            <w:shd w:val="clear" w:color="auto" w:fill="auto"/>
            <w:noWrap/>
            <w:hideMark/>
          </w:tcPr>
          <w:p w14:paraId="70E7EA12"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C26</w:t>
            </w:r>
          </w:p>
        </w:tc>
        <w:tc>
          <w:tcPr>
            <w:tcW w:w="2835" w:type="dxa"/>
          </w:tcPr>
          <w:p w14:paraId="70E7EA13"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hecho y bases para la elaboración de los estados financieros cuando no es aplicable la hipótesis de negocio en marcha</w:t>
            </w:r>
          </w:p>
        </w:tc>
        <w:tc>
          <w:tcPr>
            <w:tcW w:w="7655" w:type="dxa"/>
            <w:shd w:val="clear" w:color="auto" w:fill="auto"/>
            <w:noWrap/>
            <w:hideMark/>
          </w:tcPr>
          <w:p w14:paraId="70E7EA14" w14:textId="364A716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19" w14:textId="77777777" w:rsidTr="00803A09">
        <w:trPr>
          <w:trHeight w:val="300"/>
        </w:trPr>
        <w:tc>
          <w:tcPr>
            <w:tcW w:w="562" w:type="dxa"/>
            <w:shd w:val="clear" w:color="auto" w:fill="auto"/>
            <w:noWrap/>
            <w:hideMark/>
          </w:tcPr>
          <w:p w14:paraId="70E7EA1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C27</w:t>
            </w:r>
          </w:p>
        </w:tc>
        <w:tc>
          <w:tcPr>
            <w:tcW w:w="2835" w:type="dxa"/>
          </w:tcPr>
          <w:p w14:paraId="70E7EA17" w14:textId="3B17C122"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 razón por la que no se considera a la entidad como negocio en marcha</w:t>
            </w:r>
            <w:r w:rsidR="00E258E3" w:rsidRPr="00E258E3">
              <w:rPr>
                <w:rFonts w:ascii="Arial Narrow" w:hAnsi="Arial Narrow" w:cs="Calibri"/>
                <w:color w:val="000000"/>
                <w:sz w:val="20"/>
                <w:szCs w:val="20"/>
              </w:rPr>
              <w:t xml:space="preserve"> </w:t>
            </w:r>
          </w:p>
        </w:tc>
        <w:tc>
          <w:tcPr>
            <w:tcW w:w="7655" w:type="dxa"/>
            <w:shd w:val="clear" w:color="auto" w:fill="auto"/>
            <w:noWrap/>
            <w:hideMark/>
          </w:tcPr>
          <w:p w14:paraId="70E7EA18" w14:textId="3199837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1D" w14:textId="77777777" w:rsidTr="00803A09">
        <w:trPr>
          <w:trHeight w:val="300"/>
        </w:trPr>
        <w:tc>
          <w:tcPr>
            <w:tcW w:w="562" w:type="dxa"/>
            <w:shd w:val="clear" w:color="auto" w:fill="auto"/>
            <w:noWrap/>
            <w:hideMark/>
          </w:tcPr>
          <w:p w14:paraId="70E7EA1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C28</w:t>
            </w:r>
          </w:p>
        </w:tc>
        <w:tc>
          <w:tcPr>
            <w:tcW w:w="2835" w:type="dxa"/>
          </w:tcPr>
          <w:p w14:paraId="70E7EA1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Descripción de la razón para utilizar un periodo sobre el que se informa de duración inferior o superior </w:t>
            </w:r>
          </w:p>
        </w:tc>
        <w:tc>
          <w:tcPr>
            <w:tcW w:w="7655" w:type="dxa"/>
            <w:shd w:val="clear" w:color="auto" w:fill="auto"/>
            <w:noWrap/>
            <w:hideMark/>
          </w:tcPr>
          <w:p w14:paraId="70E7EA1C" w14:textId="64D8808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21" w14:textId="77777777" w:rsidTr="00803A09">
        <w:trPr>
          <w:trHeight w:val="300"/>
        </w:trPr>
        <w:tc>
          <w:tcPr>
            <w:tcW w:w="562" w:type="dxa"/>
            <w:shd w:val="clear" w:color="auto" w:fill="auto"/>
            <w:noWrap/>
            <w:hideMark/>
          </w:tcPr>
          <w:p w14:paraId="70E7EA1E"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C29</w:t>
            </w:r>
          </w:p>
        </w:tc>
        <w:tc>
          <w:tcPr>
            <w:tcW w:w="2835" w:type="dxa"/>
          </w:tcPr>
          <w:p w14:paraId="70E7EA1F"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del hecho de que los importes presentados en los estados financieros no son totalmente comparables</w:t>
            </w:r>
          </w:p>
        </w:tc>
        <w:tc>
          <w:tcPr>
            <w:tcW w:w="7655" w:type="dxa"/>
            <w:shd w:val="clear" w:color="auto" w:fill="auto"/>
            <w:noWrap/>
            <w:hideMark/>
          </w:tcPr>
          <w:p w14:paraId="70E7EA20" w14:textId="6E46B96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42" w14:textId="77777777" w:rsidTr="00803A09">
        <w:trPr>
          <w:trHeight w:val="300"/>
        </w:trPr>
        <w:tc>
          <w:tcPr>
            <w:tcW w:w="562" w:type="dxa"/>
            <w:shd w:val="clear" w:color="auto" w:fill="auto"/>
            <w:noWrap/>
            <w:hideMark/>
          </w:tcPr>
          <w:p w14:paraId="70E7EA22"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C30</w:t>
            </w:r>
          </w:p>
        </w:tc>
        <w:tc>
          <w:tcPr>
            <w:tcW w:w="2835" w:type="dxa"/>
          </w:tcPr>
          <w:p w14:paraId="70E7EA23"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reclasificaciones o cambios en la presentación</w:t>
            </w:r>
          </w:p>
        </w:tc>
        <w:tc>
          <w:tcPr>
            <w:tcW w:w="7655" w:type="dxa"/>
            <w:shd w:val="clear" w:color="auto" w:fill="auto"/>
            <w:noWrap/>
            <w:hideMark/>
          </w:tcPr>
          <w:p w14:paraId="70E7EA41" w14:textId="24AA13E8" w:rsidR="000B7B01" w:rsidRPr="00E258E3" w:rsidRDefault="009A56BC" w:rsidP="00E258E3">
            <w:pPr>
              <w:spacing w:after="0" w:line="240" w:lineRule="auto"/>
              <w:contextualSpacing/>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rPr>
              <w:t>NO APLICA</w:t>
            </w:r>
          </w:p>
        </w:tc>
      </w:tr>
      <w:tr w:rsidR="000B7B01" w:rsidRPr="00E258E3" w14:paraId="70E7EA4C" w14:textId="77777777" w:rsidTr="00803A09">
        <w:trPr>
          <w:trHeight w:val="300"/>
        </w:trPr>
        <w:tc>
          <w:tcPr>
            <w:tcW w:w="562" w:type="dxa"/>
            <w:shd w:val="clear" w:color="auto" w:fill="auto"/>
            <w:noWrap/>
            <w:hideMark/>
          </w:tcPr>
          <w:p w14:paraId="70E7EA4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C31</w:t>
            </w:r>
          </w:p>
        </w:tc>
        <w:tc>
          <w:tcPr>
            <w:tcW w:w="2835" w:type="dxa"/>
          </w:tcPr>
          <w:p w14:paraId="70E7EA4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reclasificaciones o cambios en la presentación [partidas de los estados financieros]</w:t>
            </w:r>
          </w:p>
        </w:tc>
        <w:tc>
          <w:tcPr>
            <w:tcW w:w="7655" w:type="dxa"/>
            <w:shd w:val="clear" w:color="auto" w:fill="auto"/>
            <w:noWrap/>
            <w:hideMark/>
          </w:tcPr>
          <w:p w14:paraId="70E7EA4B" w14:textId="133C699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r w:rsidRPr="00E258E3">
              <w:rPr>
                <w:rFonts w:ascii="Arial Narrow" w:eastAsia="Times New Roman" w:hAnsi="Arial Narrow" w:cs="Calibri"/>
                <w:color w:val="000000"/>
                <w:sz w:val="20"/>
                <w:szCs w:val="20"/>
                <w:lang w:eastAsia="es-CO"/>
              </w:rPr>
              <w:t>.</w:t>
            </w:r>
          </w:p>
        </w:tc>
      </w:tr>
      <w:tr w:rsidR="000B7B01" w:rsidRPr="00E258E3" w14:paraId="70E7EA56" w14:textId="77777777" w:rsidTr="00803A09">
        <w:trPr>
          <w:trHeight w:val="300"/>
        </w:trPr>
        <w:tc>
          <w:tcPr>
            <w:tcW w:w="562" w:type="dxa"/>
            <w:shd w:val="clear" w:color="auto" w:fill="auto"/>
            <w:noWrap/>
            <w:hideMark/>
          </w:tcPr>
          <w:p w14:paraId="70E7EA4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C32</w:t>
            </w:r>
          </w:p>
        </w:tc>
        <w:tc>
          <w:tcPr>
            <w:tcW w:w="2835" w:type="dxa"/>
          </w:tcPr>
          <w:p w14:paraId="70E7EA4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reclasificaciones o cambios en la presentación</w:t>
            </w:r>
          </w:p>
        </w:tc>
        <w:tc>
          <w:tcPr>
            <w:tcW w:w="7655" w:type="dxa"/>
            <w:shd w:val="clear" w:color="auto" w:fill="auto"/>
            <w:noWrap/>
            <w:hideMark/>
          </w:tcPr>
          <w:p w14:paraId="70E7EA53" w14:textId="6ACEFA91" w:rsidR="000B7B01" w:rsidRPr="00E258E3" w:rsidRDefault="000B7B01" w:rsidP="009A56BC">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p w14:paraId="70E7EA5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55" w14:textId="7683EAD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tc>
      </w:tr>
      <w:tr w:rsidR="000B7B01" w:rsidRPr="00E258E3" w14:paraId="70E7EA5B" w14:textId="77777777" w:rsidTr="00803A09">
        <w:trPr>
          <w:trHeight w:val="300"/>
        </w:trPr>
        <w:tc>
          <w:tcPr>
            <w:tcW w:w="562" w:type="dxa"/>
            <w:shd w:val="clear" w:color="auto" w:fill="auto"/>
            <w:noWrap/>
            <w:hideMark/>
          </w:tcPr>
          <w:p w14:paraId="70E7EA5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C33</w:t>
            </w:r>
          </w:p>
        </w:tc>
        <w:tc>
          <w:tcPr>
            <w:tcW w:w="2835" w:type="dxa"/>
          </w:tcPr>
          <w:p w14:paraId="70E7EA58" w14:textId="536044D4"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razón para reclasificaciones o cambios en la presentación</w:t>
            </w:r>
            <w:r w:rsidR="00E258E3" w:rsidRPr="00E258E3">
              <w:rPr>
                <w:rFonts w:ascii="Arial Narrow" w:hAnsi="Arial Narrow" w:cs="Calibri"/>
                <w:color w:val="000000"/>
                <w:sz w:val="20"/>
                <w:szCs w:val="20"/>
              </w:rPr>
              <w:t xml:space="preserve"> </w:t>
            </w:r>
          </w:p>
        </w:tc>
        <w:tc>
          <w:tcPr>
            <w:tcW w:w="7655" w:type="dxa"/>
            <w:shd w:val="clear" w:color="auto" w:fill="auto"/>
            <w:noWrap/>
            <w:hideMark/>
          </w:tcPr>
          <w:p w14:paraId="70E7EA5A" w14:textId="4E7C9112" w:rsidR="000B7B01" w:rsidRPr="00E258E3" w:rsidRDefault="000B7B01" w:rsidP="009A56BC">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5F" w14:textId="77777777" w:rsidTr="00803A09">
        <w:trPr>
          <w:trHeight w:val="300"/>
        </w:trPr>
        <w:tc>
          <w:tcPr>
            <w:tcW w:w="562" w:type="dxa"/>
            <w:shd w:val="clear" w:color="auto" w:fill="auto"/>
            <w:noWrap/>
            <w:hideMark/>
          </w:tcPr>
          <w:p w14:paraId="70E7EA5C"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C34</w:t>
            </w:r>
          </w:p>
        </w:tc>
        <w:tc>
          <w:tcPr>
            <w:tcW w:w="2835" w:type="dxa"/>
          </w:tcPr>
          <w:p w14:paraId="70E7EA5D"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razón por la que es impracticable la reclasificación de importes comparativos</w:t>
            </w:r>
          </w:p>
        </w:tc>
        <w:tc>
          <w:tcPr>
            <w:tcW w:w="7655" w:type="dxa"/>
            <w:shd w:val="clear" w:color="auto" w:fill="auto"/>
            <w:noWrap/>
            <w:hideMark/>
          </w:tcPr>
          <w:p w14:paraId="70E7EA5E" w14:textId="2C5458A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63" w14:textId="77777777" w:rsidTr="00803A09">
        <w:trPr>
          <w:trHeight w:val="300"/>
        </w:trPr>
        <w:tc>
          <w:tcPr>
            <w:tcW w:w="562" w:type="dxa"/>
            <w:shd w:val="clear" w:color="auto" w:fill="auto"/>
            <w:noWrap/>
            <w:hideMark/>
          </w:tcPr>
          <w:p w14:paraId="70E7EA6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C35</w:t>
            </w:r>
          </w:p>
        </w:tc>
        <w:tc>
          <w:tcPr>
            <w:tcW w:w="2835" w:type="dxa"/>
          </w:tcPr>
          <w:p w14:paraId="70E7EA6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los ajustes necesarios para proporcionar información comparativa</w:t>
            </w:r>
          </w:p>
        </w:tc>
        <w:tc>
          <w:tcPr>
            <w:tcW w:w="7655" w:type="dxa"/>
            <w:shd w:val="clear" w:color="auto" w:fill="auto"/>
            <w:noWrap/>
            <w:hideMark/>
          </w:tcPr>
          <w:p w14:paraId="70E7EA62" w14:textId="547E8BF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69" w14:textId="77777777" w:rsidTr="00803A09">
        <w:trPr>
          <w:trHeight w:val="300"/>
        </w:trPr>
        <w:tc>
          <w:tcPr>
            <w:tcW w:w="562" w:type="dxa"/>
            <w:shd w:val="clear" w:color="auto" w:fill="auto"/>
            <w:noWrap/>
            <w:hideMark/>
          </w:tcPr>
          <w:p w14:paraId="70E7EA6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C36</w:t>
            </w:r>
          </w:p>
        </w:tc>
        <w:tc>
          <w:tcPr>
            <w:tcW w:w="2835" w:type="dxa"/>
          </w:tcPr>
          <w:p w14:paraId="70E7EA6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los importes a recuperar o liquidar tras doce meses para clases de activos y pasivos que contienen importes a recuperar o liquidar antes y después de doce meses tras la fecha de presentación</w:t>
            </w:r>
          </w:p>
        </w:tc>
        <w:tc>
          <w:tcPr>
            <w:tcW w:w="7655" w:type="dxa"/>
            <w:shd w:val="clear" w:color="auto" w:fill="auto"/>
            <w:noWrap/>
            <w:hideMark/>
          </w:tcPr>
          <w:p w14:paraId="70E7EA66" w14:textId="754802FF" w:rsidR="000B7B01" w:rsidRPr="00E258E3" w:rsidRDefault="00F3262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L</w:t>
            </w:r>
            <w:r w:rsidR="000B7B01" w:rsidRPr="00E258E3">
              <w:rPr>
                <w:rFonts w:ascii="Arial Narrow" w:eastAsia="Times New Roman" w:hAnsi="Arial Narrow" w:cs="Calibri"/>
                <w:color w:val="000000"/>
                <w:sz w:val="20"/>
                <w:szCs w:val="20"/>
                <w:lang w:eastAsia="es-CO"/>
              </w:rPr>
              <w:t xml:space="preserve">a cartera de créditos corresponde a </w:t>
            </w:r>
            <w:r w:rsidR="009A56BC" w:rsidRPr="00E258E3">
              <w:rPr>
                <w:rFonts w:ascii="Arial Narrow" w:eastAsia="Times New Roman" w:hAnsi="Arial Narrow" w:cs="Calibri"/>
                <w:color w:val="000000"/>
                <w:sz w:val="20"/>
                <w:szCs w:val="20"/>
                <w:lang w:eastAsia="es-CO"/>
              </w:rPr>
              <w:t>préstamos</w:t>
            </w:r>
            <w:r w:rsidR="000B7B01" w:rsidRPr="00E258E3">
              <w:rPr>
                <w:rFonts w:ascii="Arial Narrow" w:eastAsia="Times New Roman" w:hAnsi="Arial Narrow" w:cs="Calibri"/>
                <w:color w:val="000000"/>
                <w:sz w:val="20"/>
                <w:szCs w:val="20"/>
                <w:lang w:eastAsia="es-CO"/>
              </w:rPr>
              <w:t xml:space="preserve"> a asociados que generan intereses calculados por el método del interés efectivo y cuyos plazos de recuperación del capital contemplan hasta 60 meses. Igualmente las obligaciones financieras son pactadas con una tasa de referencia variable como la DTF o el IBR más unos puntos que van desde 4 hasta 6 y que regularmente contemplan plazos para pago de capital de hasta 36 meses.</w:t>
            </w:r>
          </w:p>
          <w:p w14:paraId="70E7EA6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68"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No existen otros activos o pasivos cuya realización o recuperación se extienda más allá de los 12 meses.</w:t>
            </w:r>
          </w:p>
        </w:tc>
      </w:tr>
      <w:tr w:rsidR="000B7B01" w:rsidRPr="00E258E3" w14:paraId="70E7EA6F" w14:textId="77777777" w:rsidTr="00803A09">
        <w:trPr>
          <w:trHeight w:val="300"/>
        </w:trPr>
        <w:tc>
          <w:tcPr>
            <w:tcW w:w="562" w:type="dxa"/>
            <w:shd w:val="clear" w:color="auto" w:fill="auto"/>
            <w:noWrap/>
            <w:hideMark/>
          </w:tcPr>
          <w:p w14:paraId="70E7EA6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C37</w:t>
            </w:r>
          </w:p>
        </w:tc>
        <w:tc>
          <w:tcPr>
            <w:tcW w:w="2835" w:type="dxa"/>
          </w:tcPr>
          <w:p w14:paraId="70E7EA6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los importes a recuperar o liquidar tras doce meses para clases de activos y pasivos que contienen importes a recuperar o liquidar antes y después de doce meses tras la fecha de presentación [partidas de los estados financieros]</w:t>
            </w:r>
          </w:p>
        </w:tc>
        <w:tc>
          <w:tcPr>
            <w:tcW w:w="7655" w:type="dxa"/>
            <w:shd w:val="clear" w:color="auto" w:fill="auto"/>
            <w:noWrap/>
            <w:hideMark/>
          </w:tcPr>
          <w:p w14:paraId="70E7EA6C" w14:textId="7D7E74E1" w:rsidR="000B7B01" w:rsidRPr="00E258E3" w:rsidRDefault="009A56BC"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L</w:t>
            </w:r>
            <w:r w:rsidR="000B7B01" w:rsidRPr="00E258E3">
              <w:rPr>
                <w:rFonts w:ascii="Arial Narrow" w:eastAsia="Times New Roman" w:hAnsi="Arial Narrow" w:cs="Calibri"/>
                <w:color w:val="000000"/>
                <w:sz w:val="20"/>
                <w:szCs w:val="20"/>
                <w:lang w:eastAsia="es-CO"/>
              </w:rPr>
              <w:t xml:space="preserve">a cartera de créditos corresponde a </w:t>
            </w:r>
            <w:r w:rsidRPr="00E258E3">
              <w:rPr>
                <w:rFonts w:ascii="Arial Narrow" w:eastAsia="Times New Roman" w:hAnsi="Arial Narrow" w:cs="Calibri"/>
                <w:color w:val="000000"/>
                <w:sz w:val="20"/>
                <w:szCs w:val="20"/>
                <w:lang w:eastAsia="es-CO"/>
              </w:rPr>
              <w:t>préstamos</w:t>
            </w:r>
            <w:r w:rsidR="000B7B01" w:rsidRPr="00E258E3">
              <w:rPr>
                <w:rFonts w:ascii="Arial Narrow" w:eastAsia="Times New Roman" w:hAnsi="Arial Narrow" w:cs="Calibri"/>
                <w:color w:val="000000"/>
                <w:sz w:val="20"/>
                <w:szCs w:val="20"/>
                <w:lang w:eastAsia="es-CO"/>
              </w:rPr>
              <w:t xml:space="preserve"> a asociados que generan intereses calculados por el método del interés efectivo y cuyos plazos de recuperación del capital contemplan hasta 60 meses. Igualmente las obligaciones financieras son pactadas con una tasa de referencia variable como la DTF o el IBR más unos puntos que van desde 4 hasta 6 y que regularmente contemplan plazos para pago de capital de hasta 36 meses.</w:t>
            </w:r>
          </w:p>
          <w:p w14:paraId="70E7EA6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6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No existen otros activos o pasivos cuya realización o recuperación se extienda más allá de los 12 meses.</w:t>
            </w:r>
          </w:p>
        </w:tc>
      </w:tr>
      <w:tr w:rsidR="000B7B01" w:rsidRPr="00E258E3" w14:paraId="70E7EA73" w14:textId="77777777" w:rsidTr="00803A09">
        <w:trPr>
          <w:trHeight w:val="300"/>
        </w:trPr>
        <w:tc>
          <w:tcPr>
            <w:tcW w:w="562" w:type="dxa"/>
            <w:shd w:val="clear" w:color="auto" w:fill="auto"/>
            <w:noWrap/>
            <w:hideMark/>
          </w:tcPr>
          <w:p w14:paraId="70E7EA7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C38</w:t>
            </w:r>
          </w:p>
        </w:tc>
        <w:tc>
          <w:tcPr>
            <w:tcW w:w="2835" w:type="dxa"/>
          </w:tcPr>
          <w:p w14:paraId="70E7EA7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las políticas contables significativas</w:t>
            </w:r>
          </w:p>
        </w:tc>
        <w:tc>
          <w:tcPr>
            <w:tcW w:w="7655" w:type="dxa"/>
            <w:shd w:val="clear" w:color="auto" w:fill="auto"/>
            <w:noWrap/>
            <w:hideMark/>
          </w:tcPr>
          <w:p w14:paraId="70E7EA72" w14:textId="20BD262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Efectivo y Equivalentes del Efectivo: Efectivo en caja y depósitos en entidades financieras a la vista (cuentas de ahorro, corrientes y fiducias).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Los equivalentes al efectivo son inversiones a corto plazo de gran liquidez que se mantienen para cumplir con los compromisos de pago a corto plazo más que para propósitos de inversión u otros. Instrumentos de Deuda al Costo Amortizado. Todos los instrumentos de deuda que contemplan financiación se reconocen cuando la entidad se hace parte contractual. La medición inicial se hace por el costo de transacción y la medición posterior por el costo amortizado utilizando el método del interés efectivo, menos cualquier deterioro por incobrabilidad en el caso de los activos. Instrumentos de Deuda al costo histórico: Los instrumentos de deuda corrientes se miden al importe no descontado, menos cualquier deterioro por incobrabilidad en el caso del activo, utilizando el método de la pérdida incurrida. La entidad considera instrumentos de deuda corrientes: cuentas por cobrar y por pagar cuyo pacto de realización está definido a menos de 12 meses.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Instrumentos de Patrimonio a Costo Histórico: Regularmente corresponden a aportaciones en entidades sin ánimo de lucro (cooperativas) que no pueden medirse a valor razonable y por tanto son medidas a costo histórico menos deterioro.</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En estas inversiones es evidencia de deterioro pérdidas recurrentes (3 años) o quebranto patrimonial (patrimonio inferior al capital social). Propiedad, Planta y Equipo al Costo Histórico menos Depreciación menos Deterioro: Son activos tangibles que: (a) se mantienen para su uso en la producción o suministro de bienes o servicios, para arrendarlos a terceros o con propósitos administrativos, y (b) se esperan usar durante más de un periodo.</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Se registran por el valor pagado más todos los costos de instalación excepto la financiación y se deprecian en línea recta según su vida útil.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Intangibles: Los gastos anticipados que son recuperables como seguros pagados por anticipado, se amortizan durante la vigencia de la cobertura o del servicio adquirido. El Software se amortiza según su vida útil hasta un máximo de 10 años y los demás intangibles generados internamente se reconocen directamente al gasto. Activos y Pasivos Contingentes: No se reconocen en los estados financieros, pero si se revelan en notas a los estados financieros, a menos que la posibilidad de que se desembolse un flujo económico sea remota. Fondos Sociales y Mutuales: corresponden a partidas medidas al costo histórico producto de excedentes o contribuciones dispuestas por los asociados para financiar actividades o servicios en su propio beneficio y que la entidad ejecuta conforme a la reglamentación expedida por el Consejo de Administración y las instrucciones emanadas de la Supersolidaria. Beneficios a Empleados: Corresponde a todos los pagos efectuados a los empleados de la Cooperativa por sus servicios de acuerdo con el código laboral colombiano y auxilios educativos así como otros auxilios, capacitación, dotación, botiquín etc.</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La entidad no tiene beneficios laborales de largo plazo. Ingresos de Actividades Ordinarias: COOPEJEMPLO reconocerá los ingresos de actividades ordinarias de acuerdo con las siguientes bases: (a) Los intereses se reconocerán utilizando el método del interés efectivo, (b) Las regalías se reconocerán utilizando la base de acumulación (o devengo), de acuerdo con la esencia del acuerdo correspondiente. (c) Los dividendos se reconocerán cuando se establezca el derecho a recibirlos por parte del accionista. Partes Relacionadas: La entidad considera partes relacionadas, aquellas personas naturales o jurídicas que ejercen control o influencia significativa en la definición de las políticas y decisiones de la Cooperativa así como sus familiares hasta tercer grado de consanguinidad, segundo de afinidad y único civil así como todas las personas jurídicas en que </w:t>
            </w:r>
            <w:proofErr w:type="gramStart"/>
            <w:r w:rsidRPr="00E258E3">
              <w:rPr>
                <w:rFonts w:ascii="Arial Narrow" w:eastAsia="Times New Roman" w:hAnsi="Arial Narrow" w:cs="Calibri"/>
                <w:color w:val="000000"/>
                <w:sz w:val="20"/>
                <w:szCs w:val="20"/>
                <w:lang w:eastAsia="es-CO"/>
              </w:rPr>
              <w:t>éstas</w:t>
            </w:r>
            <w:proofErr w:type="gramEnd"/>
            <w:r w:rsidRPr="00E258E3">
              <w:rPr>
                <w:rFonts w:ascii="Arial Narrow" w:eastAsia="Times New Roman" w:hAnsi="Arial Narrow" w:cs="Calibri"/>
                <w:color w:val="000000"/>
                <w:sz w:val="20"/>
                <w:szCs w:val="20"/>
                <w:lang w:eastAsia="es-CO"/>
              </w:rPr>
              <w:t xml:space="preserve"> personas sean accionistas o propietarios con más del 50% del capital.</w:t>
            </w:r>
          </w:p>
        </w:tc>
      </w:tr>
      <w:tr w:rsidR="000B7B01" w:rsidRPr="00E258E3" w14:paraId="70E7EA79" w14:textId="77777777" w:rsidTr="00803A09">
        <w:trPr>
          <w:trHeight w:val="300"/>
        </w:trPr>
        <w:tc>
          <w:tcPr>
            <w:tcW w:w="562" w:type="dxa"/>
            <w:shd w:val="clear" w:color="auto" w:fill="auto"/>
            <w:noWrap/>
            <w:hideMark/>
          </w:tcPr>
          <w:p w14:paraId="70E7EA7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C39</w:t>
            </w:r>
          </w:p>
        </w:tc>
        <w:tc>
          <w:tcPr>
            <w:tcW w:w="2835" w:type="dxa"/>
          </w:tcPr>
          <w:p w14:paraId="70E7EA7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los criterios de medición utilizados para preparar los estados financieros</w:t>
            </w:r>
          </w:p>
        </w:tc>
        <w:tc>
          <w:tcPr>
            <w:tcW w:w="7655" w:type="dxa"/>
            <w:shd w:val="clear" w:color="auto" w:fill="auto"/>
            <w:noWrap/>
            <w:hideMark/>
          </w:tcPr>
          <w:p w14:paraId="70E7EA7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El costo amortizado en la las inve</w:t>
            </w:r>
            <w:r w:rsidR="00F32622" w:rsidRPr="00E258E3">
              <w:rPr>
                <w:rFonts w:ascii="Arial Narrow" w:eastAsia="Times New Roman" w:hAnsi="Arial Narrow" w:cs="Calibri"/>
                <w:color w:val="000000"/>
                <w:sz w:val="20"/>
                <w:szCs w:val="20"/>
                <w:lang w:eastAsia="es-CO"/>
              </w:rPr>
              <w:t>r</w:t>
            </w:r>
            <w:r w:rsidRPr="00E258E3">
              <w:rPr>
                <w:rFonts w:ascii="Arial Narrow" w:eastAsia="Times New Roman" w:hAnsi="Arial Narrow" w:cs="Calibri"/>
                <w:color w:val="000000"/>
                <w:sz w:val="20"/>
                <w:szCs w:val="20"/>
                <w:lang w:eastAsia="es-CO"/>
              </w:rPr>
              <w:t xml:space="preserve">siones de </w:t>
            </w:r>
            <w:r w:rsidR="00D25BE2" w:rsidRPr="00E258E3">
              <w:rPr>
                <w:rFonts w:ascii="Arial Narrow" w:eastAsia="Times New Roman" w:hAnsi="Arial Narrow" w:cs="Calibri"/>
                <w:color w:val="000000"/>
                <w:sz w:val="20"/>
                <w:szCs w:val="20"/>
                <w:lang w:eastAsia="es-CO"/>
              </w:rPr>
              <w:t>deuda</w:t>
            </w:r>
            <w:r w:rsidRPr="00E258E3">
              <w:rPr>
                <w:rFonts w:ascii="Arial Narrow" w:eastAsia="Times New Roman" w:hAnsi="Arial Narrow" w:cs="Calibri"/>
                <w:color w:val="000000"/>
                <w:sz w:val="20"/>
                <w:szCs w:val="20"/>
                <w:lang w:eastAsia="es-CO"/>
              </w:rPr>
              <w:t xml:space="preserve"> / la cartera de créditos / los </w:t>
            </w:r>
            <w:proofErr w:type="spellStart"/>
            <w:r w:rsidRPr="00E258E3">
              <w:rPr>
                <w:rFonts w:ascii="Arial Narrow" w:eastAsia="Times New Roman" w:hAnsi="Arial Narrow" w:cs="Calibri"/>
                <w:color w:val="000000"/>
                <w:sz w:val="20"/>
                <w:szCs w:val="20"/>
                <w:lang w:eastAsia="es-CO"/>
              </w:rPr>
              <w:t>depositos</w:t>
            </w:r>
            <w:proofErr w:type="spellEnd"/>
            <w:r w:rsidRPr="00E258E3">
              <w:rPr>
                <w:rFonts w:ascii="Arial Narrow" w:eastAsia="Times New Roman" w:hAnsi="Arial Narrow" w:cs="Calibri"/>
                <w:color w:val="000000"/>
                <w:sz w:val="20"/>
                <w:szCs w:val="20"/>
                <w:lang w:eastAsia="es-CO"/>
              </w:rPr>
              <w:t xml:space="preserve"> / las obligaciones financieras</w:t>
            </w:r>
          </w:p>
          <w:p w14:paraId="70E7EA7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El valor razonable para las inversiones de patrimonio que cotizan en Bolsa y las propiedades de </w:t>
            </w:r>
            <w:proofErr w:type="spellStart"/>
            <w:r w:rsidRPr="00E258E3">
              <w:rPr>
                <w:rFonts w:ascii="Arial Narrow" w:eastAsia="Times New Roman" w:hAnsi="Arial Narrow" w:cs="Calibri"/>
                <w:color w:val="000000"/>
                <w:sz w:val="20"/>
                <w:szCs w:val="20"/>
                <w:lang w:eastAsia="es-CO"/>
              </w:rPr>
              <w:t>inversion</w:t>
            </w:r>
            <w:proofErr w:type="spellEnd"/>
          </w:p>
          <w:p w14:paraId="70E7EA78" w14:textId="328CF7B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Para </w:t>
            </w:r>
            <w:r w:rsidR="009A56BC" w:rsidRPr="00E258E3">
              <w:rPr>
                <w:rFonts w:ascii="Arial Narrow" w:eastAsia="Times New Roman" w:hAnsi="Arial Narrow" w:cs="Calibri"/>
                <w:color w:val="000000"/>
                <w:sz w:val="20"/>
                <w:szCs w:val="20"/>
                <w:lang w:eastAsia="es-CO"/>
              </w:rPr>
              <w:t>todo el demás costo histórico</w:t>
            </w:r>
            <w:r w:rsidRPr="00E258E3">
              <w:rPr>
                <w:rFonts w:ascii="Arial Narrow" w:eastAsia="Times New Roman" w:hAnsi="Arial Narrow" w:cs="Calibri"/>
                <w:color w:val="000000"/>
                <w:sz w:val="20"/>
                <w:szCs w:val="20"/>
                <w:lang w:eastAsia="es-CO"/>
              </w:rPr>
              <w:t xml:space="preserve"> aplicando deterioro en el caso de los activos</w:t>
            </w:r>
          </w:p>
        </w:tc>
      </w:tr>
      <w:tr w:rsidR="000B7B01" w:rsidRPr="00E258E3" w14:paraId="70E7EA8F" w14:textId="77777777" w:rsidTr="00803A09">
        <w:trPr>
          <w:trHeight w:val="300"/>
        </w:trPr>
        <w:tc>
          <w:tcPr>
            <w:tcW w:w="562" w:type="dxa"/>
            <w:shd w:val="clear" w:color="auto" w:fill="auto"/>
            <w:noWrap/>
            <w:hideMark/>
          </w:tcPr>
          <w:p w14:paraId="70E7EA7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C40</w:t>
            </w:r>
          </w:p>
        </w:tc>
        <w:tc>
          <w:tcPr>
            <w:tcW w:w="2835" w:type="dxa"/>
          </w:tcPr>
          <w:p w14:paraId="70E7EA7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otras políticas contables relevantes para comprender los estados financieros</w:t>
            </w:r>
          </w:p>
        </w:tc>
        <w:tc>
          <w:tcPr>
            <w:tcW w:w="7655" w:type="dxa"/>
            <w:shd w:val="clear" w:color="auto" w:fill="auto"/>
            <w:noWrap/>
            <w:hideMark/>
          </w:tcPr>
          <w:p w14:paraId="70E7EA7C"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Principio de Materialidad: Se considera cifra material para el estado de situación financiera, flujos de efectivo y de cambios en el patrimonio, cifras por valor superior al 0.5% del Activo y en el estado de resultados integral cifras superiores al 0.5% del total de ingresos de la entidad. Se revelará en las notas a los estados financieros por tercero y/o concepto, todas las partidas que conforman cada uno de los rubros revelados en los estados financieros, cuyos valores sean en todo caso superiores a diez (10) salarios mínimo mensuales legales vigentes. </w:t>
            </w:r>
          </w:p>
          <w:p w14:paraId="70E7EA7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7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Comprensibilidad: los Estados Financieros de MULTIFAMILIAR URAPAN II se presentan de modo que sea comprensible para los copropietarios y usuarios externos que tienen un conocimiento razonable de las actividades económicas y empresariales y de la contabilidad, así como voluntad para estudiar la información con diligencia razonable. </w:t>
            </w:r>
          </w:p>
          <w:p w14:paraId="70E7EA7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Relevancia: la información proporcionada en los Estados Financieros de MULTIFAMILIAR URAPAN II es relevante para las necesidades de toma de decisiones de los usuarios internos y externos, siempre y cuando esta información pueda ejercer influencia sobre las decisiones económicas de quienes la utilizan, ayudándoles a evaluar suceso pasados, presentes y futuros, o bien a confirmar o corregir evaluaciones realizadas con anterioridad.</w:t>
            </w:r>
          </w:p>
          <w:p w14:paraId="70E7EA8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2"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Fiabilidad: La información que contiene los Estados Financieros de MULTIFAMILIAR URAPAN II son fiables, no presenta error significativo y sesgo, y representa fielmente lo que pretende representar o puede esperarse razonablemente que represente. </w:t>
            </w:r>
          </w:p>
          <w:p w14:paraId="70E7EA8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La Esencia sobre la forma: MULTIFAMILIAR URAPAN II contabiliza y presenta las transacciones y demás sucesos y condiciones de acuerdo con su esencia y no solamente en consideración a su forma legal.</w:t>
            </w:r>
          </w:p>
          <w:p w14:paraId="70E7EA85"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Prudencia: es la inclusión de un cierto grado de precaución al realizar los juicios necesarios para efectuar las estimaciones requeridas bajo condiciones de incertidumbre, de forma que los activos o los ingresos no se expresen en exceso y que los pasivos o los gastos no se expresen en defecto. La prudencia no permite el sesgo. </w:t>
            </w:r>
          </w:p>
          <w:p w14:paraId="70E7EA8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8"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Integridad: para ser fiable, la información en los estados financieros debe ser completa dentro de los límites de la importancia relativa y el costo. Una omisión puede causar que la información sea falsa y equívoca, por tanto no fiable y deficiente en términos de relevancia. </w:t>
            </w:r>
          </w:p>
          <w:p w14:paraId="70E7EA8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A"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Comparabilidad: Los usuarios deben ser capaces de comparar los estados financieros de MULTIFAMILIAR URAPAN II a lo largo del tiempo, para identificar las tendencias de su situación financiera y su rendimiento financiero. La medida y presentación de los efectos financieros de transacciones similares y otros sucesos y condiciones son llevadas a cabo de una forma uniforme a través del tiempo. Los usuarios deben estar informados de las presentes políticas contables empleadas en la preparación de los estados financieros, de cualquier cambio habido en dichas políticas y de los efectos de estos cambios.</w:t>
            </w:r>
          </w:p>
          <w:p w14:paraId="70E7EA8B"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C"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Oportunidad: la oportunidad implica proporcionar información dentro del período de tiempo para la decisión. Si hay un retraso indebido en la presentación de la información, ésta puede perder su relevancia. Se espera conseguir un equilibrio entre relevancia y fiabilidad, la consideración decisiva es como se satisfacen mejor las necesidades de los usuarios internos y externos cuando toman decisiones económicas.</w:t>
            </w:r>
          </w:p>
          <w:p w14:paraId="70E7EA8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Equilibrio entre costo y beneficio: los beneficios derivados de la información deben exceder a los costos de suministrarla. La evaluación de beneficios y costos es, sustancialmente, un proceso de juicio.</w:t>
            </w:r>
          </w:p>
        </w:tc>
      </w:tr>
      <w:tr w:rsidR="000B7B01" w:rsidRPr="00E258E3" w14:paraId="70E7EA93" w14:textId="77777777" w:rsidTr="00803A09">
        <w:trPr>
          <w:trHeight w:val="300"/>
        </w:trPr>
        <w:tc>
          <w:tcPr>
            <w:tcW w:w="562" w:type="dxa"/>
            <w:shd w:val="clear" w:color="auto" w:fill="auto"/>
            <w:noWrap/>
            <w:hideMark/>
          </w:tcPr>
          <w:p w14:paraId="70E7EA9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C41</w:t>
            </w:r>
          </w:p>
        </w:tc>
        <w:tc>
          <w:tcPr>
            <w:tcW w:w="2835" w:type="dxa"/>
          </w:tcPr>
          <w:p w14:paraId="70E7EA9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juicios de la gerencia al aplicar las políticas contables de la entidad con efectos significativos en los importes reconocidos</w:t>
            </w:r>
          </w:p>
        </w:tc>
        <w:tc>
          <w:tcPr>
            <w:tcW w:w="7655" w:type="dxa"/>
            <w:shd w:val="clear" w:color="auto" w:fill="auto"/>
            <w:noWrap/>
            <w:hideMark/>
          </w:tcPr>
          <w:p w14:paraId="70E7EA92" w14:textId="35427D4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97" w14:textId="77777777" w:rsidTr="00803A09">
        <w:trPr>
          <w:trHeight w:val="300"/>
        </w:trPr>
        <w:tc>
          <w:tcPr>
            <w:tcW w:w="562" w:type="dxa"/>
            <w:shd w:val="clear" w:color="auto" w:fill="auto"/>
            <w:noWrap/>
            <w:hideMark/>
          </w:tcPr>
          <w:p w14:paraId="70E7EA9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C42</w:t>
            </w:r>
          </w:p>
        </w:tc>
        <w:tc>
          <w:tcPr>
            <w:tcW w:w="2835" w:type="dxa"/>
          </w:tcPr>
          <w:p w14:paraId="70E7EA9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del origen de incertidumbre de la estimación con </w:t>
            </w:r>
            <w:r w:rsidRPr="00E258E3">
              <w:rPr>
                <w:rFonts w:ascii="Arial Narrow" w:hAnsi="Arial Narrow" w:cs="Calibri"/>
                <w:color w:val="000000"/>
                <w:sz w:val="20"/>
                <w:szCs w:val="20"/>
              </w:rPr>
              <w:lastRenderedPageBreak/>
              <w:t>riesgo significativo de causar ajustes importantes</w:t>
            </w:r>
          </w:p>
        </w:tc>
        <w:tc>
          <w:tcPr>
            <w:tcW w:w="7655" w:type="dxa"/>
            <w:shd w:val="clear" w:color="auto" w:fill="auto"/>
            <w:noWrap/>
            <w:hideMark/>
          </w:tcPr>
          <w:p w14:paraId="70E7EA96" w14:textId="137D4E4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 </w:t>
            </w:r>
            <w:r w:rsidR="009A56BC">
              <w:rPr>
                <w:rFonts w:ascii="Arial Narrow" w:eastAsia="Times New Roman" w:hAnsi="Arial Narrow" w:cs="Calibri"/>
                <w:color w:val="000000"/>
                <w:sz w:val="20"/>
                <w:szCs w:val="20"/>
                <w:lang w:eastAsia="es-CO"/>
              </w:rPr>
              <w:t>NO APLICA</w:t>
            </w:r>
          </w:p>
        </w:tc>
      </w:tr>
      <w:tr w:rsidR="000B7B01" w:rsidRPr="00E258E3" w14:paraId="70E7EA9B" w14:textId="77777777" w:rsidTr="00803A09">
        <w:trPr>
          <w:trHeight w:val="300"/>
        </w:trPr>
        <w:tc>
          <w:tcPr>
            <w:tcW w:w="562" w:type="dxa"/>
            <w:shd w:val="clear" w:color="auto" w:fill="auto"/>
            <w:noWrap/>
            <w:hideMark/>
          </w:tcPr>
          <w:p w14:paraId="70E7EA98"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C43</w:t>
            </w:r>
          </w:p>
        </w:tc>
        <w:tc>
          <w:tcPr>
            <w:tcW w:w="2835" w:type="dxa"/>
          </w:tcPr>
          <w:p w14:paraId="70E7EA99"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activos y pasivos con riesgo significativo de ajustes importantes</w:t>
            </w:r>
          </w:p>
        </w:tc>
        <w:tc>
          <w:tcPr>
            <w:tcW w:w="7655" w:type="dxa"/>
            <w:shd w:val="clear" w:color="auto" w:fill="auto"/>
            <w:noWrap/>
            <w:hideMark/>
          </w:tcPr>
          <w:p w14:paraId="70E7EA9A" w14:textId="11706C3B"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9F" w14:textId="77777777" w:rsidTr="00803A09">
        <w:trPr>
          <w:trHeight w:val="300"/>
        </w:trPr>
        <w:tc>
          <w:tcPr>
            <w:tcW w:w="562" w:type="dxa"/>
            <w:shd w:val="clear" w:color="auto" w:fill="auto"/>
            <w:noWrap/>
            <w:hideMark/>
          </w:tcPr>
          <w:p w14:paraId="70E7EA9C"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C44</w:t>
            </w:r>
          </w:p>
        </w:tc>
        <w:tc>
          <w:tcPr>
            <w:tcW w:w="2835" w:type="dxa"/>
          </w:tcPr>
          <w:p w14:paraId="70E7EA9D"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activos y pasivos con riesgo significativo de ajustes importantes [partidas de los estados financieros]</w:t>
            </w:r>
          </w:p>
        </w:tc>
        <w:tc>
          <w:tcPr>
            <w:tcW w:w="7655" w:type="dxa"/>
            <w:shd w:val="clear" w:color="auto" w:fill="auto"/>
            <w:noWrap/>
            <w:hideMark/>
          </w:tcPr>
          <w:p w14:paraId="70E7EA9E" w14:textId="6CD563E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A3" w14:textId="77777777" w:rsidTr="00803A09">
        <w:trPr>
          <w:trHeight w:val="300"/>
        </w:trPr>
        <w:tc>
          <w:tcPr>
            <w:tcW w:w="562" w:type="dxa"/>
            <w:shd w:val="clear" w:color="auto" w:fill="auto"/>
            <w:noWrap/>
            <w:hideMark/>
          </w:tcPr>
          <w:p w14:paraId="70E7EAA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C45</w:t>
            </w:r>
          </w:p>
        </w:tc>
        <w:tc>
          <w:tcPr>
            <w:tcW w:w="2835" w:type="dxa"/>
          </w:tcPr>
          <w:p w14:paraId="70E7EAA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activos con riesgo significativo de ajustes materiales dentro del ejercicio contable siguiente</w:t>
            </w:r>
          </w:p>
        </w:tc>
        <w:tc>
          <w:tcPr>
            <w:tcW w:w="7655" w:type="dxa"/>
            <w:shd w:val="clear" w:color="auto" w:fill="auto"/>
            <w:noWrap/>
            <w:hideMark/>
          </w:tcPr>
          <w:p w14:paraId="70E7EAA2" w14:textId="67EF3285"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A7" w14:textId="77777777" w:rsidTr="00803A09">
        <w:trPr>
          <w:trHeight w:val="300"/>
        </w:trPr>
        <w:tc>
          <w:tcPr>
            <w:tcW w:w="562" w:type="dxa"/>
            <w:shd w:val="clear" w:color="auto" w:fill="auto"/>
            <w:noWrap/>
            <w:hideMark/>
          </w:tcPr>
          <w:p w14:paraId="70E7EAA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C46</w:t>
            </w:r>
          </w:p>
        </w:tc>
        <w:tc>
          <w:tcPr>
            <w:tcW w:w="2835" w:type="dxa"/>
          </w:tcPr>
          <w:p w14:paraId="70E7EAA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pasivos con riesgo significativo de ajustes materiales dentro del ejercicio contable siguiente</w:t>
            </w:r>
          </w:p>
        </w:tc>
        <w:tc>
          <w:tcPr>
            <w:tcW w:w="7655" w:type="dxa"/>
            <w:shd w:val="clear" w:color="auto" w:fill="auto"/>
            <w:noWrap/>
            <w:hideMark/>
          </w:tcPr>
          <w:p w14:paraId="70E7EAA6" w14:textId="5899A9B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AE" w14:textId="77777777" w:rsidTr="00803A09">
        <w:trPr>
          <w:trHeight w:val="300"/>
        </w:trPr>
        <w:tc>
          <w:tcPr>
            <w:tcW w:w="562" w:type="dxa"/>
            <w:shd w:val="clear" w:color="auto" w:fill="auto"/>
            <w:noWrap/>
            <w:hideMark/>
          </w:tcPr>
          <w:p w14:paraId="70E7EAA8"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C47</w:t>
            </w:r>
          </w:p>
        </w:tc>
        <w:tc>
          <w:tcPr>
            <w:tcW w:w="2835" w:type="dxa"/>
          </w:tcPr>
          <w:p w14:paraId="70E7EAA9"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objetivos, políticas y procesos para la gestión del capital</w:t>
            </w:r>
          </w:p>
        </w:tc>
        <w:tc>
          <w:tcPr>
            <w:tcW w:w="7655" w:type="dxa"/>
            <w:shd w:val="clear" w:color="auto" w:fill="auto"/>
            <w:noWrap/>
            <w:hideMark/>
          </w:tcPr>
          <w:p w14:paraId="70E7EAAA"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Se captan ahorros de los asociados y todos los asociados por ley deben hacer aportes sociales </w:t>
            </w:r>
          </w:p>
          <w:p w14:paraId="70E7EAAB"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con el 10% de los </w:t>
            </w:r>
            <w:r w:rsidR="0013148F" w:rsidRPr="00E258E3">
              <w:rPr>
                <w:rFonts w:ascii="Arial Narrow" w:eastAsia="Times New Roman" w:hAnsi="Arial Narrow" w:cs="Calibri"/>
                <w:color w:val="000000"/>
                <w:sz w:val="20"/>
                <w:szCs w:val="20"/>
                <w:lang w:eastAsia="es-CO"/>
              </w:rPr>
              <w:t>depósitos</w:t>
            </w:r>
            <w:r w:rsidRPr="00E258E3">
              <w:rPr>
                <w:rFonts w:ascii="Arial Narrow" w:eastAsia="Times New Roman" w:hAnsi="Arial Narrow" w:cs="Calibri"/>
                <w:color w:val="000000"/>
                <w:sz w:val="20"/>
                <w:szCs w:val="20"/>
                <w:lang w:eastAsia="es-CO"/>
              </w:rPr>
              <w:t xml:space="preserve"> se constituyen inversiones o efectivo y equivalentes del fondo de liquidez y el restante se destina para incrementar la cartera de </w:t>
            </w:r>
            <w:r w:rsidR="00E97E89" w:rsidRPr="00E258E3">
              <w:rPr>
                <w:rFonts w:ascii="Arial Narrow" w:eastAsia="Times New Roman" w:hAnsi="Arial Narrow" w:cs="Calibri"/>
                <w:color w:val="000000"/>
                <w:sz w:val="20"/>
                <w:szCs w:val="20"/>
                <w:lang w:eastAsia="es-CO"/>
              </w:rPr>
              <w:t>créditos</w:t>
            </w:r>
          </w:p>
          <w:p w14:paraId="70E7EAAC"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No se </w:t>
            </w:r>
            <w:r w:rsidR="0013148F" w:rsidRPr="00E258E3">
              <w:rPr>
                <w:rFonts w:ascii="Arial Narrow" w:eastAsia="Times New Roman" w:hAnsi="Arial Narrow" w:cs="Calibri"/>
                <w:color w:val="000000"/>
                <w:sz w:val="20"/>
                <w:szCs w:val="20"/>
                <w:lang w:eastAsia="es-CO"/>
              </w:rPr>
              <w:t>efectúan</w:t>
            </w:r>
            <w:r w:rsidRPr="00E258E3">
              <w:rPr>
                <w:rFonts w:ascii="Arial Narrow" w:eastAsia="Times New Roman" w:hAnsi="Arial Narrow" w:cs="Calibri"/>
                <w:color w:val="000000"/>
                <w:sz w:val="20"/>
                <w:szCs w:val="20"/>
                <w:lang w:eastAsia="es-CO"/>
              </w:rPr>
              <w:t xml:space="preserve"> inversiones en activos fijos apalancadas en créditos bancarios</w:t>
            </w:r>
          </w:p>
          <w:p w14:paraId="70E7EAAD" w14:textId="77777777" w:rsidR="000B7B01" w:rsidRPr="00E258E3" w:rsidRDefault="00E97E89"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únicamente</w:t>
            </w:r>
            <w:r w:rsidR="000B7B01" w:rsidRPr="00E258E3">
              <w:rPr>
                <w:rFonts w:ascii="Arial Narrow" w:eastAsia="Times New Roman" w:hAnsi="Arial Narrow" w:cs="Calibri"/>
                <w:color w:val="000000"/>
                <w:sz w:val="20"/>
                <w:szCs w:val="20"/>
                <w:lang w:eastAsia="es-CO"/>
              </w:rPr>
              <w:t xml:space="preserve"> se autorizan </w:t>
            </w:r>
            <w:r w:rsidRPr="00E258E3">
              <w:rPr>
                <w:rFonts w:ascii="Arial Narrow" w:eastAsia="Times New Roman" w:hAnsi="Arial Narrow" w:cs="Calibri"/>
                <w:color w:val="000000"/>
                <w:sz w:val="20"/>
                <w:szCs w:val="20"/>
                <w:lang w:eastAsia="es-CO"/>
              </w:rPr>
              <w:t>créditos</w:t>
            </w:r>
            <w:r w:rsidR="000B7B01" w:rsidRPr="00E258E3">
              <w:rPr>
                <w:rFonts w:ascii="Arial Narrow" w:eastAsia="Times New Roman" w:hAnsi="Arial Narrow" w:cs="Calibri"/>
                <w:color w:val="000000"/>
                <w:sz w:val="20"/>
                <w:szCs w:val="20"/>
                <w:lang w:eastAsia="es-CO"/>
              </w:rPr>
              <w:t xml:space="preserve"> bancarios para apalancar incrementos de la cartera o para cubrir eventuales necesidades de capital de trabajo e </w:t>
            </w:r>
            <w:r w:rsidRPr="00E258E3">
              <w:rPr>
                <w:rFonts w:ascii="Arial Narrow" w:eastAsia="Times New Roman" w:hAnsi="Arial Narrow" w:cs="Calibri"/>
                <w:color w:val="000000"/>
                <w:sz w:val="20"/>
                <w:szCs w:val="20"/>
                <w:lang w:eastAsia="es-CO"/>
              </w:rPr>
              <w:t>inversión</w:t>
            </w:r>
            <w:r w:rsidR="000B7B01" w:rsidRPr="00E258E3">
              <w:rPr>
                <w:rFonts w:ascii="Arial Narrow" w:eastAsia="Times New Roman" w:hAnsi="Arial Narrow" w:cs="Calibri"/>
                <w:color w:val="000000"/>
                <w:sz w:val="20"/>
                <w:szCs w:val="20"/>
                <w:lang w:eastAsia="es-CO"/>
              </w:rPr>
              <w:t xml:space="preserve"> a corto plazo</w:t>
            </w:r>
          </w:p>
        </w:tc>
      </w:tr>
      <w:tr w:rsidR="000B7B01" w:rsidRPr="00E258E3" w14:paraId="70E7EAB5" w14:textId="77777777" w:rsidTr="00803A09">
        <w:trPr>
          <w:trHeight w:val="300"/>
        </w:trPr>
        <w:tc>
          <w:tcPr>
            <w:tcW w:w="562" w:type="dxa"/>
            <w:shd w:val="clear" w:color="auto" w:fill="auto"/>
            <w:noWrap/>
            <w:hideMark/>
          </w:tcPr>
          <w:p w14:paraId="70E7EAA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C48</w:t>
            </w:r>
          </w:p>
        </w:tc>
        <w:tc>
          <w:tcPr>
            <w:tcW w:w="2835" w:type="dxa"/>
          </w:tcPr>
          <w:p w14:paraId="70E7EAB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objetivos, políticas y procesos para la gestión del capital [</w:t>
            </w:r>
            <w:r w:rsidRPr="00E258E3">
              <w:rPr>
                <w:rFonts w:ascii="Arial Narrow" w:hAnsi="Arial Narrow" w:cs="Calibri"/>
                <w:color w:val="FF0000"/>
                <w:sz w:val="20"/>
                <w:szCs w:val="20"/>
              </w:rPr>
              <w:t>partidas de los estados financieros]</w:t>
            </w:r>
          </w:p>
        </w:tc>
        <w:tc>
          <w:tcPr>
            <w:tcW w:w="7655" w:type="dxa"/>
            <w:shd w:val="clear" w:color="auto" w:fill="auto"/>
            <w:noWrap/>
            <w:hideMark/>
          </w:tcPr>
          <w:p w14:paraId="70E7EAB1"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Se captan ahorros de los asociados y todos los asociados por ley deben hacer aportes sociales </w:t>
            </w:r>
          </w:p>
          <w:p w14:paraId="70E7EAB2"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con el 10% de los </w:t>
            </w:r>
            <w:proofErr w:type="spellStart"/>
            <w:r w:rsidRPr="00E258E3">
              <w:rPr>
                <w:rFonts w:ascii="Arial Narrow" w:eastAsia="Times New Roman" w:hAnsi="Arial Narrow" w:cs="Calibri"/>
                <w:color w:val="000000"/>
                <w:sz w:val="20"/>
                <w:szCs w:val="20"/>
                <w:lang w:eastAsia="es-CO"/>
              </w:rPr>
              <w:t>depositos</w:t>
            </w:r>
            <w:proofErr w:type="spellEnd"/>
            <w:r w:rsidRPr="00E258E3">
              <w:rPr>
                <w:rFonts w:ascii="Arial Narrow" w:eastAsia="Times New Roman" w:hAnsi="Arial Narrow" w:cs="Calibri"/>
                <w:color w:val="000000"/>
                <w:sz w:val="20"/>
                <w:szCs w:val="20"/>
                <w:lang w:eastAsia="es-CO"/>
              </w:rPr>
              <w:t xml:space="preserve"> se constituyen inversiones o efectivo y equivalentes del fondo de liquidez y el restante se destina para incrementar la cartera de creditos</w:t>
            </w:r>
          </w:p>
          <w:p w14:paraId="70E7EAB3"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No se </w:t>
            </w:r>
            <w:r w:rsidR="00E97E89" w:rsidRPr="00E258E3">
              <w:rPr>
                <w:rFonts w:ascii="Arial Narrow" w:eastAsia="Times New Roman" w:hAnsi="Arial Narrow" w:cs="Calibri"/>
                <w:color w:val="000000"/>
                <w:sz w:val="20"/>
                <w:szCs w:val="20"/>
                <w:lang w:eastAsia="es-CO"/>
              </w:rPr>
              <w:t>efectúan</w:t>
            </w:r>
            <w:r w:rsidRPr="00E258E3">
              <w:rPr>
                <w:rFonts w:ascii="Arial Narrow" w:eastAsia="Times New Roman" w:hAnsi="Arial Narrow" w:cs="Calibri"/>
                <w:color w:val="000000"/>
                <w:sz w:val="20"/>
                <w:szCs w:val="20"/>
                <w:lang w:eastAsia="es-CO"/>
              </w:rPr>
              <w:t xml:space="preserve"> inversiones en activos fijos apalancadas en créditos bancarios</w:t>
            </w:r>
          </w:p>
          <w:p w14:paraId="70E7EAB4" w14:textId="77777777" w:rsidR="000B7B01" w:rsidRPr="00E258E3" w:rsidRDefault="00E97E89"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únicamente</w:t>
            </w:r>
            <w:r w:rsidR="000B7B01" w:rsidRPr="00E258E3">
              <w:rPr>
                <w:rFonts w:ascii="Arial Narrow" w:eastAsia="Times New Roman" w:hAnsi="Arial Narrow" w:cs="Calibri"/>
                <w:color w:val="000000"/>
                <w:sz w:val="20"/>
                <w:szCs w:val="20"/>
                <w:lang w:eastAsia="es-CO"/>
              </w:rPr>
              <w:t xml:space="preserve"> se autorizan </w:t>
            </w:r>
            <w:r w:rsidRPr="00E258E3">
              <w:rPr>
                <w:rFonts w:ascii="Arial Narrow" w:eastAsia="Times New Roman" w:hAnsi="Arial Narrow" w:cs="Calibri"/>
                <w:color w:val="000000"/>
                <w:sz w:val="20"/>
                <w:szCs w:val="20"/>
                <w:lang w:eastAsia="es-CO"/>
              </w:rPr>
              <w:t>créditos</w:t>
            </w:r>
            <w:r w:rsidR="000B7B01" w:rsidRPr="00E258E3">
              <w:rPr>
                <w:rFonts w:ascii="Arial Narrow" w:eastAsia="Times New Roman" w:hAnsi="Arial Narrow" w:cs="Calibri"/>
                <w:color w:val="000000"/>
                <w:sz w:val="20"/>
                <w:szCs w:val="20"/>
                <w:lang w:eastAsia="es-CO"/>
              </w:rPr>
              <w:t xml:space="preserve"> bancarios para apalancar incrementos de la cartera o para cubrir eventuales necesidades de capital de trabajo e </w:t>
            </w:r>
            <w:proofErr w:type="spellStart"/>
            <w:r w:rsidR="000B7B01" w:rsidRPr="00E258E3">
              <w:rPr>
                <w:rFonts w:ascii="Arial Narrow" w:eastAsia="Times New Roman" w:hAnsi="Arial Narrow" w:cs="Calibri"/>
                <w:color w:val="000000"/>
                <w:sz w:val="20"/>
                <w:szCs w:val="20"/>
                <w:lang w:eastAsia="es-CO"/>
              </w:rPr>
              <w:t>inversion</w:t>
            </w:r>
            <w:proofErr w:type="spellEnd"/>
            <w:r w:rsidR="000B7B01" w:rsidRPr="00E258E3">
              <w:rPr>
                <w:rFonts w:ascii="Arial Narrow" w:eastAsia="Times New Roman" w:hAnsi="Arial Narrow" w:cs="Calibri"/>
                <w:color w:val="000000"/>
                <w:sz w:val="20"/>
                <w:szCs w:val="20"/>
                <w:lang w:eastAsia="es-CO"/>
              </w:rPr>
              <w:t xml:space="preserve"> a corto plazo</w:t>
            </w:r>
          </w:p>
        </w:tc>
      </w:tr>
      <w:tr w:rsidR="000B7B01" w:rsidRPr="00E258E3" w14:paraId="70E7EAB9" w14:textId="77777777" w:rsidTr="00803A09">
        <w:trPr>
          <w:trHeight w:val="300"/>
        </w:trPr>
        <w:tc>
          <w:tcPr>
            <w:tcW w:w="562" w:type="dxa"/>
            <w:shd w:val="clear" w:color="auto" w:fill="auto"/>
            <w:noWrap/>
            <w:hideMark/>
          </w:tcPr>
          <w:p w14:paraId="70E7EAB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C49</w:t>
            </w:r>
          </w:p>
        </w:tc>
        <w:tc>
          <w:tcPr>
            <w:tcW w:w="2835" w:type="dxa"/>
          </w:tcPr>
          <w:p w14:paraId="70E7EAB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w:t>
            </w:r>
            <w:r w:rsidRPr="00E258E3">
              <w:rPr>
                <w:rFonts w:ascii="Arial Narrow" w:hAnsi="Arial Narrow" w:cs="Calibri"/>
                <w:color w:val="FF0000"/>
                <w:sz w:val="20"/>
                <w:szCs w:val="20"/>
              </w:rPr>
              <w:t xml:space="preserve">cualitativa </w:t>
            </w:r>
            <w:r w:rsidRPr="00E258E3">
              <w:rPr>
                <w:rFonts w:ascii="Arial Narrow" w:hAnsi="Arial Narrow" w:cs="Calibri"/>
                <w:color w:val="000000"/>
                <w:sz w:val="20"/>
                <w:szCs w:val="20"/>
              </w:rPr>
              <w:t>sobre los objetivos, políticas y procesos para gestionar el capital de la entidad</w:t>
            </w:r>
          </w:p>
        </w:tc>
        <w:tc>
          <w:tcPr>
            <w:tcW w:w="7655" w:type="dxa"/>
            <w:shd w:val="clear" w:color="auto" w:fill="auto"/>
            <w:noWrap/>
            <w:hideMark/>
          </w:tcPr>
          <w:p w14:paraId="70E7EAB8" w14:textId="12D2A1B4"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Se busca que la tasa ponderada de los </w:t>
            </w:r>
            <w:proofErr w:type="spellStart"/>
            <w:r w:rsidRPr="00E258E3">
              <w:rPr>
                <w:rFonts w:ascii="Arial Narrow" w:eastAsia="Times New Roman" w:hAnsi="Arial Narrow" w:cs="Calibri"/>
                <w:color w:val="000000"/>
                <w:sz w:val="20"/>
                <w:szCs w:val="20"/>
                <w:lang w:eastAsia="es-CO"/>
              </w:rPr>
              <w:t>depositos</w:t>
            </w:r>
            <w:proofErr w:type="spellEnd"/>
            <w:r w:rsidRPr="00E258E3">
              <w:rPr>
                <w:rFonts w:ascii="Arial Narrow" w:eastAsia="Times New Roman" w:hAnsi="Arial Narrow" w:cs="Calibri"/>
                <w:color w:val="000000"/>
                <w:sz w:val="20"/>
                <w:szCs w:val="20"/>
                <w:lang w:eastAsia="es-CO"/>
              </w:rPr>
              <w:t xml:space="preserve"> sea </w:t>
            </w:r>
            <w:proofErr w:type="spellStart"/>
            <w:r w:rsidRPr="00E258E3">
              <w:rPr>
                <w:rFonts w:ascii="Arial Narrow" w:eastAsia="Times New Roman" w:hAnsi="Arial Narrow" w:cs="Calibri"/>
                <w:color w:val="000000"/>
                <w:sz w:val="20"/>
                <w:szCs w:val="20"/>
                <w:lang w:eastAsia="es-CO"/>
              </w:rPr>
              <w:t>maximo</w:t>
            </w:r>
            <w:proofErr w:type="spellEnd"/>
            <w:r w:rsidRPr="00E258E3">
              <w:rPr>
                <w:rFonts w:ascii="Arial Narrow" w:eastAsia="Times New Roman" w:hAnsi="Arial Narrow" w:cs="Calibri"/>
                <w:color w:val="000000"/>
                <w:sz w:val="20"/>
                <w:szCs w:val="20"/>
                <w:lang w:eastAsia="es-CO"/>
              </w:rPr>
              <w:t xml:space="preserve"> de la DTF o IBR + 2 puntos y que la tasa de las obligaciones financieras se </w:t>
            </w:r>
            <w:r w:rsidR="00E97E89" w:rsidRPr="00E258E3">
              <w:rPr>
                <w:rFonts w:ascii="Arial Narrow" w:eastAsia="Times New Roman" w:hAnsi="Arial Narrow" w:cs="Calibri"/>
                <w:color w:val="000000"/>
                <w:sz w:val="20"/>
                <w:szCs w:val="20"/>
                <w:lang w:eastAsia="es-CO"/>
              </w:rPr>
              <w:t>máximo</w:t>
            </w:r>
            <w:r w:rsidRPr="00E258E3">
              <w:rPr>
                <w:rFonts w:ascii="Arial Narrow" w:eastAsia="Times New Roman" w:hAnsi="Arial Narrow" w:cs="Calibri"/>
                <w:color w:val="000000"/>
                <w:sz w:val="20"/>
                <w:szCs w:val="20"/>
                <w:lang w:eastAsia="es-CO"/>
              </w:rPr>
              <w:t xml:space="preserve"> DTF+5.</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El excedente neto </w:t>
            </w:r>
            <w:r w:rsidR="00E97E89" w:rsidRPr="00E258E3">
              <w:rPr>
                <w:rFonts w:ascii="Arial Narrow" w:eastAsia="Times New Roman" w:hAnsi="Arial Narrow" w:cs="Calibri"/>
                <w:color w:val="000000"/>
                <w:sz w:val="20"/>
                <w:szCs w:val="20"/>
                <w:lang w:eastAsia="es-CO"/>
              </w:rPr>
              <w:t>más</w:t>
            </w:r>
            <w:r w:rsidRPr="00E258E3">
              <w:rPr>
                <w:rFonts w:ascii="Arial Narrow" w:eastAsia="Times New Roman" w:hAnsi="Arial Narrow" w:cs="Calibri"/>
                <w:color w:val="000000"/>
                <w:sz w:val="20"/>
                <w:szCs w:val="20"/>
                <w:lang w:eastAsia="es-CO"/>
              </w:rPr>
              <w:t xml:space="preserve"> las actividades de beneficio social que afectan gastos deben ser iguales o superiores a los aportes sociales x 2 veces el IPC para garantizar el mantenimiento del Capital.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El capital institucional debe ser superior al 20% y los activos productivos superiores al 80%.</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La tasa de cartera debe ser inferior al </w:t>
            </w:r>
            <w:r w:rsidR="00E97E89" w:rsidRPr="00E258E3">
              <w:rPr>
                <w:rFonts w:ascii="Arial Narrow" w:eastAsia="Times New Roman" w:hAnsi="Arial Narrow" w:cs="Calibri"/>
                <w:color w:val="000000"/>
                <w:sz w:val="20"/>
                <w:szCs w:val="20"/>
                <w:lang w:eastAsia="es-CO"/>
              </w:rPr>
              <w:t>interés</w:t>
            </w:r>
            <w:r w:rsidRPr="00E258E3">
              <w:rPr>
                <w:rFonts w:ascii="Arial Narrow" w:eastAsia="Times New Roman" w:hAnsi="Arial Narrow" w:cs="Calibri"/>
                <w:color w:val="000000"/>
                <w:sz w:val="20"/>
                <w:szCs w:val="20"/>
                <w:lang w:eastAsia="es-CO"/>
              </w:rPr>
              <w:t xml:space="preserve"> bancario corriente y la rentabilidad de las inversiones por los menos superior en 1 punto al IPC sin realizar </w:t>
            </w:r>
            <w:r w:rsidR="00E97E89" w:rsidRPr="00E258E3">
              <w:rPr>
                <w:rFonts w:ascii="Arial Narrow" w:eastAsia="Times New Roman" w:hAnsi="Arial Narrow" w:cs="Calibri"/>
                <w:color w:val="000000"/>
                <w:sz w:val="20"/>
                <w:szCs w:val="20"/>
                <w:lang w:eastAsia="es-CO"/>
              </w:rPr>
              <w:t>inversiones</w:t>
            </w:r>
            <w:r w:rsidRPr="00E258E3">
              <w:rPr>
                <w:rFonts w:ascii="Arial Narrow" w:eastAsia="Times New Roman" w:hAnsi="Arial Narrow" w:cs="Calibri"/>
                <w:color w:val="000000"/>
                <w:sz w:val="20"/>
                <w:szCs w:val="20"/>
                <w:lang w:eastAsia="es-CO"/>
              </w:rPr>
              <w:t xml:space="preserve"> de tipo especulativo bajo ninguna circunstancia.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La actividad </w:t>
            </w:r>
            <w:r w:rsidR="00E97E89" w:rsidRPr="00E258E3">
              <w:rPr>
                <w:rFonts w:ascii="Arial Narrow" w:eastAsia="Times New Roman" w:hAnsi="Arial Narrow" w:cs="Calibri"/>
                <w:color w:val="000000"/>
                <w:sz w:val="20"/>
                <w:szCs w:val="20"/>
                <w:lang w:eastAsia="es-CO"/>
              </w:rPr>
              <w:t>económica</w:t>
            </w:r>
            <w:r w:rsidRPr="00E258E3">
              <w:rPr>
                <w:rFonts w:ascii="Arial Narrow" w:eastAsia="Times New Roman" w:hAnsi="Arial Narrow" w:cs="Calibri"/>
                <w:color w:val="000000"/>
                <w:sz w:val="20"/>
                <w:szCs w:val="20"/>
                <w:lang w:eastAsia="es-CO"/>
              </w:rPr>
              <w:t xml:space="preserve"> es especializada alrededor de la intermediación financiera con asociados.</w:t>
            </w:r>
          </w:p>
        </w:tc>
      </w:tr>
      <w:tr w:rsidR="000B7B01" w:rsidRPr="00E258E3" w14:paraId="70E7EACE" w14:textId="77777777" w:rsidTr="00803A09">
        <w:trPr>
          <w:trHeight w:val="300"/>
        </w:trPr>
        <w:tc>
          <w:tcPr>
            <w:tcW w:w="562" w:type="dxa"/>
            <w:shd w:val="clear" w:color="auto" w:fill="auto"/>
            <w:noWrap/>
            <w:hideMark/>
          </w:tcPr>
          <w:p w14:paraId="70E7EAB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C50</w:t>
            </w:r>
          </w:p>
        </w:tc>
        <w:tc>
          <w:tcPr>
            <w:tcW w:w="2835" w:type="dxa"/>
          </w:tcPr>
          <w:p w14:paraId="70E7EAB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Resumen de datos </w:t>
            </w:r>
            <w:r w:rsidRPr="00E258E3">
              <w:rPr>
                <w:rFonts w:ascii="Arial Narrow" w:hAnsi="Arial Narrow" w:cs="Calibri"/>
                <w:color w:val="FF0000"/>
                <w:sz w:val="20"/>
                <w:szCs w:val="20"/>
              </w:rPr>
              <w:t xml:space="preserve">cuantitativos </w:t>
            </w:r>
            <w:r w:rsidRPr="00E258E3">
              <w:rPr>
                <w:rFonts w:ascii="Arial Narrow" w:hAnsi="Arial Narrow" w:cs="Calibri"/>
                <w:color w:val="000000"/>
                <w:sz w:val="20"/>
                <w:szCs w:val="20"/>
              </w:rPr>
              <w:t>acerca de lo que gestiona la entidad como capital</w:t>
            </w:r>
          </w:p>
        </w:tc>
        <w:tc>
          <w:tcPr>
            <w:tcW w:w="7655" w:type="dxa"/>
            <w:shd w:val="clear" w:color="auto" w:fill="auto"/>
            <w:noWrap/>
            <w:hideMark/>
          </w:tcPr>
          <w:p w14:paraId="70E7EABC"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Activos</w:t>
            </w:r>
          </w:p>
          <w:p w14:paraId="70E7EABD"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Cartera $</w:t>
            </w:r>
          </w:p>
          <w:p w14:paraId="70E7EABE"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Inversiones $</w:t>
            </w:r>
          </w:p>
          <w:p w14:paraId="70E7EABF"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Efectivo y equivalentes $</w:t>
            </w:r>
          </w:p>
          <w:p w14:paraId="70E7EAC0"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CXC$</w:t>
            </w:r>
          </w:p>
          <w:p w14:paraId="70E7EAC1"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PPE$</w:t>
            </w:r>
          </w:p>
          <w:p w14:paraId="70E7EAC2"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Otros activos$</w:t>
            </w:r>
          </w:p>
          <w:p w14:paraId="70E7EAC3"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Pasivos y Patrimonio</w:t>
            </w:r>
          </w:p>
          <w:p w14:paraId="70E7EAC4" w14:textId="77777777" w:rsidR="00D527AC" w:rsidRPr="00E258E3" w:rsidRDefault="00E97E89"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Depósitos</w:t>
            </w:r>
            <w:r w:rsidR="00D527AC" w:rsidRPr="00E258E3">
              <w:rPr>
                <w:rFonts w:ascii="Arial Narrow" w:eastAsia="Times New Roman" w:hAnsi="Arial Narrow" w:cs="Calibri"/>
                <w:color w:val="000000"/>
                <w:sz w:val="20"/>
                <w:szCs w:val="20"/>
                <w:lang w:eastAsia="es-CO"/>
              </w:rPr>
              <w:t xml:space="preserve"> $</w:t>
            </w:r>
          </w:p>
          <w:p w14:paraId="70E7EAC5"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Obligaciones $</w:t>
            </w:r>
          </w:p>
          <w:p w14:paraId="70E7EAC6"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proofErr w:type="spellStart"/>
            <w:r w:rsidRPr="00E258E3">
              <w:rPr>
                <w:rFonts w:ascii="Arial Narrow" w:eastAsia="Times New Roman" w:hAnsi="Arial Narrow" w:cs="Calibri"/>
                <w:color w:val="000000"/>
                <w:sz w:val="20"/>
                <w:szCs w:val="20"/>
                <w:lang w:eastAsia="es-CO"/>
              </w:rPr>
              <w:t>CxP</w:t>
            </w:r>
            <w:proofErr w:type="spellEnd"/>
            <w:r w:rsidR="00E97E89"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w:t>
            </w:r>
          </w:p>
          <w:p w14:paraId="70E7EAC7"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Fondos Sociales $</w:t>
            </w:r>
          </w:p>
          <w:p w14:paraId="70E7EAC8"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Impuestos$</w:t>
            </w:r>
          </w:p>
          <w:p w14:paraId="70E7EAC9"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Beneficios a empleados$</w:t>
            </w:r>
          </w:p>
          <w:p w14:paraId="70E7EACA"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proofErr w:type="gramStart"/>
            <w:r w:rsidRPr="00E258E3">
              <w:rPr>
                <w:rFonts w:ascii="Arial Narrow" w:eastAsia="Times New Roman" w:hAnsi="Arial Narrow" w:cs="Calibri"/>
                <w:color w:val="000000"/>
                <w:sz w:val="20"/>
                <w:szCs w:val="20"/>
                <w:lang w:eastAsia="es-CO"/>
              </w:rPr>
              <w:t>Otro pasivos</w:t>
            </w:r>
            <w:proofErr w:type="gramEnd"/>
            <w:r w:rsidRPr="00E258E3">
              <w:rPr>
                <w:rFonts w:ascii="Arial Narrow" w:eastAsia="Times New Roman" w:hAnsi="Arial Narrow" w:cs="Calibri"/>
                <w:color w:val="000000"/>
                <w:sz w:val="20"/>
                <w:szCs w:val="20"/>
                <w:lang w:eastAsia="es-CO"/>
              </w:rPr>
              <w:t>$</w:t>
            </w:r>
          </w:p>
          <w:p w14:paraId="70E7EACB"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Aportes Sociales</w:t>
            </w:r>
          </w:p>
          <w:p w14:paraId="70E7EACC"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Reservas, fondos y superávit</w:t>
            </w:r>
          </w:p>
          <w:p w14:paraId="70E7EACD"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Resultados acumulados</w:t>
            </w:r>
          </w:p>
        </w:tc>
      </w:tr>
      <w:tr w:rsidR="000B7B01" w:rsidRPr="00E258E3" w14:paraId="70E7EAD2" w14:textId="77777777" w:rsidTr="00803A09">
        <w:trPr>
          <w:trHeight w:val="300"/>
        </w:trPr>
        <w:tc>
          <w:tcPr>
            <w:tcW w:w="562" w:type="dxa"/>
            <w:shd w:val="clear" w:color="auto" w:fill="auto"/>
            <w:noWrap/>
            <w:hideMark/>
          </w:tcPr>
          <w:p w14:paraId="70E7EAC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C51</w:t>
            </w:r>
          </w:p>
        </w:tc>
        <w:tc>
          <w:tcPr>
            <w:tcW w:w="2835" w:type="dxa"/>
          </w:tcPr>
          <w:p w14:paraId="70E7EAD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los cambios en los objetivos, políticas y procesos de la entidad para gestionar el capital y lo que la entidad gestiona como capital</w:t>
            </w:r>
          </w:p>
        </w:tc>
        <w:tc>
          <w:tcPr>
            <w:tcW w:w="7655" w:type="dxa"/>
            <w:shd w:val="clear" w:color="auto" w:fill="auto"/>
            <w:noWrap/>
            <w:hideMark/>
          </w:tcPr>
          <w:p w14:paraId="70E7EAD1" w14:textId="7F57B26A" w:rsidR="000B7B01" w:rsidRPr="00E258E3" w:rsidRDefault="009A56BC"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r w:rsidR="000B7B01" w:rsidRPr="00E258E3">
              <w:rPr>
                <w:rFonts w:ascii="Arial Narrow" w:eastAsia="Times New Roman" w:hAnsi="Arial Narrow" w:cs="Calibri"/>
                <w:color w:val="000000"/>
                <w:sz w:val="20"/>
                <w:szCs w:val="20"/>
                <w:lang w:eastAsia="es-CO"/>
              </w:rPr>
              <w:t> </w:t>
            </w:r>
          </w:p>
        </w:tc>
      </w:tr>
      <w:tr w:rsidR="000B7B01" w:rsidRPr="00E258E3" w14:paraId="70E7EAD6" w14:textId="77777777" w:rsidTr="00803A09">
        <w:trPr>
          <w:trHeight w:val="300"/>
        </w:trPr>
        <w:tc>
          <w:tcPr>
            <w:tcW w:w="562" w:type="dxa"/>
            <w:shd w:val="clear" w:color="auto" w:fill="auto"/>
            <w:noWrap/>
            <w:hideMark/>
          </w:tcPr>
          <w:p w14:paraId="70E7EAD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C52</w:t>
            </w:r>
          </w:p>
        </w:tc>
        <w:tc>
          <w:tcPr>
            <w:tcW w:w="2835" w:type="dxa"/>
          </w:tcPr>
          <w:p w14:paraId="70E7EAD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sobre si la entidad cumplió con los requerimientos de capital impuestos externamente</w:t>
            </w:r>
          </w:p>
        </w:tc>
        <w:tc>
          <w:tcPr>
            <w:tcW w:w="7655" w:type="dxa"/>
            <w:shd w:val="clear" w:color="auto" w:fill="auto"/>
            <w:noWrap/>
            <w:hideMark/>
          </w:tcPr>
          <w:p w14:paraId="70E7EAD5" w14:textId="5BC68D0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La entidad tiene una </w:t>
            </w:r>
            <w:r w:rsidR="00E97E89" w:rsidRPr="00E258E3">
              <w:rPr>
                <w:rFonts w:ascii="Arial Narrow" w:eastAsia="Times New Roman" w:hAnsi="Arial Narrow" w:cs="Calibri"/>
                <w:color w:val="000000"/>
                <w:sz w:val="20"/>
                <w:szCs w:val="20"/>
                <w:lang w:eastAsia="es-CO"/>
              </w:rPr>
              <w:t>relación</w:t>
            </w:r>
            <w:r w:rsidRPr="00E258E3">
              <w:rPr>
                <w:rFonts w:ascii="Arial Narrow" w:eastAsia="Times New Roman" w:hAnsi="Arial Narrow" w:cs="Calibri"/>
                <w:color w:val="000000"/>
                <w:sz w:val="20"/>
                <w:szCs w:val="20"/>
                <w:lang w:eastAsia="es-CO"/>
              </w:rPr>
              <w:t xml:space="preserve"> de solvencia muy superior al 9% </w:t>
            </w:r>
            <w:r w:rsidR="006200B9" w:rsidRPr="00E258E3">
              <w:rPr>
                <w:rFonts w:ascii="Arial Narrow" w:eastAsia="Times New Roman" w:hAnsi="Arial Narrow" w:cs="Calibri"/>
                <w:color w:val="000000"/>
                <w:sz w:val="20"/>
                <w:szCs w:val="20"/>
                <w:lang w:eastAsia="es-CO"/>
              </w:rPr>
              <w:t>mínimo</w:t>
            </w:r>
            <w:r w:rsidRPr="00E258E3">
              <w:rPr>
                <w:rFonts w:ascii="Arial Narrow" w:eastAsia="Times New Roman" w:hAnsi="Arial Narrow" w:cs="Calibri"/>
                <w:color w:val="000000"/>
                <w:sz w:val="20"/>
                <w:szCs w:val="20"/>
                <w:lang w:eastAsia="es-CO"/>
              </w:rPr>
              <w:t xml:space="preserve"> exigido y cumple de manera permanente con el 10% de los </w:t>
            </w:r>
            <w:r w:rsidR="00E97E89" w:rsidRPr="00E258E3">
              <w:rPr>
                <w:rFonts w:ascii="Arial Narrow" w:eastAsia="Times New Roman" w:hAnsi="Arial Narrow" w:cs="Calibri"/>
                <w:color w:val="000000"/>
                <w:sz w:val="20"/>
                <w:szCs w:val="20"/>
                <w:lang w:eastAsia="es-CO"/>
              </w:rPr>
              <w:t>depósitos</w:t>
            </w:r>
            <w:r w:rsidRPr="00E258E3">
              <w:rPr>
                <w:rFonts w:ascii="Arial Narrow" w:eastAsia="Times New Roman" w:hAnsi="Arial Narrow" w:cs="Calibri"/>
                <w:color w:val="000000"/>
                <w:sz w:val="20"/>
                <w:szCs w:val="20"/>
                <w:lang w:eastAsia="es-CO"/>
              </w:rPr>
              <w:t xml:space="preserve"> constituido como fondo de liquidez destinando el 100% de los recursos captados de aportes ahorros y obligaciones financieras a la creación de activos financieros de alta calidad liquidez y rentabilidad</w:t>
            </w:r>
          </w:p>
        </w:tc>
      </w:tr>
      <w:tr w:rsidR="000B7B01" w:rsidRPr="00E258E3" w14:paraId="70E7EADA" w14:textId="77777777" w:rsidTr="00803A09">
        <w:trPr>
          <w:trHeight w:val="300"/>
        </w:trPr>
        <w:tc>
          <w:tcPr>
            <w:tcW w:w="562" w:type="dxa"/>
            <w:shd w:val="clear" w:color="auto" w:fill="auto"/>
            <w:noWrap/>
            <w:hideMark/>
          </w:tcPr>
          <w:p w14:paraId="70E7EAD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C53</w:t>
            </w:r>
          </w:p>
        </w:tc>
        <w:tc>
          <w:tcPr>
            <w:tcW w:w="2835" w:type="dxa"/>
          </w:tcPr>
          <w:p w14:paraId="70E7EAD8"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sobre las consecuencias de no cumplir con los requerimientos de capital impuestos externamente</w:t>
            </w:r>
          </w:p>
        </w:tc>
        <w:tc>
          <w:tcPr>
            <w:tcW w:w="7655" w:type="dxa"/>
            <w:shd w:val="clear" w:color="auto" w:fill="auto"/>
            <w:noWrap/>
            <w:hideMark/>
          </w:tcPr>
          <w:p w14:paraId="70E7EAD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MULTAS por parte de los entes de control y retiro del seguro de </w:t>
            </w:r>
            <w:proofErr w:type="spellStart"/>
            <w:r w:rsidRPr="00E258E3">
              <w:rPr>
                <w:rFonts w:ascii="Arial Narrow" w:eastAsia="Times New Roman" w:hAnsi="Arial Narrow" w:cs="Calibri"/>
                <w:color w:val="000000"/>
                <w:sz w:val="20"/>
                <w:szCs w:val="20"/>
                <w:lang w:eastAsia="es-CO"/>
              </w:rPr>
              <w:t>deposito</w:t>
            </w:r>
            <w:proofErr w:type="spellEnd"/>
            <w:r w:rsidRPr="00E258E3">
              <w:rPr>
                <w:rFonts w:ascii="Arial Narrow" w:eastAsia="Times New Roman" w:hAnsi="Arial Narrow" w:cs="Calibri"/>
                <w:color w:val="000000"/>
                <w:sz w:val="20"/>
                <w:szCs w:val="20"/>
                <w:lang w:eastAsia="es-CO"/>
              </w:rPr>
              <w:t xml:space="preserve"> del FOGACOOP con la consecuente cancelación de la actividad financiera y la obligatoriedad de desmontar la actividad financiera es decir devolver las captaciones</w:t>
            </w:r>
          </w:p>
        </w:tc>
      </w:tr>
      <w:tr w:rsidR="000B7B01" w:rsidRPr="00E258E3" w14:paraId="70E7EAE2" w14:textId="77777777" w:rsidTr="00803A09">
        <w:trPr>
          <w:trHeight w:val="300"/>
        </w:trPr>
        <w:tc>
          <w:tcPr>
            <w:tcW w:w="562" w:type="dxa"/>
            <w:shd w:val="clear" w:color="auto" w:fill="auto"/>
            <w:noWrap/>
            <w:hideMark/>
          </w:tcPr>
          <w:p w14:paraId="70E7EAD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C54</w:t>
            </w:r>
          </w:p>
        </w:tc>
        <w:tc>
          <w:tcPr>
            <w:tcW w:w="2835" w:type="dxa"/>
          </w:tcPr>
          <w:p w14:paraId="70E7EAD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Descripción de la naturaleza de los </w:t>
            </w:r>
            <w:r w:rsidRPr="00E258E3">
              <w:rPr>
                <w:rFonts w:ascii="Arial Narrow" w:hAnsi="Arial Narrow" w:cs="Calibri"/>
                <w:color w:val="FF0000"/>
                <w:sz w:val="20"/>
                <w:szCs w:val="20"/>
              </w:rPr>
              <w:t xml:space="preserve">activos distintos al efectivo </w:t>
            </w:r>
            <w:r w:rsidRPr="00E258E3">
              <w:rPr>
                <w:rFonts w:ascii="Arial Narrow" w:hAnsi="Arial Narrow" w:cs="Calibri"/>
                <w:color w:val="000000"/>
                <w:sz w:val="20"/>
                <w:szCs w:val="20"/>
              </w:rPr>
              <w:t>mantenidos para distribuir a los propietarios declarados antes de la autorización de los estados financieros para su publicación</w:t>
            </w:r>
          </w:p>
        </w:tc>
        <w:tc>
          <w:tcPr>
            <w:tcW w:w="7655" w:type="dxa"/>
            <w:shd w:val="clear" w:color="auto" w:fill="auto"/>
            <w:noWrap/>
            <w:hideMark/>
          </w:tcPr>
          <w:p w14:paraId="70E7EAD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Inversiones del fondo de liquidez </w:t>
            </w:r>
          </w:p>
          <w:p w14:paraId="70E7EAD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cartera de </w:t>
            </w:r>
            <w:r w:rsidR="00E97E89" w:rsidRPr="00E258E3">
              <w:rPr>
                <w:rFonts w:ascii="Arial Narrow" w:eastAsia="Times New Roman" w:hAnsi="Arial Narrow" w:cs="Calibri"/>
                <w:color w:val="000000"/>
                <w:sz w:val="20"/>
                <w:szCs w:val="20"/>
                <w:lang w:eastAsia="es-CO"/>
              </w:rPr>
              <w:t>créditos</w:t>
            </w:r>
          </w:p>
          <w:p w14:paraId="70E7EAD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cuentas por cobrar</w:t>
            </w:r>
          </w:p>
          <w:p w14:paraId="70E7EAE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propiedad planta y equipo</w:t>
            </w:r>
          </w:p>
          <w:p w14:paraId="70E7EAE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intangibles</w:t>
            </w:r>
          </w:p>
        </w:tc>
      </w:tr>
      <w:tr w:rsidR="000B7B01" w:rsidRPr="00E258E3" w14:paraId="70E7EAE6" w14:textId="77777777" w:rsidTr="00803A09">
        <w:trPr>
          <w:trHeight w:val="300"/>
        </w:trPr>
        <w:tc>
          <w:tcPr>
            <w:tcW w:w="562" w:type="dxa"/>
            <w:shd w:val="clear" w:color="auto" w:fill="auto"/>
            <w:noWrap/>
            <w:hideMark/>
          </w:tcPr>
          <w:p w14:paraId="70E7EAE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C55</w:t>
            </w:r>
          </w:p>
        </w:tc>
        <w:tc>
          <w:tcPr>
            <w:tcW w:w="2835" w:type="dxa"/>
          </w:tcPr>
          <w:p w14:paraId="70E7EAE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Descripción de los métodos utilizados para medir el valor razonable de activos distintos al efectivo declarados para distribuir a los propietarios antes de autorizar los estados financieros para su emisión </w:t>
            </w:r>
          </w:p>
        </w:tc>
        <w:tc>
          <w:tcPr>
            <w:tcW w:w="7655" w:type="dxa"/>
            <w:shd w:val="clear" w:color="auto" w:fill="auto"/>
            <w:noWrap/>
            <w:hideMark/>
          </w:tcPr>
          <w:p w14:paraId="70E7EAE5" w14:textId="63188383"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D527AC" w:rsidRPr="00E258E3">
              <w:rPr>
                <w:rFonts w:ascii="Arial Narrow" w:eastAsia="Times New Roman" w:hAnsi="Arial Narrow" w:cs="Calibri"/>
                <w:color w:val="000000"/>
                <w:sz w:val="20"/>
                <w:szCs w:val="20"/>
                <w:lang w:eastAsia="es-CO"/>
              </w:rPr>
              <w:t>N</w:t>
            </w:r>
            <w:r w:rsidRPr="00E258E3">
              <w:rPr>
                <w:rFonts w:ascii="Arial Narrow" w:eastAsia="Times New Roman" w:hAnsi="Arial Narrow" w:cs="Calibri"/>
                <w:color w:val="000000"/>
                <w:sz w:val="20"/>
                <w:szCs w:val="20"/>
                <w:lang w:eastAsia="es-CO"/>
              </w:rPr>
              <w:t xml:space="preserve">o existen activos para medir a valor razonable pero si se tuvieran acciones se medirían con el precio cotizado de la bolsa de valores y si se tuvieran propiedades de </w:t>
            </w:r>
            <w:r w:rsidR="006200B9" w:rsidRPr="00E258E3">
              <w:rPr>
                <w:rFonts w:ascii="Arial Narrow" w:eastAsia="Times New Roman" w:hAnsi="Arial Narrow" w:cs="Calibri"/>
                <w:color w:val="000000"/>
                <w:sz w:val="20"/>
                <w:szCs w:val="20"/>
                <w:lang w:eastAsia="es-CO"/>
              </w:rPr>
              <w:t>inversión</w:t>
            </w:r>
            <w:r w:rsidRPr="00E258E3">
              <w:rPr>
                <w:rFonts w:ascii="Arial Narrow" w:eastAsia="Times New Roman" w:hAnsi="Arial Narrow" w:cs="Calibri"/>
                <w:color w:val="000000"/>
                <w:sz w:val="20"/>
                <w:szCs w:val="20"/>
                <w:lang w:eastAsia="es-CO"/>
              </w:rPr>
              <w:t xml:space="preserve"> actualmente se actualizarían con el </w:t>
            </w:r>
            <w:proofErr w:type="spellStart"/>
            <w:r w:rsidRPr="00E258E3">
              <w:rPr>
                <w:rFonts w:ascii="Arial Narrow" w:eastAsia="Times New Roman" w:hAnsi="Arial Narrow" w:cs="Calibri"/>
                <w:color w:val="000000"/>
                <w:sz w:val="20"/>
                <w:szCs w:val="20"/>
                <w:lang w:eastAsia="es-CO"/>
              </w:rPr>
              <w:t>avaluo</w:t>
            </w:r>
            <w:proofErr w:type="spellEnd"/>
            <w:r w:rsidRPr="00E258E3">
              <w:rPr>
                <w:rFonts w:ascii="Arial Narrow" w:eastAsia="Times New Roman" w:hAnsi="Arial Narrow" w:cs="Calibri"/>
                <w:color w:val="000000"/>
                <w:sz w:val="20"/>
                <w:szCs w:val="20"/>
                <w:lang w:eastAsia="es-CO"/>
              </w:rPr>
              <w:t xml:space="preserve"> de la LONJA</w:t>
            </w:r>
          </w:p>
        </w:tc>
      </w:tr>
      <w:tr w:rsidR="000B7B01" w:rsidRPr="00E258E3" w14:paraId="70E7EAEA" w14:textId="77777777" w:rsidTr="00803A09">
        <w:trPr>
          <w:trHeight w:val="300"/>
        </w:trPr>
        <w:tc>
          <w:tcPr>
            <w:tcW w:w="562" w:type="dxa"/>
            <w:shd w:val="clear" w:color="auto" w:fill="auto"/>
            <w:noWrap/>
            <w:hideMark/>
          </w:tcPr>
          <w:p w14:paraId="70E7EAE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C56</w:t>
            </w:r>
          </w:p>
        </w:tc>
        <w:tc>
          <w:tcPr>
            <w:tcW w:w="2835" w:type="dxa"/>
          </w:tcPr>
          <w:p w14:paraId="70E7EAE8"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del calendario y razones para la reclasificación entre pasivos financieros y patrimonio</w:t>
            </w:r>
          </w:p>
        </w:tc>
        <w:tc>
          <w:tcPr>
            <w:tcW w:w="7655" w:type="dxa"/>
            <w:shd w:val="clear" w:color="auto" w:fill="auto"/>
            <w:noWrap/>
            <w:hideMark/>
          </w:tcPr>
          <w:p w14:paraId="70E7EAE9" w14:textId="0CDFE62F"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Actualmente existe en el capital social una porción con derecho a rescate que se presenta en el patrimonio por la salvedad establecida en el </w:t>
            </w:r>
            <w:r w:rsidR="00D527AC" w:rsidRPr="00E258E3">
              <w:rPr>
                <w:rFonts w:ascii="Arial Narrow" w:eastAsia="Times New Roman" w:hAnsi="Arial Narrow" w:cs="Calibri"/>
                <w:color w:val="000000"/>
                <w:sz w:val="20"/>
                <w:szCs w:val="20"/>
                <w:lang w:eastAsia="es-CO"/>
              </w:rPr>
              <w:t>artículo</w:t>
            </w:r>
            <w:r w:rsidRPr="00E258E3">
              <w:rPr>
                <w:rFonts w:ascii="Arial Narrow" w:eastAsia="Times New Roman" w:hAnsi="Arial Narrow" w:cs="Calibri"/>
                <w:color w:val="000000"/>
                <w:sz w:val="20"/>
                <w:szCs w:val="20"/>
                <w:lang w:eastAsia="es-CO"/>
              </w:rPr>
              <w:t xml:space="preserve"> 3 del decreto </w:t>
            </w:r>
            <w:r w:rsidR="006200B9">
              <w:rPr>
                <w:rFonts w:ascii="Arial Narrow" w:eastAsia="Times New Roman" w:hAnsi="Arial Narrow" w:cs="Calibri"/>
                <w:color w:val="000000"/>
                <w:sz w:val="20"/>
                <w:szCs w:val="20"/>
                <w:lang w:eastAsia="es-CO"/>
              </w:rPr>
              <w:t>2496 de 2015</w:t>
            </w:r>
            <w:r w:rsidRPr="00E258E3">
              <w:rPr>
                <w:rFonts w:ascii="Arial Narrow" w:eastAsia="Times New Roman" w:hAnsi="Arial Narrow" w:cs="Calibri"/>
                <w:color w:val="000000"/>
                <w:sz w:val="20"/>
                <w:szCs w:val="20"/>
                <w:lang w:eastAsia="es-CO"/>
              </w:rPr>
              <w:t xml:space="preserve"> que de reformarse implicaría su traslado al pasivo hecho sobre el cual no se tiene conocimiento de que vaya a suceder prontamente.</w:t>
            </w:r>
          </w:p>
        </w:tc>
      </w:tr>
      <w:tr w:rsidR="000B7B01" w:rsidRPr="00E258E3" w14:paraId="70E7EAEE" w14:textId="77777777" w:rsidTr="00803A09">
        <w:trPr>
          <w:trHeight w:val="300"/>
        </w:trPr>
        <w:tc>
          <w:tcPr>
            <w:tcW w:w="562" w:type="dxa"/>
            <w:shd w:val="clear" w:color="auto" w:fill="auto"/>
            <w:noWrap/>
            <w:hideMark/>
          </w:tcPr>
          <w:p w14:paraId="70E7EAE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C57</w:t>
            </w:r>
          </w:p>
        </w:tc>
        <w:tc>
          <w:tcPr>
            <w:tcW w:w="2835" w:type="dxa"/>
          </w:tcPr>
          <w:p w14:paraId="70E7EAE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operaciones de compra y venta de cartera</w:t>
            </w:r>
          </w:p>
        </w:tc>
        <w:tc>
          <w:tcPr>
            <w:tcW w:w="7655" w:type="dxa"/>
            <w:shd w:val="clear" w:color="auto" w:fill="auto"/>
            <w:noWrap/>
            <w:hideMark/>
          </w:tcPr>
          <w:p w14:paraId="70E7EAED" w14:textId="77777777" w:rsidR="000B7B01"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L</w:t>
            </w:r>
            <w:r w:rsidR="000B7B01" w:rsidRPr="00E258E3">
              <w:rPr>
                <w:rFonts w:ascii="Arial Narrow" w:eastAsia="Times New Roman" w:hAnsi="Arial Narrow" w:cs="Calibri"/>
                <w:color w:val="000000"/>
                <w:sz w:val="20"/>
                <w:szCs w:val="20"/>
                <w:lang w:eastAsia="es-CO"/>
              </w:rPr>
              <w:t>a entidad no realiza este tipo de operaciones</w:t>
            </w:r>
          </w:p>
        </w:tc>
      </w:tr>
      <w:tr w:rsidR="000B7B01" w:rsidRPr="00E258E3" w14:paraId="70E7EAF2" w14:textId="77777777" w:rsidTr="00803A09">
        <w:trPr>
          <w:trHeight w:val="300"/>
        </w:trPr>
        <w:tc>
          <w:tcPr>
            <w:tcW w:w="562" w:type="dxa"/>
            <w:shd w:val="clear" w:color="auto" w:fill="auto"/>
            <w:noWrap/>
            <w:hideMark/>
          </w:tcPr>
          <w:p w14:paraId="70E7EAE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C58</w:t>
            </w:r>
          </w:p>
        </w:tc>
        <w:tc>
          <w:tcPr>
            <w:tcW w:w="2835" w:type="dxa"/>
          </w:tcPr>
          <w:p w14:paraId="70E7EAF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las operaciones de compra y venta de cartera</w:t>
            </w:r>
          </w:p>
        </w:tc>
        <w:tc>
          <w:tcPr>
            <w:tcW w:w="7655" w:type="dxa"/>
            <w:shd w:val="clear" w:color="auto" w:fill="auto"/>
            <w:noWrap/>
            <w:hideMark/>
          </w:tcPr>
          <w:p w14:paraId="70E7EAF1" w14:textId="77777777" w:rsidR="000B7B01"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L</w:t>
            </w:r>
            <w:r w:rsidR="000B7B01" w:rsidRPr="00E258E3">
              <w:rPr>
                <w:rFonts w:ascii="Arial Narrow" w:eastAsia="Times New Roman" w:hAnsi="Arial Narrow" w:cs="Calibri"/>
                <w:color w:val="000000"/>
                <w:sz w:val="20"/>
                <w:szCs w:val="20"/>
                <w:lang w:eastAsia="es-CO"/>
              </w:rPr>
              <w:t>a entidad no realiza este tipo de operaciones</w:t>
            </w:r>
          </w:p>
        </w:tc>
      </w:tr>
      <w:tr w:rsidR="000B7B01" w:rsidRPr="00E258E3" w14:paraId="70E7EB13" w14:textId="77777777" w:rsidTr="00803A09">
        <w:trPr>
          <w:trHeight w:val="300"/>
        </w:trPr>
        <w:tc>
          <w:tcPr>
            <w:tcW w:w="562" w:type="dxa"/>
            <w:shd w:val="clear" w:color="auto" w:fill="auto"/>
            <w:noWrap/>
            <w:hideMark/>
          </w:tcPr>
          <w:p w14:paraId="70E7EAF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C59</w:t>
            </w:r>
          </w:p>
        </w:tc>
        <w:tc>
          <w:tcPr>
            <w:tcW w:w="2835" w:type="dxa"/>
          </w:tcPr>
          <w:p w14:paraId="70E7EAF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cambios en políticas contables, estimaciones contables y errores</w:t>
            </w:r>
          </w:p>
        </w:tc>
        <w:tc>
          <w:tcPr>
            <w:tcW w:w="7655" w:type="dxa"/>
            <w:shd w:val="clear" w:color="auto" w:fill="auto"/>
            <w:noWrap/>
          </w:tcPr>
          <w:p w14:paraId="70E7EB12" w14:textId="0A85D3E9" w:rsidR="000B7B01" w:rsidRPr="00E258E3" w:rsidRDefault="006200B9"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B17" w14:textId="77777777" w:rsidTr="00803A09">
        <w:trPr>
          <w:trHeight w:val="300"/>
        </w:trPr>
        <w:tc>
          <w:tcPr>
            <w:tcW w:w="562" w:type="dxa"/>
            <w:shd w:val="clear" w:color="auto" w:fill="auto"/>
            <w:noWrap/>
            <w:hideMark/>
          </w:tcPr>
          <w:p w14:paraId="70E7EB1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C60</w:t>
            </w:r>
          </w:p>
        </w:tc>
        <w:tc>
          <w:tcPr>
            <w:tcW w:w="2835" w:type="dxa"/>
          </w:tcPr>
          <w:p w14:paraId="70E7EB1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 aplicación inicial de normas o interpretaciones</w:t>
            </w:r>
          </w:p>
        </w:tc>
        <w:tc>
          <w:tcPr>
            <w:tcW w:w="7655" w:type="dxa"/>
            <w:shd w:val="clear" w:color="auto" w:fill="auto"/>
            <w:noWrap/>
            <w:hideMark/>
          </w:tcPr>
          <w:p w14:paraId="70E7EB16" w14:textId="074A235B"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La entidad adopto NIIF para PYMES por primera vez a partir del 01 de enero de </w:t>
            </w:r>
            <w:r w:rsidR="00E258E3" w:rsidRPr="00E258E3">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 xml:space="preserve"> fecha en la cual se hizo uso de la </w:t>
            </w:r>
            <w:r w:rsidR="00D527AC" w:rsidRPr="00E258E3">
              <w:rPr>
                <w:rFonts w:ascii="Arial Narrow" w:eastAsia="Times New Roman" w:hAnsi="Arial Narrow" w:cs="Calibri"/>
                <w:color w:val="000000"/>
                <w:sz w:val="20"/>
                <w:szCs w:val="20"/>
                <w:lang w:eastAsia="es-CO"/>
              </w:rPr>
              <w:t>exención</w:t>
            </w:r>
            <w:r w:rsidRPr="00E258E3">
              <w:rPr>
                <w:rFonts w:ascii="Arial Narrow" w:eastAsia="Times New Roman" w:hAnsi="Arial Narrow" w:cs="Calibri"/>
                <w:color w:val="000000"/>
                <w:sz w:val="20"/>
                <w:szCs w:val="20"/>
                <w:lang w:eastAsia="es-CO"/>
              </w:rPr>
              <w:t xml:space="preserve"> voluntaria valor razonable como costo atribuido en los inmuebles de su propiedad </w:t>
            </w:r>
            <w:r w:rsidR="006200B9" w:rsidRPr="00E258E3">
              <w:rPr>
                <w:rFonts w:ascii="Arial Narrow" w:eastAsia="Times New Roman" w:hAnsi="Arial Narrow" w:cs="Calibri"/>
                <w:color w:val="000000"/>
                <w:sz w:val="20"/>
                <w:szCs w:val="20"/>
                <w:lang w:eastAsia="es-CO"/>
              </w:rPr>
              <w:t>únicamente</w:t>
            </w:r>
            <w:r w:rsidRPr="00E258E3">
              <w:rPr>
                <w:rFonts w:ascii="Arial Narrow" w:eastAsia="Times New Roman" w:hAnsi="Arial Narrow" w:cs="Calibri"/>
                <w:color w:val="000000"/>
                <w:sz w:val="20"/>
                <w:szCs w:val="20"/>
                <w:lang w:eastAsia="es-CO"/>
              </w:rPr>
              <w:t>.</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En el efectivo y equivalente se </w:t>
            </w:r>
            <w:r w:rsidR="00D527AC" w:rsidRPr="00E258E3">
              <w:rPr>
                <w:rFonts w:ascii="Arial Narrow" w:eastAsia="Times New Roman" w:hAnsi="Arial Narrow" w:cs="Calibri"/>
                <w:color w:val="000000"/>
                <w:sz w:val="20"/>
                <w:szCs w:val="20"/>
                <w:lang w:eastAsia="es-CO"/>
              </w:rPr>
              <w:t>incluyen</w:t>
            </w:r>
            <w:r w:rsidRPr="00E258E3">
              <w:rPr>
                <w:rFonts w:ascii="Arial Narrow" w:eastAsia="Times New Roman" w:hAnsi="Arial Narrow" w:cs="Calibri"/>
                <w:color w:val="000000"/>
                <w:sz w:val="20"/>
                <w:szCs w:val="20"/>
                <w:lang w:eastAsia="es-CO"/>
              </w:rPr>
              <w:t xml:space="preserve"> ahora las fiducias e inversiones de deuda a menos de 90 días de plazo para su vencimiento.</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En las demás políticas no se presentan cambios relevantes.</w:t>
            </w:r>
          </w:p>
        </w:tc>
      </w:tr>
      <w:tr w:rsidR="000B7B01" w:rsidRPr="00E258E3" w14:paraId="70E7EB1B" w14:textId="77777777" w:rsidTr="00803A09">
        <w:trPr>
          <w:trHeight w:val="300"/>
        </w:trPr>
        <w:tc>
          <w:tcPr>
            <w:tcW w:w="562" w:type="dxa"/>
            <w:shd w:val="clear" w:color="auto" w:fill="auto"/>
            <w:noWrap/>
            <w:hideMark/>
          </w:tcPr>
          <w:p w14:paraId="70E7EB18"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C61</w:t>
            </w:r>
          </w:p>
        </w:tc>
        <w:tc>
          <w:tcPr>
            <w:tcW w:w="2835" w:type="dxa"/>
          </w:tcPr>
          <w:p w14:paraId="70E7EB19"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 aplicación inicial de normas o interpretaciones [partidas de los estados financieros]</w:t>
            </w:r>
          </w:p>
        </w:tc>
        <w:tc>
          <w:tcPr>
            <w:tcW w:w="7655" w:type="dxa"/>
            <w:shd w:val="clear" w:color="auto" w:fill="auto"/>
            <w:noWrap/>
            <w:hideMark/>
          </w:tcPr>
          <w:p w14:paraId="70E7EB1A" w14:textId="53559E5F"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La entidad adopto NIIF para PYMES por primera vez a partir del 01 de enero de </w:t>
            </w:r>
            <w:r w:rsidR="00E258E3" w:rsidRPr="00E258E3">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 xml:space="preserve"> fecha en la cual se hizo uso de la </w:t>
            </w:r>
            <w:r w:rsidR="00D527AC" w:rsidRPr="00E258E3">
              <w:rPr>
                <w:rFonts w:ascii="Arial Narrow" w:eastAsia="Times New Roman" w:hAnsi="Arial Narrow" w:cs="Calibri"/>
                <w:color w:val="000000"/>
                <w:sz w:val="20"/>
                <w:szCs w:val="20"/>
                <w:lang w:eastAsia="es-CO"/>
              </w:rPr>
              <w:t>exención</w:t>
            </w:r>
            <w:r w:rsidRPr="00E258E3">
              <w:rPr>
                <w:rFonts w:ascii="Arial Narrow" w:eastAsia="Times New Roman" w:hAnsi="Arial Narrow" w:cs="Calibri"/>
                <w:color w:val="000000"/>
                <w:sz w:val="20"/>
                <w:szCs w:val="20"/>
                <w:lang w:eastAsia="es-CO"/>
              </w:rPr>
              <w:t xml:space="preserve"> voluntaria valor razonable como costo atribuido en los inmuebles de su propiedad </w:t>
            </w:r>
            <w:proofErr w:type="spellStart"/>
            <w:r w:rsidRPr="00E258E3">
              <w:rPr>
                <w:rFonts w:ascii="Arial Narrow" w:eastAsia="Times New Roman" w:hAnsi="Arial Narrow" w:cs="Calibri"/>
                <w:color w:val="000000"/>
                <w:sz w:val="20"/>
                <w:szCs w:val="20"/>
                <w:lang w:eastAsia="es-CO"/>
              </w:rPr>
              <w:t>unicamente</w:t>
            </w:r>
            <w:proofErr w:type="spellEnd"/>
            <w:r w:rsidRPr="00E258E3">
              <w:rPr>
                <w:rFonts w:ascii="Arial Narrow" w:eastAsia="Times New Roman" w:hAnsi="Arial Narrow" w:cs="Calibri"/>
                <w:color w:val="000000"/>
                <w:sz w:val="20"/>
                <w:szCs w:val="20"/>
                <w:lang w:eastAsia="es-CO"/>
              </w:rPr>
              <w:t>.</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En el efectivo y equivalente se </w:t>
            </w:r>
            <w:r w:rsidR="00D527AC" w:rsidRPr="00E258E3">
              <w:rPr>
                <w:rFonts w:ascii="Arial Narrow" w:eastAsia="Times New Roman" w:hAnsi="Arial Narrow" w:cs="Calibri"/>
                <w:color w:val="000000"/>
                <w:sz w:val="20"/>
                <w:szCs w:val="20"/>
                <w:lang w:eastAsia="es-CO"/>
              </w:rPr>
              <w:t>incluyen</w:t>
            </w:r>
            <w:r w:rsidRPr="00E258E3">
              <w:rPr>
                <w:rFonts w:ascii="Arial Narrow" w:eastAsia="Times New Roman" w:hAnsi="Arial Narrow" w:cs="Calibri"/>
                <w:color w:val="000000"/>
                <w:sz w:val="20"/>
                <w:szCs w:val="20"/>
                <w:lang w:eastAsia="es-CO"/>
              </w:rPr>
              <w:t xml:space="preserve"> ahora las fiducias e inversiones de deuda a menos de 90 días de plazo para su vencimiento.</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En las demás políticas no se presentan cambios relevantes.</w:t>
            </w:r>
          </w:p>
        </w:tc>
      </w:tr>
      <w:tr w:rsidR="000B7B01" w:rsidRPr="00E258E3" w14:paraId="70E7EB1F" w14:textId="77777777" w:rsidTr="00803A09">
        <w:trPr>
          <w:trHeight w:val="300"/>
        </w:trPr>
        <w:tc>
          <w:tcPr>
            <w:tcW w:w="562" w:type="dxa"/>
            <w:shd w:val="clear" w:color="auto" w:fill="auto"/>
            <w:noWrap/>
            <w:hideMark/>
          </w:tcPr>
          <w:p w14:paraId="70E7EB1C"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C62</w:t>
            </w:r>
          </w:p>
        </w:tc>
        <w:tc>
          <w:tcPr>
            <w:tcW w:w="2835" w:type="dxa"/>
          </w:tcPr>
          <w:p w14:paraId="70E7EB1D"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Título de aplicación inicial de las NIF</w:t>
            </w:r>
          </w:p>
        </w:tc>
        <w:tc>
          <w:tcPr>
            <w:tcW w:w="7655" w:type="dxa"/>
            <w:shd w:val="clear" w:color="auto" w:fill="auto"/>
            <w:noWrap/>
            <w:hideMark/>
          </w:tcPr>
          <w:p w14:paraId="70E7EB1E" w14:textId="6D24623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NIIF PARA PYMES </w:t>
            </w:r>
            <w:r w:rsidR="00DE5C8E" w:rsidRPr="00E258E3">
              <w:rPr>
                <w:rFonts w:ascii="Arial Narrow" w:eastAsia="Times New Roman" w:hAnsi="Arial Narrow" w:cs="Calibri"/>
                <w:color w:val="000000"/>
                <w:sz w:val="20"/>
                <w:szCs w:val="20"/>
                <w:lang w:eastAsia="es-CO"/>
              </w:rPr>
              <w:t>Versión</w:t>
            </w:r>
            <w:r w:rsidRPr="00E258E3">
              <w:rPr>
                <w:rFonts w:ascii="Arial Narrow" w:eastAsia="Times New Roman" w:hAnsi="Arial Narrow" w:cs="Calibri"/>
                <w:color w:val="000000"/>
                <w:sz w:val="20"/>
                <w:szCs w:val="20"/>
                <w:lang w:eastAsia="es-CO"/>
              </w:rPr>
              <w:t xml:space="preserve"> 2009 y modificaciones </w:t>
            </w:r>
            <w:r w:rsidR="00E258E3" w:rsidRPr="00E258E3">
              <w:rPr>
                <w:rFonts w:ascii="Arial Narrow" w:eastAsia="Times New Roman" w:hAnsi="Arial Narrow" w:cs="Calibri"/>
                <w:color w:val="000000"/>
                <w:sz w:val="20"/>
                <w:szCs w:val="20"/>
                <w:lang w:eastAsia="es-CO"/>
              </w:rPr>
              <w:t>2019</w:t>
            </w:r>
            <w:r w:rsidRPr="00E258E3">
              <w:rPr>
                <w:rFonts w:ascii="Arial Narrow" w:eastAsia="Times New Roman" w:hAnsi="Arial Narrow" w:cs="Calibri"/>
                <w:color w:val="000000"/>
                <w:sz w:val="20"/>
                <w:szCs w:val="20"/>
                <w:lang w:eastAsia="es-CO"/>
              </w:rPr>
              <w:t xml:space="preserve"> contenidas en anexos de decretos 2420 y 2496 de diciembre de </w:t>
            </w:r>
            <w:r w:rsidR="00E258E3" w:rsidRPr="00E258E3">
              <w:rPr>
                <w:rFonts w:ascii="Arial Narrow" w:eastAsia="Times New Roman" w:hAnsi="Arial Narrow" w:cs="Calibri"/>
                <w:color w:val="000000"/>
                <w:sz w:val="20"/>
                <w:szCs w:val="20"/>
                <w:lang w:eastAsia="es-CO"/>
              </w:rPr>
              <w:t>201</w:t>
            </w:r>
            <w:r w:rsidR="006200B9">
              <w:rPr>
                <w:rFonts w:ascii="Arial Narrow" w:eastAsia="Times New Roman" w:hAnsi="Arial Narrow" w:cs="Calibri"/>
                <w:color w:val="000000"/>
                <w:sz w:val="20"/>
                <w:szCs w:val="20"/>
                <w:lang w:eastAsia="es-CO"/>
              </w:rPr>
              <w:t>5</w:t>
            </w:r>
          </w:p>
        </w:tc>
      </w:tr>
      <w:tr w:rsidR="000B7B01" w:rsidRPr="00E258E3" w14:paraId="70E7EB23" w14:textId="77777777" w:rsidTr="00803A09">
        <w:trPr>
          <w:trHeight w:val="300"/>
        </w:trPr>
        <w:tc>
          <w:tcPr>
            <w:tcW w:w="562" w:type="dxa"/>
            <w:shd w:val="clear" w:color="auto" w:fill="auto"/>
            <w:noWrap/>
            <w:hideMark/>
          </w:tcPr>
          <w:p w14:paraId="70E7EB2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C63</w:t>
            </w:r>
          </w:p>
        </w:tc>
        <w:tc>
          <w:tcPr>
            <w:tcW w:w="2835" w:type="dxa"/>
          </w:tcPr>
          <w:p w14:paraId="70E7EB2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si el cambio en la política contable se realiza de acuerdo con las disposiciones transitorias de las NIIF aplicadas inicialmente</w:t>
            </w:r>
          </w:p>
        </w:tc>
        <w:tc>
          <w:tcPr>
            <w:tcW w:w="7655" w:type="dxa"/>
            <w:shd w:val="clear" w:color="auto" w:fill="auto"/>
            <w:noWrap/>
            <w:hideMark/>
          </w:tcPr>
          <w:p w14:paraId="70E7EB22"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No existen cambios significativos en las politicas contables con ocasión de la adopción de las NIIF </w:t>
            </w:r>
          </w:p>
        </w:tc>
      </w:tr>
      <w:tr w:rsidR="000B7B01" w:rsidRPr="00E258E3" w14:paraId="70E7EB27" w14:textId="77777777" w:rsidTr="00803A09">
        <w:trPr>
          <w:trHeight w:val="300"/>
        </w:trPr>
        <w:tc>
          <w:tcPr>
            <w:tcW w:w="562" w:type="dxa"/>
            <w:shd w:val="clear" w:color="auto" w:fill="auto"/>
            <w:noWrap/>
            <w:hideMark/>
          </w:tcPr>
          <w:p w14:paraId="70E7EB2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C64</w:t>
            </w:r>
          </w:p>
        </w:tc>
        <w:tc>
          <w:tcPr>
            <w:tcW w:w="2835" w:type="dxa"/>
          </w:tcPr>
          <w:p w14:paraId="70E7EB2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cambio en política contable</w:t>
            </w:r>
          </w:p>
        </w:tc>
        <w:tc>
          <w:tcPr>
            <w:tcW w:w="7655" w:type="dxa"/>
            <w:shd w:val="clear" w:color="auto" w:fill="auto"/>
            <w:noWrap/>
            <w:hideMark/>
          </w:tcPr>
          <w:p w14:paraId="70E7EB26" w14:textId="47AA861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2B" w14:textId="77777777" w:rsidTr="00803A09">
        <w:trPr>
          <w:trHeight w:val="300"/>
        </w:trPr>
        <w:tc>
          <w:tcPr>
            <w:tcW w:w="562" w:type="dxa"/>
            <w:shd w:val="clear" w:color="auto" w:fill="auto"/>
            <w:noWrap/>
            <w:hideMark/>
          </w:tcPr>
          <w:p w14:paraId="70E7EB28"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C65</w:t>
            </w:r>
          </w:p>
        </w:tc>
        <w:tc>
          <w:tcPr>
            <w:tcW w:w="2835" w:type="dxa"/>
          </w:tcPr>
          <w:p w14:paraId="70E7EB29" w14:textId="00AF67E1"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las disposiciones transitorias de las NIF aplicadas inicialmente</w:t>
            </w:r>
            <w:r w:rsidR="00E258E3" w:rsidRPr="00E258E3">
              <w:rPr>
                <w:rFonts w:ascii="Arial Narrow" w:hAnsi="Arial Narrow" w:cs="Calibri"/>
                <w:color w:val="000000"/>
                <w:sz w:val="20"/>
                <w:szCs w:val="20"/>
              </w:rPr>
              <w:t xml:space="preserve"> </w:t>
            </w:r>
          </w:p>
        </w:tc>
        <w:tc>
          <w:tcPr>
            <w:tcW w:w="7655" w:type="dxa"/>
            <w:shd w:val="clear" w:color="auto" w:fill="auto"/>
            <w:noWrap/>
            <w:hideMark/>
          </w:tcPr>
          <w:p w14:paraId="70E7EB2A"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Medición de Deterioro de la Cartera de acuerdo con normas prudenciales de la Supersolidaria y presentacion de la </w:t>
            </w:r>
            <w:r w:rsidR="00DE5C8E" w:rsidRPr="00E258E3">
              <w:rPr>
                <w:rFonts w:ascii="Arial Narrow" w:eastAsia="Times New Roman" w:hAnsi="Arial Narrow" w:cs="Calibri"/>
                <w:color w:val="000000"/>
                <w:sz w:val="20"/>
                <w:szCs w:val="20"/>
                <w:lang w:eastAsia="es-CO"/>
              </w:rPr>
              <w:t>porción</w:t>
            </w:r>
            <w:r w:rsidRPr="00E258E3">
              <w:rPr>
                <w:rFonts w:ascii="Arial Narrow" w:eastAsia="Times New Roman" w:hAnsi="Arial Narrow" w:cs="Calibri"/>
                <w:color w:val="000000"/>
                <w:sz w:val="20"/>
                <w:szCs w:val="20"/>
                <w:lang w:eastAsia="es-CO"/>
              </w:rPr>
              <w:t xml:space="preserve"> del capital social con derecho a rescate en el patrimonio</w:t>
            </w:r>
          </w:p>
        </w:tc>
      </w:tr>
      <w:tr w:rsidR="000B7B01" w:rsidRPr="00E258E3" w14:paraId="70E7EB30" w14:textId="77777777" w:rsidTr="00803A09">
        <w:trPr>
          <w:trHeight w:val="300"/>
        </w:trPr>
        <w:tc>
          <w:tcPr>
            <w:tcW w:w="562" w:type="dxa"/>
            <w:shd w:val="clear" w:color="auto" w:fill="auto"/>
            <w:noWrap/>
            <w:hideMark/>
          </w:tcPr>
          <w:p w14:paraId="70E7EB2C"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C66</w:t>
            </w:r>
          </w:p>
        </w:tc>
        <w:tc>
          <w:tcPr>
            <w:tcW w:w="2835" w:type="dxa"/>
          </w:tcPr>
          <w:p w14:paraId="70E7EB2D"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las disposiciones transitorias de las NIF aplicadas inicialmente que pueden tener efecto sobre periodos futuros</w:t>
            </w:r>
          </w:p>
        </w:tc>
        <w:tc>
          <w:tcPr>
            <w:tcW w:w="7655" w:type="dxa"/>
            <w:shd w:val="clear" w:color="auto" w:fill="auto"/>
            <w:noWrap/>
            <w:hideMark/>
          </w:tcPr>
          <w:p w14:paraId="70E7EB2E" w14:textId="19F8B767" w:rsidR="000B7B01"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Medición de Deterioro de la Cartera de acuerdo con normas prudenciales de la Supersolidaria </w:t>
            </w:r>
            <w:r w:rsidR="006200B9" w:rsidRPr="00E258E3">
              <w:rPr>
                <w:rFonts w:ascii="Arial Narrow" w:eastAsia="Times New Roman" w:hAnsi="Arial Narrow" w:cs="Calibri"/>
                <w:color w:val="000000"/>
                <w:sz w:val="20"/>
                <w:szCs w:val="20"/>
                <w:lang w:eastAsia="es-CO"/>
              </w:rPr>
              <w:t>implicaría</w:t>
            </w:r>
            <w:r w:rsidRPr="00E258E3">
              <w:rPr>
                <w:rFonts w:ascii="Arial Narrow" w:eastAsia="Times New Roman" w:hAnsi="Arial Narrow" w:cs="Calibri"/>
                <w:color w:val="000000"/>
                <w:sz w:val="20"/>
                <w:szCs w:val="20"/>
                <w:lang w:eastAsia="es-CO"/>
              </w:rPr>
              <w:t xml:space="preserve"> revertir la </w:t>
            </w:r>
            <w:r w:rsidR="006D109B" w:rsidRPr="00E258E3">
              <w:rPr>
                <w:rFonts w:ascii="Arial Narrow" w:eastAsia="Times New Roman" w:hAnsi="Arial Narrow" w:cs="Calibri"/>
                <w:color w:val="000000"/>
                <w:sz w:val="20"/>
                <w:szCs w:val="20"/>
                <w:lang w:eastAsia="es-CO"/>
              </w:rPr>
              <w:t>provisión</w:t>
            </w:r>
            <w:r w:rsidRPr="00E258E3">
              <w:rPr>
                <w:rFonts w:ascii="Arial Narrow" w:eastAsia="Times New Roman" w:hAnsi="Arial Narrow" w:cs="Calibri"/>
                <w:color w:val="000000"/>
                <w:sz w:val="20"/>
                <w:szCs w:val="20"/>
                <w:lang w:eastAsia="es-CO"/>
              </w:rPr>
              <w:t xml:space="preserve"> general</w:t>
            </w:r>
          </w:p>
          <w:p w14:paraId="75A0A023" w14:textId="77777777" w:rsidR="006200B9" w:rsidRPr="00E258E3" w:rsidRDefault="006200B9" w:rsidP="00E258E3">
            <w:pPr>
              <w:spacing w:after="0" w:line="240" w:lineRule="auto"/>
              <w:jc w:val="both"/>
              <w:rPr>
                <w:rFonts w:ascii="Arial Narrow" w:eastAsia="Times New Roman" w:hAnsi="Arial Narrow" w:cs="Calibri"/>
                <w:color w:val="000000"/>
                <w:sz w:val="20"/>
                <w:szCs w:val="20"/>
                <w:lang w:eastAsia="es-CO"/>
              </w:rPr>
            </w:pPr>
          </w:p>
          <w:p w14:paraId="70E7EB2F" w14:textId="77777777" w:rsidR="000B7B01" w:rsidRPr="00E258E3" w:rsidRDefault="00DE5C8E"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presentación</w:t>
            </w:r>
            <w:r w:rsidR="000B7B01" w:rsidRPr="00E258E3">
              <w:rPr>
                <w:rFonts w:ascii="Arial Narrow" w:eastAsia="Times New Roman" w:hAnsi="Arial Narrow" w:cs="Calibri"/>
                <w:color w:val="000000"/>
                <w:sz w:val="20"/>
                <w:szCs w:val="20"/>
                <w:lang w:eastAsia="es-CO"/>
              </w:rPr>
              <w:t xml:space="preserve"> de la </w:t>
            </w:r>
            <w:r w:rsidRPr="00E258E3">
              <w:rPr>
                <w:rFonts w:ascii="Arial Narrow" w:eastAsia="Times New Roman" w:hAnsi="Arial Narrow" w:cs="Calibri"/>
                <w:color w:val="000000"/>
                <w:sz w:val="20"/>
                <w:szCs w:val="20"/>
                <w:lang w:eastAsia="es-CO"/>
              </w:rPr>
              <w:t>porción</w:t>
            </w:r>
            <w:r w:rsidR="000B7B01" w:rsidRPr="00E258E3">
              <w:rPr>
                <w:rFonts w:ascii="Arial Narrow" w:eastAsia="Times New Roman" w:hAnsi="Arial Narrow" w:cs="Calibri"/>
                <w:color w:val="000000"/>
                <w:sz w:val="20"/>
                <w:szCs w:val="20"/>
                <w:lang w:eastAsia="es-CO"/>
              </w:rPr>
              <w:t xml:space="preserve"> del capital social con derecho a rescate en el patrimonio que debería ser reclasificada al pasivo</w:t>
            </w:r>
          </w:p>
        </w:tc>
      </w:tr>
      <w:tr w:rsidR="000B7B01" w:rsidRPr="00E258E3" w14:paraId="70E7EB34" w14:textId="77777777" w:rsidTr="00803A09">
        <w:trPr>
          <w:trHeight w:val="300"/>
        </w:trPr>
        <w:tc>
          <w:tcPr>
            <w:tcW w:w="562" w:type="dxa"/>
            <w:shd w:val="clear" w:color="auto" w:fill="auto"/>
            <w:noWrap/>
            <w:hideMark/>
          </w:tcPr>
          <w:p w14:paraId="70E7EB3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C67</w:t>
            </w:r>
          </w:p>
        </w:tc>
        <w:tc>
          <w:tcPr>
            <w:tcW w:w="2835" w:type="dxa"/>
          </w:tcPr>
          <w:p w14:paraId="70E7EB32" w14:textId="3E71C65B"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cambio voluntario en política contable</w:t>
            </w:r>
            <w:r w:rsidR="00E258E3" w:rsidRPr="00E258E3">
              <w:rPr>
                <w:rFonts w:ascii="Arial Narrow" w:hAnsi="Arial Narrow" w:cs="Calibri"/>
                <w:color w:val="000000"/>
                <w:sz w:val="20"/>
                <w:szCs w:val="20"/>
              </w:rPr>
              <w:t xml:space="preserve"> </w:t>
            </w:r>
          </w:p>
        </w:tc>
        <w:tc>
          <w:tcPr>
            <w:tcW w:w="7655" w:type="dxa"/>
            <w:shd w:val="clear" w:color="auto" w:fill="auto"/>
            <w:noWrap/>
            <w:hideMark/>
          </w:tcPr>
          <w:p w14:paraId="70E7EB33" w14:textId="0F8684A3"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38" w14:textId="77777777" w:rsidTr="00803A09">
        <w:trPr>
          <w:trHeight w:val="300"/>
        </w:trPr>
        <w:tc>
          <w:tcPr>
            <w:tcW w:w="562" w:type="dxa"/>
            <w:shd w:val="clear" w:color="auto" w:fill="auto"/>
            <w:noWrap/>
            <w:hideMark/>
          </w:tcPr>
          <w:p w14:paraId="70E7EB3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C68</w:t>
            </w:r>
          </w:p>
        </w:tc>
        <w:tc>
          <w:tcPr>
            <w:tcW w:w="2835" w:type="dxa"/>
          </w:tcPr>
          <w:p w14:paraId="70E7EB3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cambio voluntario en política contable [partidas de los estados financieros] </w:t>
            </w:r>
          </w:p>
        </w:tc>
        <w:tc>
          <w:tcPr>
            <w:tcW w:w="7655" w:type="dxa"/>
            <w:shd w:val="clear" w:color="auto" w:fill="auto"/>
            <w:noWrap/>
            <w:hideMark/>
          </w:tcPr>
          <w:p w14:paraId="70E7EB37" w14:textId="757E671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3C" w14:textId="77777777" w:rsidTr="00803A09">
        <w:trPr>
          <w:trHeight w:val="300"/>
        </w:trPr>
        <w:tc>
          <w:tcPr>
            <w:tcW w:w="562" w:type="dxa"/>
            <w:shd w:val="clear" w:color="auto" w:fill="auto"/>
            <w:noWrap/>
            <w:hideMark/>
          </w:tcPr>
          <w:p w14:paraId="70E7EB3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C69</w:t>
            </w:r>
          </w:p>
        </w:tc>
        <w:tc>
          <w:tcPr>
            <w:tcW w:w="2835" w:type="dxa"/>
          </w:tcPr>
          <w:p w14:paraId="70E7EB3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cambios voluntarios en políticas contables</w:t>
            </w:r>
          </w:p>
        </w:tc>
        <w:tc>
          <w:tcPr>
            <w:tcW w:w="7655" w:type="dxa"/>
            <w:shd w:val="clear" w:color="auto" w:fill="auto"/>
            <w:noWrap/>
            <w:hideMark/>
          </w:tcPr>
          <w:p w14:paraId="70E7EB3B" w14:textId="4D9EF9B2"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40" w14:textId="77777777" w:rsidTr="00803A09">
        <w:trPr>
          <w:trHeight w:val="300"/>
        </w:trPr>
        <w:tc>
          <w:tcPr>
            <w:tcW w:w="562" w:type="dxa"/>
            <w:shd w:val="clear" w:color="auto" w:fill="auto"/>
            <w:noWrap/>
            <w:hideMark/>
          </w:tcPr>
          <w:p w14:paraId="70E7EB3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C70</w:t>
            </w:r>
          </w:p>
        </w:tc>
        <w:tc>
          <w:tcPr>
            <w:tcW w:w="2835" w:type="dxa"/>
          </w:tcPr>
          <w:p w14:paraId="70E7EB3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las razones por las que la aplicación de políticas contables nuevas suministra información más relevante y fiable</w:t>
            </w:r>
          </w:p>
        </w:tc>
        <w:tc>
          <w:tcPr>
            <w:tcW w:w="7655" w:type="dxa"/>
            <w:shd w:val="clear" w:color="auto" w:fill="auto"/>
            <w:noWrap/>
            <w:hideMark/>
          </w:tcPr>
          <w:p w14:paraId="70E7EB3F" w14:textId="6B5A08C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44" w14:textId="77777777" w:rsidTr="00803A09">
        <w:trPr>
          <w:trHeight w:val="300"/>
        </w:trPr>
        <w:tc>
          <w:tcPr>
            <w:tcW w:w="562" w:type="dxa"/>
            <w:shd w:val="clear" w:color="auto" w:fill="auto"/>
            <w:noWrap/>
            <w:hideMark/>
          </w:tcPr>
          <w:p w14:paraId="70E7EB4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C71</w:t>
            </w:r>
          </w:p>
        </w:tc>
        <w:tc>
          <w:tcPr>
            <w:tcW w:w="2835" w:type="dxa"/>
          </w:tcPr>
          <w:p w14:paraId="70E7EB42" w14:textId="6FB970E3"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 las normas nuevas o interpretaciones </w:t>
            </w:r>
            <w:r w:rsidR="006200B9">
              <w:rPr>
                <w:rFonts w:ascii="Arial Narrow" w:hAnsi="Arial Narrow" w:cs="Calibri"/>
                <w:color w:val="000000"/>
                <w:sz w:val="20"/>
                <w:szCs w:val="20"/>
              </w:rPr>
              <w:t>no aplicables</w:t>
            </w:r>
          </w:p>
        </w:tc>
        <w:tc>
          <w:tcPr>
            <w:tcW w:w="7655" w:type="dxa"/>
            <w:shd w:val="clear" w:color="auto" w:fill="auto"/>
            <w:noWrap/>
            <w:hideMark/>
          </w:tcPr>
          <w:p w14:paraId="70E7EB43" w14:textId="2CBC763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48" w14:textId="77777777" w:rsidTr="00803A09">
        <w:trPr>
          <w:trHeight w:val="300"/>
        </w:trPr>
        <w:tc>
          <w:tcPr>
            <w:tcW w:w="562" w:type="dxa"/>
            <w:shd w:val="clear" w:color="auto" w:fill="auto"/>
            <w:noWrap/>
            <w:hideMark/>
          </w:tcPr>
          <w:p w14:paraId="70E7EB4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C72</w:t>
            </w:r>
          </w:p>
        </w:tc>
        <w:tc>
          <w:tcPr>
            <w:tcW w:w="2835" w:type="dxa"/>
          </w:tcPr>
          <w:p w14:paraId="70E7EB4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el impacto esperado de la aplicación inicial de nuevas normas o interpretaciones </w:t>
            </w:r>
          </w:p>
        </w:tc>
        <w:tc>
          <w:tcPr>
            <w:tcW w:w="7655" w:type="dxa"/>
            <w:shd w:val="clear" w:color="auto" w:fill="auto"/>
            <w:noWrap/>
            <w:hideMark/>
          </w:tcPr>
          <w:p w14:paraId="70E7EB47" w14:textId="680A351F" w:rsidR="000B7B01" w:rsidRPr="00E258E3" w:rsidRDefault="006200B9"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B4C" w14:textId="77777777" w:rsidTr="00803A09">
        <w:trPr>
          <w:trHeight w:val="300"/>
        </w:trPr>
        <w:tc>
          <w:tcPr>
            <w:tcW w:w="562" w:type="dxa"/>
            <w:shd w:val="clear" w:color="auto" w:fill="auto"/>
            <w:noWrap/>
            <w:hideMark/>
          </w:tcPr>
          <w:p w14:paraId="70E7EB4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C73</w:t>
            </w:r>
          </w:p>
        </w:tc>
        <w:tc>
          <w:tcPr>
            <w:tcW w:w="2835" w:type="dxa"/>
          </w:tcPr>
          <w:p w14:paraId="70E7EB4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el impacto esperado de la aplicación inicial de nuevas normas o interpretaciones [partidas de los estados financieros]</w:t>
            </w:r>
          </w:p>
        </w:tc>
        <w:tc>
          <w:tcPr>
            <w:tcW w:w="7655" w:type="dxa"/>
            <w:shd w:val="clear" w:color="auto" w:fill="auto"/>
            <w:noWrap/>
            <w:hideMark/>
          </w:tcPr>
          <w:p w14:paraId="70E7EB4B" w14:textId="01C1FC6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6200B9">
              <w:rPr>
                <w:rFonts w:ascii="Arial Narrow" w:eastAsia="Times New Roman" w:hAnsi="Arial Narrow" w:cs="Calibri"/>
                <w:color w:val="000000"/>
                <w:sz w:val="20"/>
                <w:szCs w:val="20"/>
                <w:lang w:eastAsia="es-CO"/>
              </w:rPr>
              <w:t>NO APLICA</w:t>
            </w:r>
          </w:p>
        </w:tc>
      </w:tr>
      <w:tr w:rsidR="000B7B01" w:rsidRPr="00E258E3" w14:paraId="70E7EB50" w14:textId="77777777" w:rsidTr="00803A09">
        <w:trPr>
          <w:trHeight w:val="300"/>
        </w:trPr>
        <w:tc>
          <w:tcPr>
            <w:tcW w:w="562" w:type="dxa"/>
            <w:shd w:val="clear" w:color="auto" w:fill="auto"/>
            <w:noWrap/>
            <w:hideMark/>
          </w:tcPr>
          <w:p w14:paraId="70E7EB4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C74</w:t>
            </w:r>
          </w:p>
        </w:tc>
        <w:tc>
          <w:tcPr>
            <w:tcW w:w="2835" w:type="dxa"/>
          </w:tcPr>
          <w:p w14:paraId="70E7EB4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Título de NIIF nuevas</w:t>
            </w:r>
          </w:p>
        </w:tc>
        <w:tc>
          <w:tcPr>
            <w:tcW w:w="7655" w:type="dxa"/>
            <w:shd w:val="clear" w:color="auto" w:fill="auto"/>
            <w:noWrap/>
            <w:hideMark/>
          </w:tcPr>
          <w:p w14:paraId="70E7EB4F" w14:textId="6FCA16F3" w:rsidR="000B7B01" w:rsidRPr="00E258E3" w:rsidRDefault="006200B9"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B54" w14:textId="77777777" w:rsidTr="00803A09">
        <w:trPr>
          <w:trHeight w:val="300"/>
        </w:trPr>
        <w:tc>
          <w:tcPr>
            <w:tcW w:w="562" w:type="dxa"/>
            <w:shd w:val="clear" w:color="auto" w:fill="auto"/>
            <w:noWrap/>
            <w:hideMark/>
          </w:tcPr>
          <w:p w14:paraId="70E7EB5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C75</w:t>
            </w:r>
          </w:p>
        </w:tc>
        <w:tc>
          <w:tcPr>
            <w:tcW w:w="2835" w:type="dxa"/>
          </w:tcPr>
          <w:p w14:paraId="70E7EB52" w14:textId="21995829"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un cambio inminente en una política contable</w:t>
            </w:r>
            <w:r w:rsidR="00E258E3" w:rsidRPr="00E258E3">
              <w:rPr>
                <w:rFonts w:ascii="Arial Narrow" w:hAnsi="Arial Narrow" w:cs="Calibri"/>
                <w:color w:val="000000"/>
                <w:sz w:val="20"/>
                <w:szCs w:val="20"/>
              </w:rPr>
              <w:t xml:space="preserve"> </w:t>
            </w:r>
          </w:p>
        </w:tc>
        <w:tc>
          <w:tcPr>
            <w:tcW w:w="7655" w:type="dxa"/>
            <w:shd w:val="clear" w:color="auto" w:fill="auto"/>
            <w:noWrap/>
            <w:hideMark/>
          </w:tcPr>
          <w:p w14:paraId="70E7EB53" w14:textId="076F48A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58" w14:textId="77777777" w:rsidTr="00803A09">
        <w:trPr>
          <w:trHeight w:val="300"/>
        </w:trPr>
        <w:tc>
          <w:tcPr>
            <w:tcW w:w="562" w:type="dxa"/>
            <w:shd w:val="clear" w:color="auto" w:fill="auto"/>
            <w:noWrap/>
            <w:hideMark/>
          </w:tcPr>
          <w:p w14:paraId="70E7EB5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C76</w:t>
            </w:r>
          </w:p>
        </w:tc>
        <w:tc>
          <w:tcPr>
            <w:tcW w:w="2835" w:type="dxa"/>
          </w:tcPr>
          <w:p w14:paraId="70E7EB5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Discusión sobre el impacto que se espera que tenga la aplicación inicial de una NIIF nueva en los estados financieros</w:t>
            </w:r>
          </w:p>
        </w:tc>
        <w:tc>
          <w:tcPr>
            <w:tcW w:w="7655" w:type="dxa"/>
            <w:shd w:val="clear" w:color="auto" w:fill="auto"/>
            <w:noWrap/>
            <w:hideMark/>
          </w:tcPr>
          <w:p w14:paraId="70E7EB57" w14:textId="4799FABC"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5C" w14:textId="77777777" w:rsidTr="00803A09">
        <w:trPr>
          <w:trHeight w:val="300"/>
        </w:trPr>
        <w:tc>
          <w:tcPr>
            <w:tcW w:w="562" w:type="dxa"/>
            <w:shd w:val="clear" w:color="auto" w:fill="auto"/>
            <w:noWrap/>
            <w:hideMark/>
          </w:tcPr>
          <w:p w14:paraId="70E7EB5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C77</w:t>
            </w:r>
          </w:p>
        </w:tc>
        <w:tc>
          <w:tcPr>
            <w:tcW w:w="2835" w:type="dxa"/>
          </w:tcPr>
          <w:p w14:paraId="70E7EB5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del hecho de que el impacto de la aplicación inicial de una NIIF nueva no se conoce o no es razonablemente estimable</w:t>
            </w:r>
          </w:p>
        </w:tc>
        <w:tc>
          <w:tcPr>
            <w:tcW w:w="7655" w:type="dxa"/>
            <w:shd w:val="clear" w:color="auto" w:fill="auto"/>
            <w:noWrap/>
            <w:hideMark/>
          </w:tcPr>
          <w:p w14:paraId="70E7EB5B" w14:textId="7B4EC8A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60" w14:textId="77777777" w:rsidTr="00803A09">
        <w:trPr>
          <w:trHeight w:val="300"/>
        </w:trPr>
        <w:tc>
          <w:tcPr>
            <w:tcW w:w="562" w:type="dxa"/>
            <w:shd w:val="clear" w:color="auto" w:fill="auto"/>
            <w:noWrap/>
            <w:hideMark/>
          </w:tcPr>
          <w:p w14:paraId="70E7EB5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C78</w:t>
            </w:r>
          </w:p>
        </w:tc>
        <w:tc>
          <w:tcPr>
            <w:tcW w:w="2835" w:type="dxa"/>
          </w:tcPr>
          <w:p w14:paraId="70E7EB5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 la razón por la que es impracticable determinar importes de ajustes relacionados con cambios en políticas contables </w:t>
            </w:r>
          </w:p>
        </w:tc>
        <w:tc>
          <w:tcPr>
            <w:tcW w:w="7655" w:type="dxa"/>
            <w:shd w:val="clear" w:color="auto" w:fill="auto"/>
            <w:noWrap/>
            <w:hideMark/>
          </w:tcPr>
          <w:p w14:paraId="70E7EB5F" w14:textId="3F512BF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64" w14:textId="77777777" w:rsidTr="00803A09">
        <w:trPr>
          <w:trHeight w:val="300"/>
        </w:trPr>
        <w:tc>
          <w:tcPr>
            <w:tcW w:w="562" w:type="dxa"/>
            <w:shd w:val="clear" w:color="auto" w:fill="auto"/>
            <w:noWrap/>
            <w:hideMark/>
          </w:tcPr>
          <w:p w14:paraId="70E7EB6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C79</w:t>
            </w:r>
          </w:p>
        </w:tc>
        <w:tc>
          <w:tcPr>
            <w:tcW w:w="2835" w:type="dxa"/>
          </w:tcPr>
          <w:p w14:paraId="70E7EB62" w14:textId="0094ADD2"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cambios en las estimaciones contables</w:t>
            </w:r>
            <w:r w:rsidR="00E258E3" w:rsidRPr="00E258E3">
              <w:rPr>
                <w:rFonts w:ascii="Arial Narrow" w:hAnsi="Arial Narrow" w:cs="Calibri"/>
                <w:color w:val="000000"/>
                <w:sz w:val="20"/>
                <w:szCs w:val="20"/>
              </w:rPr>
              <w:t xml:space="preserve"> </w:t>
            </w:r>
          </w:p>
        </w:tc>
        <w:tc>
          <w:tcPr>
            <w:tcW w:w="7655" w:type="dxa"/>
            <w:shd w:val="clear" w:color="auto" w:fill="auto"/>
            <w:noWrap/>
            <w:hideMark/>
          </w:tcPr>
          <w:p w14:paraId="70E7EB63" w14:textId="0A45A57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68" w14:textId="77777777" w:rsidTr="00803A09">
        <w:trPr>
          <w:trHeight w:val="300"/>
        </w:trPr>
        <w:tc>
          <w:tcPr>
            <w:tcW w:w="562" w:type="dxa"/>
            <w:shd w:val="clear" w:color="auto" w:fill="auto"/>
            <w:noWrap/>
            <w:hideMark/>
          </w:tcPr>
          <w:p w14:paraId="70E7EB6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C80</w:t>
            </w:r>
          </w:p>
        </w:tc>
        <w:tc>
          <w:tcPr>
            <w:tcW w:w="2835" w:type="dxa"/>
          </w:tcPr>
          <w:p w14:paraId="70E7EB6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cambios en las estimaciones contables [partidas de los estados financieros]</w:t>
            </w:r>
          </w:p>
        </w:tc>
        <w:tc>
          <w:tcPr>
            <w:tcW w:w="7655" w:type="dxa"/>
            <w:shd w:val="clear" w:color="auto" w:fill="auto"/>
            <w:noWrap/>
            <w:hideMark/>
          </w:tcPr>
          <w:p w14:paraId="70E7EB67" w14:textId="36FA32C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6C" w14:textId="77777777" w:rsidTr="00803A09">
        <w:trPr>
          <w:trHeight w:val="300"/>
        </w:trPr>
        <w:tc>
          <w:tcPr>
            <w:tcW w:w="562" w:type="dxa"/>
            <w:shd w:val="clear" w:color="auto" w:fill="auto"/>
            <w:noWrap/>
            <w:hideMark/>
          </w:tcPr>
          <w:p w14:paraId="70E7EB6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C81</w:t>
            </w:r>
          </w:p>
        </w:tc>
        <w:tc>
          <w:tcPr>
            <w:tcW w:w="2835" w:type="dxa"/>
          </w:tcPr>
          <w:p w14:paraId="70E7EB6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cambio en estimación contable</w:t>
            </w:r>
          </w:p>
        </w:tc>
        <w:tc>
          <w:tcPr>
            <w:tcW w:w="7655" w:type="dxa"/>
            <w:shd w:val="clear" w:color="auto" w:fill="auto"/>
            <w:noWrap/>
            <w:hideMark/>
          </w:tcPr>
          <w:p w14:paraId="70E7EB6B" w14:textId="1F5ECCF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70" w14:textId="77777777" w:rsidTr="00803A09">
        <w:trPr>
          <w:trHeight w:val="300"/>
        </w:trPr>
        <w:tc>
          <w:tcPr>
            <w:tcW w:w="562" w:type="dxa"/>
            <w:shd w:val="clear" w:color="auto" w:fill="auto"/>
            <w:noWrap/>
            <w:hideMark/>
          </w:tcPr>
          <w:p w14:paraId="70E7EB6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C82</w:t>
            </w:r>
          </w:p>
        </w:tc>
        <w:tc>
          <w:tcPr>
            <w:tcW w:w="2835" w:type="dxa"/>
          </w:tcPr>
          <w:p w14:paraId="70E7EB6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del hecho de que el importe del cambio en una estimación contable es impracticable</w:t>
            </w:r>
          </w:p>
        </w:tc>
        <w:tc>
          <w:tcPr>
            <w:tcW w:w="7655" w:type="dxa"/>
            <w:shd w:val="clear" w:color="auto" w:fill="auto"/>
            <w:noWrap/>
            <w:hideMark/>
          </w:tcPr>
          <w:p w14:paraId="70E7EB6F" w14:textId="3B9E3C93"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74" w14:textId="77777777" w:rsidTr="00803A09">
        <w:trPr>
          <w:trHeight w:val="300"/>
        </w:trPr>
        <w:tc>
          <w:tcPr>
            <w:tcW w:w="562" w:type="dxa"/>
            <w:shd w:val="clear" w:color="auto" w:fill="auto"/>
            <w:noWrap/>
            <w:hideMark/>
          </w:tcPr>
          <w:p w14:paraId="70E7EB7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C83</w:t>
            </w:r>
          </w:p>
        </w:tc>
        <w:tc>
          <w:tcPr>
            <w:tcW w:w="2835" w:type="dxa"/>
          </w:tcPr>
          <w:p w14:paraId="70E7EB7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errores contables de periodos anteriores</w:t>
            </w:r>
          </w:p>
        </w:tc>
        <w:tc>
          <w:tcPr>
            <w:tcW w:w="7655" w:type="dxa"/>
            <w:shd w:val="clear" w:color="auto" w:fill="auto"/>
            <w:noWrap/>
            <w:hideMark/>
          </w:tcPr>
          <w:p w14:paraId="70E7EB73" w14:textId="07413143"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78" w14:textId="77777777" w:rsidTr="00803A09">
        <w:trPr>
          <w:trHeight w:val="300"/>
        </w:trPr>
        <w:tc>
          <w:tcPr>
            <w:tcW w:w="562" w:type="dxa"/>
            <w:shd w:val="clear" w:color="auto" w:fill="auto"/>
            <w:noWrap/>
            <w:hideMark/>
          </w:tcPr>
          <w:p w14:paraId="70E7EB7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C84</w:t>
            </w:r>
          </w:p>
        </w:tc>
        <w:tc>
          <w:tcPr>
            <w:tcW w:w="2835" w:type="dxa"/>
          </w:tcPr>
          <w:p w14:paraId="70E7EB7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 razón por la que es impracticable determinar importes por correcciones relacionadas con errores de periodos anteriores</w:t>
            </w:r>
          </w:p>
        </w:tc>
        <w:tc>
          <w:tcPr>
            <w:tcW w:w="7655" w:type="dxa"/>
            <w:shd w:val="clear" w:color="auto" w:fill="auto"/>
            <w:noWrap/>
            <w:hideMark/>
          </w:tcPr>
          <w:p w14:paraId="70E7EB77" w14:textId="369111D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7C" w14:textId="77777777" w:rsidTr="00803A09">
        <w:trPr>
          <w:trHeight w:val="300"/>
        </w:trPr>
        <w:tc>
          <w:tcPr>
            <w:tcW w:w="562" w:type="dxa"/>
            <w:shd w:val="clear" w:color="auto" w:fill="auto"/>
            <w:noWrap/>
            <w:hideMark/>
          </w:tcPr>
          <w:p w14:paraId="70E7EB7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C85</w:t>
            </w:r>
          </w:p>
        </w:tc>
        <w:tc>
          <w:tcPr>
            <w:tcW w:w="2835" w:type="dxa"/>
          </w:tcPr>
          <w:p w14:paraId="70E7EB7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hechos ocurridos después del periodo sobre el que se informa</w:t>
            </w:r>
          </w:p>
        </w:tc>
        <w:tc>
          <w:tcPr>
            <w:tcW w:w="7655" w:type="dxa"/>
            <w:shd w:val="clear" w:color="auto" w:fill="auto"/>
            <w:noWrap/>
            <w:hideMark/>
          </w:tcPr>
          <w:p w14:paraId="70E7EB7B"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No se han presentado o no se conocen hecho ocurridos </w:t>
            </w:r>
            <w:r w:rsidR="00DE5C8E" w:rsidRPr="00E258E3">
              <w:rPr>
                <w:rFonts w:ascii="Arial Narrow" w:eastAsia="Times New Roman" w:hAnsi="Arial Narrow" w:cs="Calibri"/>
                <w:color w:val="000000"/>
                <w:sz w:val="20"/>
                <w:szCs w:val="20"/>
                <w:lang w:eastAsia="es-CO"/>
              </w:rPr>
              <w:t>después</w:t>
            </w:r>
            <w:r w:rsidRPr="00E258E3">
              <w:rPr>
                <w:rFonts w:ascii="Arial Narrow" w:eastAsia="Times New Roman" w:hAnsi="Arial Narrow" w:cs="Calibri"/>
                <w:color w:val="000000"/>
                <w:sz w:val="20"/>
                <w:szCs w:val="20"/>
                <w:lang w:eastAsia="es-CO"/>
              </w:rPr>
              <w:t xml:space="preserve"> del cierre del periodo sobre el que se informa que puedan tener un impacto importante en los estados financieros de la entidad.</w:t>
            </w:r>
          </w:p>
        </w:tc>
      </w:tr>
      <w:tr w:rsidR="000B7B01" w:rsidRPr="00E258E3" w14:paraId="70E7EB80" w14:textId="77777777" w:rsidTr="00803A09">
        <w:trPr>
          <w:trHeight w:val="300"/>
        </w:trPr>
        <w:tc>
          <w:tcPr>
            <w:tcW w:w="562" w:type="dxa"/>
            <w:shd w:val="clear" w:color="auto" w:fill="auto"/>
            <w:noWrap/>
            <w:hideMark/>
          </w:tcPr>
          <w:p w14:paraId="70E7EB7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C86</w:t>
            </w:r>
          </w:p>
        </w:tc>
        <w:tc>
          <w:tcPr>
            <w:tcW w:w="2835" w:type="dxa"/>
          </w:tcPr>
          <w:p w14:paraId="70E7EB7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órgano de autorización</w:t>
            </w:r>
          </w:p>
        </w:tc>
        <w:tc>
          <w:tcPr>
            <w:tcW w:w="7655" w:type="dxa"/>
            <w:shd w:val="clear" w:color="auto" w:fill="auto"/>
            <w:noWrap/>
            <w:hideMark/>
          </w:tcPr>
          <w:p w14:paraId="70E7EB7F" w14:textId="52F8B14A"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Asamblea</w:t>
            </w:r>
            <w:r w:rsidR="00E258E3" w:rsidRPr="00E258E3">
              <w:rPr>
                <w:rFonts w:ascii="Arial Narrow" w:eastAsia="Times New Roman" w:hAnsi="Arial Narrow" w:cs="Calibri"/>
                <w:color w:val="000000"/>
                <w:sz w:val="20"/>
                <w:szCs w:val="20"/>
                <w:lang w:eastAsia="es-CO"/>
              </w:rPr>
              <w:t xml:space="preserve"> </w:t>
            </w:r>
          </w:p>
        </w:tc>
      </w:tr>
      <w:tr w:rsidR="000B7B01" w:rsidRPr="00E258E3" w14:paraId="70E7EB84" w14:textId="77777777" w:rsidTr="00803A09">
        <w:trPr>
          <w:trHeight w:val="300"/>
        </w:trPr>
        <w:tc>
          <w:tcPr>
            <w:tcW w:w="562" w:type="dxa"/>
            <w:shd w:val="clear" w:color="auto" w:fill="auto"/>
            <w:noWrap/>
            <w:hideMark/>
          </w:tcPr>
          <w:p w14:paraId="70E7EB8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C87</w:t>
            </w:r>
          </w:p>
        </w:tc>
        <w:tc>
          <w:tcPr>
            <w:tcW w:w="2835" w:type="dxa"/>
          </w:tcPr>
          <w:p w14:paraId="70E7EB8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hecho de que los propietarios de la entidad u otros tengan poder para modificar los estados financieros tras la publicación</w:t>
            </w:r>
          </w:p>
        </w:tc>
        <w:tc>
          <w:tcPr>
            <w:tcW w:w="7655" w:type="dxa"/>
            <w:shd w:val="clear" w:color="auto" w:fill="auto"/>
            <w:noWrap/>
            <w:hideMark/>
          </w:tcPr>
          <w:p w14:paraId="70E7EB8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ES LA MAXIMA AUTORIDAD PERMANENTE de la entidad y responsable de la definición de las politicas contables.</w:t>
            </w:r>
          </w:p>
        </w:tc>
      </w:tr>
      <w:tr w:rsidR="000B7B01" w:rsidRPr="00E258E3" w14:paraId="70E7EB88" w14:textId="77777777" w:rsidTr="00803A09">
        <w:trPr>
          <w:trHeight w:val="300"/>
        </w:trPr>
        <w:tc>
          <w:tcPr>
            <w:tcW w:w="562" w:type="dxa"/>
            <w:shd w:val="clear" w:color="auto" w:fill="auto"/>
            <w:noWrap/>
            <w:hideMark/>
          </w:tcPr>
          <w:p w14:paraId="70E7EB8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C88</w:t>
            </w:r>
          </w:p>
        </w:tc>
        <w:tc>
          <w:tcPr>
            <w:tcW w:w="2835" w:type="dxa"/>
          </w:tcPr>
          <w:p w14:paraId="70E7EB86" w14:textId="52DD2C2D"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hechos ocurridos después del periodo sobre el que se informa que no implican ajuste</w:t>
            </w:r>
            <w:r w:rsidR="00E258E3" w:rsidRPr="00E258E3">
              <w:rPr>
                <w:rFonts w:ascii="Arial Narrow" w:hAnsi="Arial Narrow" w:cs="Calibri"/>
                <w:color w:val="000000"/>
                <w:sz w:val="20"/>
                <w:szCs w:val="20"/>
              </w:rPr>
              <w:t xml:space="preserve"> </w:t>
            </w:r>
          </w:p>
        </w:tc>
        <w:tc>
          <w:tcPr>
            <w:tcW w:w="7655" w:type="dxa"/>
            <w:shd w:val="clear" w:color="auto" w:fill="auto"/>
            <w:noWrap/>
            <w:hideMark/>
          </w:tcPr>
          <w:p w14:paraId="70E7EB87" w14:textId="20BC089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8C" w14:textId="77777777" w:rsidTr="00803A09">
        <w:trPr>
          <w:trHeight w:val="300"/>
        </w:trPr>
        <w:tc>
          <w:tcPr>
            <w:tcW w:w="562" w:type="dxa"/>
            <w:shd w:val="clear" w:color="auto" w:fill="auto"/>
            <w:noWrap/>
            <w:hideMark/>
          </w:tcPr>
          <w:p w14:paraId="70E7EB8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C89</w:t>
            </w:r>
          </w:p>
        </w:tc>
        <w:tc>
          <w:tcPr>
            <w:tcW w:w="2835" w:type="dxa"/>
          </w:tcPr>
          <w:p w14:paraId="70E7EB8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hechos ocurridos después del periodo sobre el que se informa que no implican ajuste [partidas de los estados financieros]</w:t>
            </w:r>
          </w:p>
        </w:tc>
        <w:tc>
          <w:tcPr>
            <w:tcW w:w="7655" w:type="dxa"/>
            <w:shd w:val="clear" w:color="auto" w:fill="auto"/>
            <w:noWrap/>
            <w:hideMark/>
          </w:tcPr>
          <w:p w14:paraId="70E7EB8B" w14:textId="247B012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90" w14:textId="77777777" w:rsidTr="00803A09">
        <w:trPr>
          <w:trHeight w:val="300"/>
        </w:trPr>
        <w:tc>
          <w:tcPr>
            <w:tcW w:w="562" w:type="dxa"/>
            <w:shd w:val="clear" w:color="auto" w:fill="auto"/>
            <w:noWrap/>
            <w:hideMark/>
          </w:tcPr>
          <w:p w14:paraId="70E7EB8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C90</w:t>
            </w:r>
          </w:p>
        </w:tc>
        <w:tc>
          <w:tcPr>
            <w:tcW w:w="2835" w:type="dxa"/>
          </w:tcPr>
          <w:p w14:paraId="70E7EB8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hechos ocurridos después del periodo sobre el que se informa que no implican ajuste</w:t>
            </w:r>
          </w:p>
        </w:tc>
        <w:tc>
          <w:tcPr>
            <w:tcW w:w="7655" w:type="dxa"/>
            <w:shd w:val="clear" w:color="auto" w:fill="auto"/>
            <w:noWrap/>
            <w:hideMark/>
          </w:tcPr>
          <w:p w14:paraId="70E7EB8F" w14:textId="3E964C1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94" w14:textId="77777777" w:rsidTr="00803A09">
        <w:trPr>
          <w:trHeight w:val="300"/>
        </w:trPr>
        <w:tc>
          <w:tcPr>
            <w:tcW w:w="562" w:type="dxa"/>
            <w:shd w:val="clear" w:color="auto" w:fill="auto"/>
            <w:noWrap/>
            <w:hideMark/>
          </w:tcPr>
          <w:p w14:paraId="70E7EB9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C91</w:t>
            </w:r>
          </w:p>
        </w:tc>
        <w:tc>
          <w:tcPr>
            <w:tcW w:w="2835" w:type="dxa"/>
          </w:tcPr>
          <w:p w14:paraId="70E7EB9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efecto financiero de hechos ocurridos después del periodo sobre el que se informa que no implican ajuste</w:t>
            </w:r>
          </w:p>
        </w:tc>
        <w:tc>
          <w:tcPr>
            <w:tcW w:w="7655" w:type="dxa"/>
            <w:shd w:val="clear" w:color="auto" w:fill="auto"/>
            <w:noWrap/>
            <w:hideMark/>
          </w:tcPr>
          <w:p w14:paraId="70E7EB93" w14:textId="34219C3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98" w14:textId="77777777" w:rsidTr="00803A09">
        <w:trPr>
          <w:trHeight w:val="300"/>
        </w:trPr>
        <w:tc>
          <w:tcPr>
            <w:tcW w:w="562" w:type="dxa"/>
            <w:shd w:val="clear" w:color="auto" w:fill="auto"/>
            <w:noWrap/>
            <w:hideMark/>
          </w:tcPr>
          <w:p w14:paraId="70E7EB9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C92</w:t>
            </w:r>
          </w:p>
        </w:tc>
        <w:tc>
          <w:tcPr>
            <w:tcW w:w="2835" w:type="dxa"/>
          </w:tcPr>
          <w:p w14:paraId="70E7EB9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partes relacionadas</w:t>
            </w:r>
          </w:p>
        </w:tc>
        <w:tc>
          <w:tcPr>
            <w:tcW w:w="7655" w:type="dxa"/>
            <w:shd w:val="clear" w:color="auto" w:fill="auto"/>
            <w:noWrap/>
            <w:hideMark/>
          </w:tcPr>
          <w:p w14:paraId="70E7EB97" w14:textId="330010B5" w:rsidR="000B7B01" w:rsidRPr="00E258E3" w:rsidRDefault="00DE5C8E"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T</w:t>
            </w:r>
            <w:r w:rsidR="000B7B01" w:rsidRPr="00E258E3">
              <w:rPr>
                <w:rFonts w:ascii="Arial Narrow" w:eastAsia="Times New Roman" w:hAnsi="Arial Narrow" w:cs="Calibri"/>
                <w:color w:val="000000"/>
                <w:sz w:val="20"/>
                <w:szCs w:val="20"/>
                <w:lang w:eastAsia="es-CO"/>
              </w:rPr>
              <w:t>odas las transacciones sea que tengan precio o no realizadas con las personas</w:t>
            </w:r>
            <w:r w:rsidR="00E258E3" w:rsidRPr="00E258E3">
              <w:rPr>
                <w:rFonts w:ascii="Arial Narrow" w:eastAsia="Times New Roman" w:hAnsi="Arial Narrow" w:cs="Calibri"/>
                <w:color w:val="000000"/>
                <w:sz w:val="20"/>
                <w:szCs w:val="20"/>
                <w:lang w:eastAsia="es-CO"/>
              </w:rPr>
              <w:t xml:space="preserve"> </w:t>
            </w:r>
            <w:r w:rsidR="000B7B01" w:rsidRPr="00E258E3">
              <w:rPr>
                <w:rFonts w:ascii="Arial Narrow" w:eastAsia="Times New Roman" w:hAnsi="Arial Narrow" w:cs="Calibri"/>
                <w:color w:val="000000"/>
                <w:sz w:val="20"/>
                <w:szCs w:val="20"/>
                <w:lang w:eastAsia="es-CO"/>
              </w:rPr>
              <w:t xml:space="preserve">que tienen el control o la influencia significativa sobre las </w:t>
            </w:r>
            <w:r w:rsidR="006903A2" w:rsidRPr="00E258E3">
              <w:rPr>
                <w:rFonts w:ascii="Arial Narrow" w:eastAsia="Times New Roman" w:hAnsi="Arial Narrow" w:cs="Calibri"/>
                <w:color w:val="000000"/>
                <w:sz w:val="20"/>
                <w:szCs w:val="20"/>
                <w:lang w:eastAsia="es-CO"/>
              </w:rPr>
              <w:t>políticas</w:t>
            </w:r>
            <w:r w:rsidR="000B7B01" w:rsidRPr="00E258E3">
              <w:rPr>
                <w:rFonts w:ascii="Arial Narrow" w:eastAsia="Times New Roman" w:hAnsi="Arial Narrow" w:cs="Calibri"/>
                <w:color w:val="000000"/>
                <w:sz w:val="20"/>
                <w:szCs w:val="20"/>
                <w:lang w:eastAsia="es-CO"/>
              </w:rPr>
              <w:t xml:space="preserve"> de la entidad y sus operaciones </w:t>
            </w:r>
            <w:r w:rsidR="006200B9" w:rsidRPr="00E258E3">
              <w:rPr>
                <w:rFonts w:ascii="Arial Narrow" w:eastAsia="Times New Roman" w:hAnsi="Arial Narrow" w:cs="Calibri"/>
                <w:color w:val="000000"/>
                <w:sz w:val="20"/>
                <w:szCs w:val="20"/>
                <w:lang w:eastAsia="es-CO"/>
              </w:rPr>
              <w:t>así</w:t>
            </w:r>
            <w:r w:rsidR="000B7B01" w:rsidRPr="00E258E3">
              <w:rPr>
                <w:rFonts w:ascii="Arial Narrow" w:eastAsia="Times New Roman" w:hAnsi="Arial Narrow" w:cs="Calibri"/>
                <w:color w:val="000000"/>
                <w:sz w:val="20"/>
                <w:szCs w:val="20"/>
                <w:lang w:eastAsia="es-CO"/>
              </w:rPr>
              <w:t xml:space="preserve"> como con sus familiares o empresas controladas por estos.</w:t>
            </w:r>
          </w:p>
        </w:tc>
      </w:tr>
      <w:tr w:rsidR="000B7B01" w:rsidRPr="00E258E3" w14:paraId="70E7EB9C" w14:textId="77777777" w:rsidTr="00803A09">
        <w:trPr>
          <w:trHeight w:val="300"/>
        </w:trPr>
        <w:tc>
          <w:tcPr>
            <w:tcW w:w="562" w:type="dxa"/>
            <w:shd w:val="clear" w:color="auto" w:fill="auto"/>
            <w:noWrap/>
            <w:hideMark/>
          </w:tcPr>
          <w:p w14:paraId="70E7EB9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C93</w:t>
            </w:r>
          </w:p>
        </w:tc>
        <w:tc>
          <w:tcPr>
            <w:tcW w:w="2835" w:type="dxa"/>
          </w:tcPr>
          <w:p w14:paraId="70E7EB9A" w14:textId="0FC7318E"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Nombre de la entidad controladora</w:t>
            </w:r>
            <w:r w:rsidR="00E258E3" w:rsidRPr="00E258E3">
              <w:rPr>
                <w:rFonts w:ascii="Arial Narrow" w:hAnsi="Arial Narrow" w:cs="Calibri"/>
                <w:color w:val="000000"/>
                <w:sz w:val="20"/>
                <w:szCs w:val="20"/>
              </w:rPr>
              <w:t xml:space="preserve"> </w:t>
            </w:r>
          </w:p>
        </w:tc>
        <w:tc>
          <w:tcPr>
            <w:tcW w:w="7655" w:type="dxa"/>
            <w:shd w:val="clear" w:color="auto" w:fill="auto"/>
            <w:noWrap/>
            <w:hideMark/>
          </w:tcPr>
          <w:p w14:paraId="70E7EB9B" w14:textId="207F566C"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A0" w14:textId="77777777" w:rsidTr="00803A09">
        <w:trPr>
          <w:trHeight w:val="300"/>
        </w:trPr>
        <w:tc>
          <w:tcPr>
            <w:tcW w:w="562" w:type="dxa"/>
            <w:shd w:val="clear" w:color="auto" w:fill="auto"/>
            <w:noWrap/>
            <w:hideMark/>
          </w:tcPr>
          <w:p w14:paraId="70E7EB9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C94</w:t>
            </w:r>
          </w:p>
        </w:tc>
        <w:tc>
          <w:tcPr>
            <w:tcW w:w="2835" w:type="dxa"/>
          </w:tcPr>
          <w:p w14:paraId="70E7EB9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Nombre de la controladora última del grupo</w:t>
            </w:r>
          </w:p>
        </w:tc>
        <w:tc>
          <w:tcPr>
            <w:tcW w:w="7655" w:type="dxa"/>
            <w:shd w:val="clear" w:color="auto" w:fill="auto"/>
            <w:noWrap/>
            <w:hideMark/>
          </w:tcPr>
          <w:p w14:paraId="70E7EB9F" w14:textId="73B27DD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A4" w14:textId="77777777" w:rsidTr="00803A09">
        <w:trPr>
          <w:trHeight w:val="300"/>
        </w:trPr>
        <w:tc>
          <w:tcPr>
            <w:tcW w:w="562" w:type="dxa"/>
            <w:shd w:val="clear" w:color="auto" w:fill="auto"/>
            <w:noWrap/>
            <w:hideMark/>
          </w:tcPr>
          <w:p w14:paraId="70E7EBA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C95</w:t>
            </w:r>
          </w:p>
        </w:tc>
        <w:tc>
          <w:tcPr>
            <w:tcW w:w="2835" w:type="dxa"/>
          </w:tcPr>
          <w:p w14:paraId="70E7EBA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El nombre de la controladora intermedia más próxima que elabora estados financieros disponibles públicamente</w:t>
            </w:r>
          </w:p>
        </w:tc>
        <w:tc>
          <w:tcPr>
            <w:tcW w:w="7655" w:type="dxa"/>
            <w:shd w:val="clear" w:color="auto" w:fill="auto"/>
            <w:noWrap/>
            <w:hideMark/>
          </w:tcPr>
          <w:p w14:paraId="70E7EBA3" w14:textId="1BF96A12"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A8" w14:textId="77777777" w:rsidTr="00803A09">
        <w:trPr>
          <w:trHeight w:val="300"/>
        </w:trPr>
        <w:tc>
          <w:tcPr>
            <w:tcW w:w="562" w:type="dxa"/>
            <w:shd w:val="clear" w:color="auto" w:fill="auto"/>
            <w:noWrap/>
            <w:hideMark/>
          </w:tcPr>
          <w:p w14:paraId="70E7EBA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C96</w:t>
            </w:r>
          </w:p>
        </w:tc>
        <w:tc>
          <w:tcPr>
            <w:tcW w:w="2835" w:type="dxa"/>
          </w:tcPr>
          <w:p w14:paraId="70E7EBA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 relación entre controladoras y subsidiarias</w:t>
            </w:r>
          </w:p>
        </w:tc>
        <w:tc>
          <w:tcPr>
            <w:tcW w:w="7655" w:type="dxa"/>
            <w:shd w:val="clear" w:color="auto" w:fill="auto"/>
            <w:noWrap/>
            <w:hideMark/>
          </w:tcPr>
          <w:p w14:paraId="70E7EBA7" w14:textId="6CD6657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B3" w14:textId="77777777" w:rsidTr="00803A09">
        <w:trPr>
          <w:trHeight w:val="300"/>
        </w:trPr>
        <w:tc>
          <w:tcPr>
            <w:tcW w:w="562" w:type="dxa"/>
            <w:shd w:val="clear" w:color="auto" w:fill="auto"/>
            <w:noWrap/>
            <w:hideMark/>
          </w:tcPr>
          <w:p w14:paraId="70E7EBA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C97</w:t>
            </w:r>
          </w:p>
        </w:tc>
        <w:tc>
          <w:tcPr>
            <w:tcW w:w="2835" w:type="dxa"/>
          </w:tcPr>
          <w:p w14:paraId="70E7EBAA" w14:textId="043BB3FA"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transacciones entre partes relacionadas</w:t>
            </w:r>
            <w:r w:rsidR="00E258E3" w:rsidRPr="00E258E3">
              <w:rPr>
                <w:rFonts w:ascii="Arial Narrow" w:hAnsi="Arial Narrow" w:cs="Calibri"/>
                <w:color w:val="000000"/>
                <w:sz w:val="20"/>
                <w:szCs w:val="20"/>
              </w:rPr>
              <w:t xml:space="preserve"> </w:t>
            </w:r>
          </w:p>
        </w:tc>
        <w:tc>
          <w:tcPr>
            <w:tcW w:w="7655" w:type="dxa"/>
            <w:shd w:val="clear" w:color="auto" w:fill="auto"/>
            <w:noWrap/>
            <w:hideMark/>
          </w:tcPr>
          <w:p w14:paraId="70E7EBAB" w14:textId="77777777"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w:t>
            </w:r>
            <w:r w:rsidR="000B7B01" w:rsidRPr="00E258E3">
              <w:rPr>
                <w:rFonts w:ascii="Arial Narrow" w:eastAsia="Times New Roman" w:hAnsi="Arial Narrow" w:cs="Calibri"/>
                <w:color w:val="000000"/>
                <w:sz w:val="20"/>
                <w:szCs w:val="20"/>
                <w:lang w:eastAsia="es-CO"/>
              </w:rPr>
              <w:t xml:space="preserve">mportes iniciales </w:t>
            </w:r>
          </w:p>
          <w:p w14:paraId="70E7EBAC"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saldos</w:t>
            </w:r>
          </w:p>
          <w:p w14:paraId="70E7EBA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estado actual</w:t>
            </w:r>
          </w:p>
          <w:p w14:paraId="70E7EBA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deterioro</w:t>
            </w:r>
          </w:p>
          <w:p w14:paraId="70E7EBA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castigos</w:t>
            </w:r>
          </w:p>
          <w:p w14:paraId="70E7EBB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ingresos</w:t>
            </w:r>
          </w:p>
          <w:p w14:paraId="70E7EBB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gastos</w:t>
            </w:r>
          </w:p>
          <w:p w14:paraId="70E7EBB2" w14:textId="77777777"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garantías</w:t>
            </w:r>
          </w:p>
        </w:tc>
      </w:tr>
      <w:tr w:rsidR="000B7B01" w:rsidRPr="00E258E3" w14:paraId="70E7EBBA" w14:textId="77777777" w:rsidTr="00803A09">
        <w:trPr>
          <w:trHeight w:val="300"/>
        </w:trPr>
        <w:tc>
          <w:tcPr>
            <w:tcW w:w="562" w:type="dxa"/>
            <w:shd w:val="clear" w:color="auto" w:fill="auto"/>
            <w:noWrap/>
            <w:hideMark/>
          </w:tcPr>
          <w:p w14:paraId="70E7EBB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C98</w:t>
            </w:r>
          </w:p>
        </w:tc>
        <w:tc>
          <w:tcPr>
            <w:tcW w:w="2835" w:type="dxa"/>
          </w:tcPr>
          <w:p w14:paraId="70E7EBB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transacciones entre partes relacionadas [partidas de los estados financieros]</w:t>
            </w:r>
          </w:p>
        </w:tc>
        <w:tc>
          <w:tcPr>
            <w:tcW w:w="7655" w:type="dxa"/>
            <w:shd w:val="clear" w:color="auto" w:fill="auto"/>
            <w:noWrap/>
            <w:hideMark/>
          </w:tcPr>
          <w:p w14:paraId="70E7EBB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Pagos efectuados a la Gerencia como un todo</w:t>
            </w:r>
          </w:p>
          <w:p w14:paraId="70E7EBB7" w14:textId="6EBDBAE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naturaleza de la </w:t>
            </w:r>
            <w:r w:rsidR="006200B9" w:rsidRPr="00E258E3">
              <w:rPr>
                <w:rFonts w:ascii="Arial Narrow" w:eastAsia="Times New Roman" w:hAnsi="Arial Narrow" w:cs="Calibri"/>
                <w:color w:val="000000"/>
                <w:sz w:val="20"/>
                <w:szCs w:val="20"/>
                <w:lang w:eastAsia="es-CO"/>
              </w:rPr>
              <w:t>transacción</w:t>
            </w:r>
            <w:r w:rsidRPr="00E258E3">
              <w:rPr>
                <w:rFonts w:ascii="Arial Narrow" w:eastAsia="Times New Roman" w:hAnsi="Arial Narrow" w:cs="Calibri"/>
                <w:color w:val="000000"/>
                <w:sz w:val="20"/>
                <w:szCs w:val="20"/>
                <w:lang w:eastAsia="es-CO"/>
              </w:rPr>
              <w:t xml:space="preserve"> importes y condiciones en general: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tasas / plazos / </w:t>
            </w:r>
            <w:proofErr w:type="spellStart"/>
            <w:r w:rsidRPr="00E258E3">
              <w:rPr>
                <w:rFonts w:ascii="Arial Narrow" w:eastAsia="Times New Roman" w:hAnsi="Arial Narrow" w:cs="Calibri"/>
                <w:color w:val="000000"/>
                <w:sz w:val="20"/>
                <w:szCs w:val="20"/>
                <w:lang w:eastAsia="es-CO"/>
              </w:rPr>
              <w:t>garantias</w:t>
            </w:r>
            <w:proofErr w:type="spellEnd"/>
            <w:r w:rsidRPr="00E258E3">
              <w:rPr>
                <w:rFonts w:ascii="Arial Narrow" w:eastAsia="Times New Roman" w:hAnsi="Arial Narrow" w:cs="Calibri"/>
                <w:color w:val="000000"/>
                <w:sz w:val="20"/>
                <w:szCs w:val="20"/>
                <w:lang w:eastAsia="es-CO"/>
              </w:rPr>
              <w:t xml:space="preserve"> / precios</w:t>
            </w:r>
          </w:p>
          <w:p w14:paraId="70E7EBB8" w14:textId="732E1970" w:rsidR="000B7B01" w:rsidRPr="00E258E3" w:rsidRDefault="006200B9"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órgano</w:t>
            </w:r>
            <w:r w:rsidR="000B7B01" w:rsidRPr="00E258E3">
              <w:rPr>
                <w:rFonts w:ascii="Arial Narrow" w:eastAsia="Times New Roman" w:hAnsi="Arial Narrow" w:cs="Calibri"/>
                <w:color w:val="000000"/>
                <w:sz w:val="20"/>
                <w:szCs w:val="20"/>
                <w:lang w:eastAsia="es-CO"/>
              </w:rPr>
              <w:t xml:space="preserve"> de </w:t>
            </w:r>
            <w:r w:rsidRPr="00E258E3">
              <w:rPr>
                <w:rFonts w:ascii="Arial Narrow" w:eastAsia="Times New Roman" w:hAnsi="Arial Narrow" w:cs="Calibri"/>
                <w:color w:val="000000"/>
                <w:sz w:val="20"/>
                <w:szCs w:val="20"/>
                <w:lang w:eastAsia="es-CO"/>
              </w:rPr>
              <w:t>autorización</w:t>
            </w:r>
          </w:p>
          <w:p w14:paraId="70E7EBB9" w14:textId="007C7863"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Puede efectuarse si es verificable y cierto que todas las transacciones se efectuaron en las mismas condiciones en que se efectuaron o </w:t>
            </w:r>
            <w:r w:rsidR="006200B9" w:rsidRPr="00E258E3">
              <w:rPr>
                <w:rFonts w:ascii="Arial Narrow" w:eastAsia="Times New Roman" w:hAnsi="Arial Narrow" w:cs="Calibri"/>
                <w:color w:val="000000"/>
                <w:sz w:val="20"/>
                <w:szCs w:val="20"/>
                <w:lang w:eastAsia="es-CO"/>
              </w:rPr>
              <w:t>efectuarían</w:t>
            </w:r>
            <w:r w:rsidRPr="00E258E3">
              <w:rPr>
                <w:rFonts w:ascii="Arial Narrow" w:eastAsia="Times New Roman" w:hAnsi="Arial Narrow" w:cs="Calibri"/>
                <w:color w:val="000000"/>
                <w:sz w:val="20"/>
                <w:szCs w:val="20"/>
                <w:lang w:eastAsia="es-CO"/>
              </w:rPr>
              <w:t xml:space="preserve"> similares operaciones con terceros y asociados que no tienen el control de la entidad</w:t>
            </w:r>
          </w:p>
        </w:tc>
      </w:tr>
      <w:tr w:rsidR="000B7B01" w:rsidRPr="00E258E3" w14:paraId="70E7EBC5" w14:textId="77777777" w:rsidTr="00803A09">
        <w:trPr>
          <w:trHeight w:val="300"/>
        </w:trPr>
        <w:tc>
          <w:tcPr>
            <w:tcW w:w="562" w:type="dxa"/>
            <w:shd w:val="clear" w:color="auto" w:fill="auto"/>
            <w:noWrap/>
            <w:hideMark/>
          </w:tcPr>
          <w:p w14:paraId="70E7EBB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C99</w:t>
            </w:r>
          </w:p>
        </w:tc>
        <w:tc>
          <w:tcPr>
            <w:tcW w:w="2835" w:type="dxa"/>
          </w:tcPr>
          <w:p w14:paraId="70E7EBB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transacciones con partes relacionadas</w:t>
            </w:r>
          </w:p>
        </w:tc>
        <w:tc>
          <w:tcPr>
            <w:tcW w:w="7655" w:type="dxa"/>
            <w:shd w:val="clear" w:color="auto" w:fill="auto"/>
            <w:noWrap/>
            <w:hideMark/>
          </w:tcPr>
          <w:p w14:paraId="70E7EBBD" w14:textId="77777777"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w:t>
            </w:r>
            <w:r w:rsidR="000B7B01" w:rsidRPr="00E258E3">
              <w:rPr>
                <w:rFonts w:ascii="Arial Narrow" w:eastAsia="Times New Roman" w:hAnsi="Arial Narrow" w:cs="Calibri"/>
                <w:color w:val="000000"/>
                <w:sz w:val="20"/>
                <w:szCs w:val="20"/>
                <w:lang w:eastAsia="es-CO"/>
              </w:rPr>
              <w:t>artera de creditos</w:t>
            </w:r>
          </w:p>
          <w:p w14:paraId="70E7EBBE" w14:textId="5A000FA0" w:rsidR="000B7B01" w:rsidRPr="00E258E3" w:rsidRDefault="006200B9"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depósitos</w:t>
            </w:r>
          </w:p>
          <w:p w14:paraId="70E7EBB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cuentas por cobrar</w:t>
            </w:r>
          </w:p>
          <w:p w14:paraId="70E7EBC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cuentas por pagar</w:t>
            </w:r>
          </w:p>
          <w:p w14:paraId="70E7EBC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ingresos por intereses de la cartera</w:t>
            </w:r>
          </w:p>
          <w:p w14:paraId="70E7EBC2"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gastos por beneficios a empleados honorarios transporte y similares</w:t>
            </w:r>
          </w:p>
          <w:p w14:paraId="70E7EBC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costos por intereses de </w:t>
            </w:r>
            <w:r w:rsidR="006903A2" w:rsidRPr="00E258E3">
              <w:rPr>
                <w:rFonts w:ascii="Arial Narrow" w:eastAsia="Times New Roman" w:hAnsi="Arial Narrow" w:cs="Calibri"/>
                <w:color w:val="000000"/>
                <w:sz w:val="20"/>
                <w:szCs w:val="20"/>
                <w:lang w:eastAsia="es-CO"/>
              </w:rPr>
              <w:t>depósitos</w:t>
            </w:r>
          </w:p>
          <w:p w14:paraId="70E7EBC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perdidas por deterioro de cartera o castigos de cartera y </w:t>
            </w:r>
            <w:proofErr w:type="spellStart"/>
            <w:r w:rsidRPr="00E258E3">
              <w:rPr>
                <w:rFonts w:ascii="Arial Narrow" w:eastAsia="Times New Roman" w:hAnsi="Arial Narrow" w:cs="Calibri"/>
                <w:color w:val="000000"/>
                <w:sz w:val="20"/>
                <w:szCs w:val="20"/>
                <w:lang w:eastAsia="es-CO"/>
              </w:rPr>
              <w:t>cxc</w:t>
            </w:r>
            <w:proofErr w:type="spellEnd"/>
          </w:p>
        </w:tc>
      </w:tr>
      <w:tr w:rsidR="000B7B01" w:rsidRPr="00E258E3" w14:paraId="70E7EBCC" w14:textId="77777777" w:rsidTr="00803A09">
        <w:trPr>
          <w:trHeight w:val="300"/>
        </w:trPr>
        <w:tc>
          <w:tcPr>
            <w:tcW w:w="562" w:type="dxa"/>
            <w:shd w:val="clear" w:color="auto" w:fill="auto"/>
            <w:noWrap/>
            <w:hideMark/>
          </w:tcPr>
          <w:p w14:paraId="70E7EBC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C100</w:t>
            </w:r>
          </w:p>
        </w:tc>
        <w:tc>
          <w:tcPr>
            <w:tcW w:w="2835" w:type="dxa"/>
          </w:tcPr>
          <w:p w14:paraId="70E7EBC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la relación entre partes relacionadas</w:t>
            </w:r>
          </w:p>
        </w:tc>
        <w:tc>
          <w:tcPr>
            <w:tcW w:w="7655" w:type="dxa"/>
            <w:shd w:val="clear" w:color="auto" w:fill="auto"/>
            <w:noWrap/>
            <w:hideMark/>
          </w:tcPr>
          <w:p w14:paraId="70E7EBC8" w14:textId="77777777"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G</w:t>
            </w:r>
            <w:r w:rsidR="000B7B01" w:rsidRPr="00E258E3">
              <w:rPr>
                <w:rFonts w:ascii="Arial Narrow" w:eastAsia="Times New Roman" w:hAnsi="Arial Narrow" w:cs="Calibri"/>
                <w:color w:val="000000"/>
                <w:sz w:val="20"/>
                <w:szCs w:val="20"/>
                <w:lang w:eastAsia="es-CO"/>
              </w:rPr>
              <w:t>erente</w:t>
            </w:r>
          </w:p>
          <w:p w14:paraId="70E7EBC9" w14:textId="5D84974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Consejo de </w:t>
            </w:r>
            <w:r w:rsidR="006200B9" w:rsidRPr="00E258E3">
              <w:rPr>
                <w:rFonts w:ascii="Arial Narrow" w:eastAsia="Times New Roman" w:hAnsi="Arial Narrow" w:cs="Calibri"/>
                <w:color w:val="000000"/>
                <w:sz w:val="20"/>
                <w:szCs w:val="20"/>
                <w:lang w:eastAsia="es-CO"/>
              </w:rPr>
              <w:t>Administración</w:t>
            </w:r>
            <w:r w:rsidR="006200B9">
              <w:rPr>
                <w:rFonts w:ascii="Arial Narrow" w:eastAsia="Times New Roman" w:hAnsi="Arial Narrow" w:cs="Calibri"/>
                <w:color w:val="000000"/>
                <w:sz w:val="20"/>
                <w:szCs w:val="20"/>
                <w:lang w:eastAsia="es-CO"/>
              </w:rPr>
              <w:t xml:space="preserve"> y Junta de Vigilancia</w:t>
            </w:r>
          </w:p>
          <w:p w14:paraId="70E7EBCA"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 xml:space="preserve">familiares hasta 4 grado de consanguinidad tercero de afinidad y </w:t>
            </w:r>
            <w:proofErr w:type="spellStart"/>
            <w:r w:rsidRPr="00E258E3">
              <w:rPr>
                <w:rFonts w:ascii="Arial Narrow" w:eastAsia="Times New Roman" w:hAnsi="Arial Narrow" w:cs="Calibri"/>
                <w:color w:val="000000"/>
                <w:sz w:val="20"/>
                <w:szCs w:val="20"/>
                <w:lang w:eastAsia="es-CO"/>
              </w:rPr>
              <w:t>unico</w:t>
            </w:r>
            <w:proofErr w:type="spellEnd"/>
            <w:r w:rsidRPr="00E258E3">
              <w:rPr>
                <w:rFonts w:ascii="Arial Narrow" w:eastAsia="Times New Roman" w:hAnsi="Arial Narrow" w:cs="Calibri"/>
                <w:color w:val="000000"/>
                <w:sz w:val="20"/>
                <w:szCs w:val="20"/>
                <w:lang w:eastAsia="es-CO"/>
              </w:rPr>
              <w:t xml:space="preserve"> civil</w:t>
            </w:r>
          </w:p>
          <w:p w14:paraId="70E7EBCB"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empresas donde los anteriores tengan control o influencia significativa </w:t>
            </w:r>
          </w:p>
        </w:tc>
      </w:tr>
      <w:tr w:rsidR="000B7B01" w:rsidRPr="00E258E3" w14:paraId="70E7EBD0" w14:textId="77777777" w:rsidTr="00803A09">
        <w:trPr>
          <w:trHeight w:val="300"/>
        </w:trPr>
        <w:tc>
          <w:tcPr>
            <w:tcW w:w="562" w:type="dxa"/>
            <w:shd w:val="clear" w:color="auto" w:fill="auto"/>
            <w:noWrap/>
            <w:hideMark/>
          </w:tcPr>
          <w:p w14:paraId="70E7EBC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C101</w:t>
            </w:r>
          </w:p>
        </w:tc>
        <w:tc>
          <w:tcPr>
            <w:tcW w:w="2835" w:type="dxa"/>
          </w:tcPr>
          <w:p w14:paraId="70E7EBC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los términos y condiciones de saldos existentes por transacciones entre partes relacionadas</w:t>
            </w:r>
          </w:p>
        </w:tc>
        <w:tc>
          <w:tcPr>
            <w:tcW w:w="7655" w:type="dxa"/>
            <w:shd w:val="clear" w:color="auto" w:fill="auto"/>
            <w:noWrap/>
            <w:hideMark/>
          </w:tcPr>
          <w:p w14:paraId="70E7EBCF" w14:textId="77777777"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L</w:t>
            </w:r>
            <w:r w:rsidR="000B7B01" w:rsidRPr="00E258E3">
              <w:rPr>
                <w:rFonts w:ascii="Arial Narrow" w:eastAsia="Times New Roman" w:hAnsi="Arial Narrow" w:cs="Calibri"/>
                <w:color w:val="000000"/>
                <w:sz w:val="20"/>
                <w:szCs w:val="20"/>
                <w:lang w:eastAsia="es-CO"/>
              </w:rPr>
              <w:t>as mismas establecidas para el general de los asociados para operaciones de la misma naturaleza</w:t>
            </w:r>
          </w:p>
        </w:tc>
      </w:tr>
      <w:tr w:rsidR="000B7B01" w:rsidRPr="00E258E3" w14:paraId="70E7EBD4" w14:textId="77777777" w:rsidTr="00803A09">
        <w:trPr>
          <w:trHeight w:val="300"/>
        </w:trPr>
        <w:tc>
          <w:tcPr>
            <w:tcW w:w="562" w:type="dxa"/>
            <w:shd w:val="clear" w:color="auto" w:fill="auto"/>
            <w:noWrap/>
            <w:hideMark/>
          </w:tcPr>
          <w:p w14:paraId="70E7EBD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C102</w:t>
            </w:r>
          </w:p>
        </w:tc>
        <w:tc>
          <w:tcPr>
            <w:tcW w:w="2835" w:type="dxa"/>
          </w:tcPr>
          <w:p w14:paraId="70E7EBD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 los detalles de garantías otorgadas o recibidas de saldos pendientes para transacciones con partes relacionadas </w:t>
            </w:r>
            <w:r w:rsidRPr="00E258E3">
              <w:rPr>
                <w:rFonts w:ascii="Arial Narrow" w:hAnsi="Arial Narrow" w:cs="Calibri"/>
                <w:color w:val="000000"/>
                <w:sz w:val="20"/>
                <w:szCs w:val="20"/>
              </w:rPr>
              <w:br/>
              <w:t xml:space="preserve">Explicación de los detalles de garantías otorgadas o recibidas de saldos pendientes para transacciones con partes relacionadas </w:t>
            </w:r>
          </w:p>
        </w:tc>
        <w:tc>
          <w:tcPr>
            <w:tcW w:w="7655" w:type="dxa"/>
            <w:shd w:val="clear" w:color="auto" w:fill="auto"/>
            <w:noWrap/>
            <w:hideMark/>
          </w:tcPr>
          <w:p w14:paraId="70E7EBD3" w14:textId="77777777" w:rsidR="000B7B01" w:rsidRPr="00E258E3" w:rsidRDefault="00DE5C8E"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Garantías</w:t>
            </w:r>
            <w:r w:rsidR="000B7B01" w:rsidRPr="00E258E3">
              <w:rPr>
                <w:rFonts w:ascii="Arial Narrow" w:eastAsia="Times New Roman" w:hAnsi="Arial Narrow" w:cs="Calibri"/>
                <w:color w:val="000000"/>
                <w:sz w:val="20"/>
                <w:szCs w:val="20"/>
                <w:lang w:eastAsia="es-CO"/>
              </w:rPr>
              <w:t xml:space="preserve"> personales o admisibles </w:t>
            </w:r>
            <w:r w:rsidR="006903A2" w:rsidRPr="00E258E3">
              <w:rPr>
                <w:rFonts w:ascii="Arial Narrow" w:eastAsia="Times New Roman" w:hAnsi="Arial Narrow" w:cs="Calibri"/>
                <w:color w:val="000000"/>
                <w:sz w:val="20"/>
                <w:szCs w:val="20"/>
                <w:lang w:eastAsia="es-CO"/>
              </w:rPr>
              <w:t>según</w:t>
            </w:r>
            <w:r w:rsidR="000B7B01" w:rsidRPr="00E258E3">
              <w:rPr>
                <w:rFonts w:ascii="Arial Narrow" w:eastAsia="Times New Roman" w:hAnsi="Arial Narrow" w:cs="Calibri"/>
                <w:color w:val="000000"/>
                <w:sz w:val="20"/>
                <w:szCs w:val="20"/>
                <w:lang w:eastAsia="es-CO"/>
              </w:rPr>
              <w:t xml:space="preserve"> lo determinado por los estatutos y reglamentos para todos los asociados sin privilegios o excepciones de ninguna naturaleza</w:t>
            </w:r>
          </w:p>
        </w:tc>
      </w:tr>
      <w:tr w:rsidR="000B7B01" w:rsidRPr="00E258E3" w14:paraId="70E7EBD8" w14:textId="77777777" w:rsidTr="00803A09">
        <w:trPr>
          <w:trHeight w:val="300"/>
        </w:trPr>
        <w:tc>
          <w:tcPr>
            <w:tcW w:w="562" w:type="dxa"/>
            <w:shd w:val="clear" w:color="auto" w:fill="auto"/>
            <w:noWrap/>
            <w:hideMark/>
          </w:tcPr>
          <w:p w14:paraId="70E7EBD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C103</w:t>
            </w:r>
          </w:p>
        </w:tc>
        <w:tc>
          <w:tcPr>
            <w:tcW w:w="2835" w:type="dxa"/>
          </w:tcPr>
          <w:p w14:paraId="70E7EBD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importes incurridos por la entidad para la provisión de servicios de personal clave de la gerencia </w:t>
            </w:r>
            <w:r w:rsidRPr="00E258E3">
              <w:rPr>
                <w:rFonts w:ascii="Arial Narrow" w:hAnsi="Arial Narrow" w:cs="Calibri"/>
                <w:color w:val="FF0000"/>
                <w:sz w:val="20"/>
                <w:szCs w:val="20"/>
              </w:rPr>
              <w:t>que se presten por una entidad de gestión separada</w:t>
            </w:r>
          </w:p>
        </w:tc>
        <w:tc>
          <w:tcPr>
            <w:tcW w:w="7655" w:type="dxa"/>
            <w:shd w:val="clear" w:color="auto" w:fill="auto"/>
            <w:noWrap/>
            <w:hideMark/>
          </w:tcPr>
          <w:p w14:paraId="70E7EBD7" w14:textId="26F97B68" w:rsidR="000B7B01" w:rsidRPr="00E258E3" w:rsidRDefault="009A56BC"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r w:rsidR="000B7B01" w:rsidRPr="00E258E3">
              <w:rPr>
                <w:rFonts w:ascii="Arial Narrow" w:eastAsia="Times New Roman" w:hAnsi="Arial Narrow" w:cs="Calibri"/>
                <w:color w:val="000000"/>
                <w:sz w:val="20"/>
                <w:szCs w:val="20"/>
                <w:lang w:eastAsia="es-CO"/>
              </w:rPr>
              <w:t> </w:t>
            </w:r>
          </w:p>
        </w:tc>
      </w:tr>
      <w:tr w:rsidR="000B7B01" w:rsidRPr="00E258E3" w14:paraId="70E7EBDC" w14:textId="77777777" w:rsidTr="00803A09">
        <w:trPr>
          <w:trHeight w:val="300"/>
        </w:trPr>
        <w:tc>
          <w:tcPr>
            <w:tcW w:w="562" w:type="dxa"/>
            <w:shd w:val="clear" w:color="auto" w:fill="auto"/>
            <w:noWrap/>
            <w:hideMark/>
          </w:tcPr>
          <w:p w14:paraId="70E7EBD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C104</w:t>
            </w:r>
          </w:p>
        </w:tc>
        <w:tc>
          <w:tcPr>
            <w:tcW w:w="2835" w:type="dxa"/>
          </w:tcPr>
          <w:p w14:paraId="70E7EBD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importes incurridos por la entidad para la provisión de servicios de personal clave de la gerencia que se presten por una entidad de gestión separada [partidas de los estados financieros] </w:t>
            </w:r>
          </w:p>
        </w:tc>
        <w:tc>
          <w:tcPr>
            <w:tcW w:w="7655" w:type="dxa"/>
            <w:shd w:val="clear" w:color="auto" w:fill="auto"/>
            <w:noWrap/>
            <w:hideMark/>
          </w:tcPr>
          <w:p w14:paraId="70E7EBDB" w14:textId="394DA65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E0" w14:textId="77777777" w:rsidTr="00803A09">
        <w:trPr>
          <w:trHeight w:val="300"/>
        </w:trPr>
        <w:tc>
          <w:tcPr>
            <w:tcW w:w="562" w:type="dxa"/>
            <w:shd w:val="clear" w:color="auto" w:fill="auto"/>
            <w:noWrap/>
            <w:hideMark/>
          </w:tcPr>
          <w:p w14:paraId="70E7EBD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C105</w:t>
            </w:r>
          </w:p>
        </w:tc>
        <w:tc>
          <w:tcPr>
            <w:tcW w:w="2835" w:type="dxa"/>
          </w:tcPr>
          <w:p w14:paraId="70E7EBD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las transacciones con partes relacionadas se realizaron en condiciones equivalentes a las que predominan en transacción realizadas en condiciones de independencia mutua</w:t>
            </w:r>
          </w:p>
        </w:tc>
        <w:tc>
          <w:tcPr>
            <w:tcW w:w="7655" w:type="dxa"/>
            <w:shd w:val="clear" w:color="auto" w:fill="auto"/>
            <w:noWrap/>
            <w:hideMark/>
          </w:tcPr>
          <w:p w14:paraId="70E7EBDF" w14:textId="6A2C180A" w:rsidR="000B7B01" w:rsidRPr="00E258E3" w:rsidRDefault="00DE5C8E"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T</w:t>
            </w:r>
            <w:r w:rsidR="000B7B01" w:rsidRPr="00E258E3">
              <w:rPr>
                <w:rFonts w:ascii="Arial Narrow" w:eastAsia="Times New Roman" w:hAnsi="Arial Narrow" w:cs="Calibri"/>
                <w:color w:val="000000"/>
                <w:sz w:val="20"/>
                <w:szCs w:val="20"/>
                <w:lang w:eastAsia="es-CO"/>
              </w:rPr>
              <w:t xml:space="preserve">odas las operaciones de </w:t>
            </w:r>
            <w:r w:rsidR="006903A2" w:rsidRPr="00E258E3">
              <w:rPr>
                <w:rFonts w:ascii="Arial Narrow" w:eastAsia="Times New Roman" w:hAnsi="Arial Narrow" w:cs="Calibri"/>
                <w:color w:val="000000"/>
                <w:sz w:val="20"/>
                <w:szCs w:val="20"/>
                <w:lang w:eastAsia="es-CO"/>
              </w:rPr>
              <w:t>crédito</w:t>
            </w:r>
            <w:r w:rsidR="000B7B01" w:rsidRPr="00E258E3">
              <w:rPr>
                <w:rFonts w:ascii="Arial Narrow" w:eastAsia="Times New Roman" w:hAnsi="Arial Narrow" w:cs="Calibri"/>
                <w:color w:val="000000"/>
                <w:sz w:val="20"/>
                <w:szCs w:val="20"/>
                <w:lang w:eastAsia="es-CO"/>
              </w:rPr>
              <w:t xml:space="preserve"> y </w:t>
            </w:r>
            <w:r w:rsidR="006903A2" w:rsidRPr="00E258E3">
              <w:rPr>
                <w:rFonts w:ascii="Arial Narrow" w:eastAsia="Times New Roman" w:hAnsi="Arial Narrow" w:cs="Calibri"/>
                <w:color w:val="000000"/>
                <w:sz w:val="20"/>
                <w:szCs w:val="20"/>
                <w:lang w:eastAsia="es-CO"/>
              </w:rPr>
              <w:t>captación</w:t>
            </w:r>
            <w:r w:rsidR="000B7B01" w:rsidRPr="00E258E3">
              <w:rPr>
                <w:rFonts w:ascii="Arial Narrow" w:eastAsia="Times New Roman" w:hAnsi="Arial Narrow" w:cs="Calibri"/>
                <w:color w:val="000000"/>
                <w:sz w:val="20"/>
                <w:szCs w:val="20"/>
                <w:lang w:eastAsia="es-CO"/>
              </w:rPr>
              <w:t xml:space="preserve"> con el gerente y los miembros de Consejo de Administración</w:t>
            </w:r>
            <w:r w:rsidR="00803A09">
              <w:rPr>
                <w:rFonts w:ascii="Arial Narrow" w:eastAsia="Times New Roman" w:hAnsi="Arial Narrow" w:cs="Calibri"/>
                <w:color w:val="000000"/>
                <w:sz w:val="20"/>
                <w:szCs w:val="20"/>
                <w:lang w:eastAsia="es-CO"/>
              </w:rPr>
              <w:t>, Junta de Vigilancia</w:t>
            </w:r>
            <w:r w:rsidR="000B7B01" w:rsidRPr="00E258E3">
              <w:rPr>
                <w:rFonts w:ascii="Arial Narrow" w:eastAsia="Times New Roman" w:hAnsi="Arial Narrow" w:cs="Calibri"/>
                <w:color w:val="000000"/>
                <w:sz w:val="20"/>
                <w:szCs w:val="20"/>
                <w:lang w:eastAsia="es-CO"/>
              </w:rPr>
              <w:t xml:space="preserve"> y los familiares o empresas de estos fueron realizadas en las mismas condiciones que se efectuaron o efectuarían con asociados y terceros en condiciones de </w:t>
            </w:r>
            <w:r w:rsidR="006903A2" w:rsidRPr="00E258E3">
              <w:rPr>
                <w:rFonts w:ascii="Arial Narrow" w:eastAsia="Times New Roman" w:hAnsi="Arial Narrow" w:cs="Calibri"/>
                <w:color w:val="000000"/>
                <w:sz w:val="20"/>
                <w:szCs w:val="20"/>
                <w:lang w:eastAsia="es-CO"/>
              </w:rPr>
              <w:t>independencia</w:t>
            </w:r>
            <w:r w:rsidR="000B7B01" w:rsidRPr="00E258E3">
              <w:rPr>
                <w:rFonts w:ascii="Arial Narrow" w:eastAsia="Times New Roman" w:hAnsi="Arial Narrow" w:cs="Calibri"/>
                <w:color w:val="000000"/>
                <w:sz w:val="20"/>
                <w:szCs w:val="20"/>
                <w:lang w:eastAsia="es-CO"/>
              </w:rPr>
              <w:t xml:space="preserve"> mutua</w:t>
            </w:r>
          </w:p>
        </w:tc>
      </w:tr>
      <w:tr w:rsidR="000B7B01" w:rsidRPr="00E258E3" w14:paraId="70E7EBE4" w14:textId="77777777" w:rsidTr="00803A09">
        <w:trPr>
          <w:trHeight w:val="300"/>
        </w:trPr>
        <w:tc>
          <w:tcPr>
            <w:tcW w:w="562" w:type="dxa"/>
            <w:shd w:val="clear" w:color="auto" w:fill="auto"/>
            <w:noWrap/>
            <w:hideMark/>
          </w:tcPr>
          <w:p w14:paraId="70E7EBE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C106</w:t>
            </w:r>
          </w:p>
        </w:tc>
        <w:tc>
          <w:tcPr>
            <w:tcW w:w="2835" w:type="dxa"/>
          </w:tcPr>
          <w:p w14:paraId="70E7EBE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si la entidad aplica la exención del NIC24.25</w:t>
            </w:r>
          </w:p>
        </w:tc>
        <w:tc>
          <w:tcPr>
            <w:tcW w:w="7655" w:type="dxa"/>
            <w:shd w:val="clear" w:color="auto" w:fill="auto"/>
            <w:noWrap/>
            <w:hideMark/>
          </w:tcPr>
          <w:p w14:paraId="70E7EBE3" w14:textId="6D25E28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E8" w14:textId="77777777" w:rsidTr="00803A09">
        <w:trPr>
          <w:trHeight w:val="300"/>
        </w:trPr>
        <w:tc>
          <w:tcPr>
            <w:tcW w:w="562" w:type="dxa"/>
            <w:shd w:val="clear" w:color="auto" w:fill="auto"/>
            <w:noWrap/>
            <w:hideMark/>
          </w:tcPr>
          <w:p w14:paraId="70E7EBE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C107</w:t>
            </w:r>
          </w:p>
        </w:tc>
        <w:tc>
          <w:tcPr>
            <w:tcW w:w="2835" w:type="dxa"/>
          </w:tcPr>
          <w:p w14:paraId="70E7EBE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Nombre del gobierno y naturaleza de la relación con el gobierno</w:t>
            </w:r>
          </w:p>
        </w:tc>
        <w:tc>
          <w:tcPr>
            <w:tcW w:w="7655" w:type="dxa"/>
            <w:shd w:val="clear" w:color="auto" w:fill="auto"/>
            <w:noWrap/>
            <w:hideMark/>
          </w:tcPr>
          <w:p w14:paraId="70E7EBE7" w14:textId="2BF0B5B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EC" w14:textId="77777777" w:rsidTr="00803A09">
        <w:trPr>
          <w:trHeight w:val="300"/>
        </w:trPr>
        <w:tc>
          <w:tcPr>
            <w:tcW w:w="562" w:type="dxa"/>
            <w:shd w:val="clear" w:color="auto" w:fill="auto"/>
            <w:noWrap/>
            <w:hideMark/>
          </w:tcPr>
          <w:p w14:paraId="70E7EBE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C108</w:t>
            </w:r>
          </w:p>
        </w:tc>
        <w:tc>
          <w:tcPr>
            <w:tcW w:w="2835" w:type="dxa"/>
          </w:tcPr>
          <w:p w14:paraId="70E7EBE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 naturaleza e importe de transacciones significativas</w:t>
            </w:r>
          </w:p>
        </w:tc>
        <w:tc>
          <w:tcPr>
            <w:tcW w:w="7655" w:type="dxa"/>
            <w:shd w:val="clear" w:color="auto" w:fill="auto"/>
            <w:noWrap/>
            <w:hideMark/>
          </w:tcPr>
          <w:p w14:paraId="70E7EBEB" w14:textId="576FAB55" w:rsidR="000B7B01" w:rsidRPr="00E258E3" w:rsidRDefault="009A56BC"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BF0" w14:textId="77777777" w:rsidTr="00803A09">
        <w:trPr>
          <w:trHeight w:val="300"/>
        </w:trPr>
        <w:tc>
          <w:tcPr>
            <w:tcW w:w="562" w:type="dxa"/>
            <w:shd w:val="clear" w:color="auto" w:fill="auto"/>
            <w:noWrap/>
            <w:hideMark/>
          </w:tcPr>
          <w:p w14:paraId="70E7EBE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C109</w:t>
            </w:r>
          </w:p>
        </w:tc>
        <w:tc>
          <w:tcPr>
            <w:tcW w:w="2835" w:type="dxa"/>
          </w:tcPr>
          <w:p w14:paraId="70E7EBE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otras transacciones que son conjuntamente significativas</w:t>
            </w:r>
          </w:p>
        </w:tc>
        <w:tc>
          <w:tcPr>
            <w:tcW w:w="7655" w:type="dxa"/>
            <w:shd w:val="clear" w:color="auto" w:fill="auto"/>
            <w:noWrap/>
            <w:hideMark/>
          </w:tcPr>
          <w:p w14:paraId="70E7EBEF" w14:textId="6F7B64CB"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F4" w14:textId="77777777" w:rsidTr="00803A09">
        <w:trPr>
          <w:trHeight w:val="300"/>
        </w:trPr>
        <w:tc>
          <w:tcPr>
            <w:tcW w:w="562" w:type="dxa"/>
            <w:shd w:val="clear" w:color="auto" w:fill="auto"/>
            <w:noWrap/>
            <w:hideMark/>
          </w:tcPr>
          <w:p w14:paraId="70E7EBF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C110</w:t>
            </w:r>
          </w:p>
        </w:tc>
        <w:tc>
          <w:tcPr>
            <w:tcW w:w="2835" w:type="dxa"/>
          </w:tcPr>
          <w:p w14:paraId="70E7EBF2" w14:textId="27E239F5"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 adopción por primera vez de las NIF</w:t>
            </w:r>
            <w:r w:rsidR="00E258E3" w:rsidRPr="00E258E3">
              <w:rPr>
                <w:rFonts w:ascii="Arial Narrow" w:hAnsi="Arial Narrow" w:cs="Calibri"/>
                <w:color w:val="000000"/>
                <w:sz w:val="20"/>
                <w:szCs w:val="20"/>
              </w:rPr>
              <w:t xml:space="preserve"> </w:t>
            </w:r>
          </w:p>
        </w:tc>
        <w:tc>
          <w:tcPr>
            <w:tcW w:w="7655" w:type="dxa"/>
            <w:shd w:val="clear" w:color="auto" w:fill="auto"/>
            <w:noWrap/>
            <w:hideMark/>
          </w:tcPr>
          <w:p w14:paraId="70E7EBF3" w14:textId="092EB11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r w:rsidR="00E258E3" w:rsidRPr="00E258E3">
              <w:rPr>
                <w:rFonts w:ascii="Arial Narrow" w:eastAsia="Times New Roman" w:hAnsi="Arial Narrow" w:cs="Calibri"/>
                <w:color w:val="000000"/>
                <w:sz w:val="20"/>
                <w:szCs w:val="20"/>
                <w:lang w:eastAsia="es-CO"/>
              </w:rPr>
              <w:t xml:space="preserve"> </w:t>
            </w:r>
          </w:p>
        </w:tc>
      </w:tr>
      <w:tr w:rsidR="000B7B01" w:rsidRPr="00E258E3" w14:paraId="70E7EC15" w14:textId="77777777" w:rsidTr="00803A09">
        <w:trPr>
          <w:trHeight w:val="300"/>
        </w:trPr>
        <w:tc>
          <w:tcPr>
            <w:tcW w:w="562" w:type="dxa"/>
            <w:shd w:val="clear" w:color="auto" w:fill="auto"/>
            <w:noWrap/>
            <w:hideMark/>
          </w:tcPr>
          <w:p w14:paraId="70E7EBF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C111</w:t>
            </w:r>
          </w:p>
        </w:tc>
        <w:tc>
          <w:tcPr>
            <w:tcW w:w="2835" w:type="dxa"/>
          </w:tcPr>
          <w:p w14:paraId="70E7EBF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los ajustes principales que harían a los resúmenes históricos o a la información comparativa presentada de acuerdo con PCGA anteriores cumplir con las NIF</w:t>
            </w:r>
          </w:p>
        </w:tc>
        <w:tc>
          <w:tcPr>
            <w:tcW w:w="7655" w:type="dxa"/>
            <w:shd w:val="clear" w:color="auto" w:fill="auto"/>
            <w:noWrap/>
            <w:hideMark/>
          </w:tcPr>
          <w:p w14:paraId="70E7EC13" w14:textId="2E8A9F0D" w:rsidR="006903A2" w:rsidRPr="00803A09" w:rsidRDefault="00803A09" w:rsidP="00803A09">
            <w:pPr>
              <w:spacing w:after="0" w:line="240" w:lineRule="auto"/>
              <w:jc w:val="both"/>
              <w:rPr>
                <w:rFonts w:ascii="Arial Narrow" w:hAnsi="Arial Narrow"/>
                <w:sz w:val="20"/>
                <w:szCs w:val="20"/>
              </w:rPr>
            </w:pPr>
            <w:r>
              <w:rPr>
                <w:rFonts w:ascii="Arial Narrow" w:hAnsi="Arial Narrow"/>
                <w:sz w:val="20"/>
                <w:szCs w:val="20"/>
              </w:rPr>
              <w:t>NO APLICA</w:t>
            </w:r>
          </w:p>
          <w:p w14:paraId="70E7EC1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tc>
      </w:tr>
      <w:tr w:rsidR="000B7B01" w:rsidRPr="00E258E3" w14:paraId="70E7EC19" w14:textId="77777777" w:rsidTr="00803A09">
        <w:trPr>
          <w:trHeight w:val="300"/>
        </w:trPr>
        <w:tc>
          <w:tcPr>
            <w:tcW w:w="562" w:type="dxa"/>
            <w:shd w:val="clear" w:color="auto" w:fill="auto"/>
            <w:noWrap/>
            <w:hideMark/>
          </w:tcPr>
          <w:p w14:paraId="70E7EC1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C112</w:t>
            </w:r>
          </w:p>
        </w:tc>
        <w:tc>
          <w:tcPr>
            <w:tcW w:w="2835" w:type="dxa"/>
          </w:tcPr>
          <w:p w14:paraId="70E7EC1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información comparativa preparada de conformidad con PCGA anteriores </w:t>
            </w:r>
          </w:p>
        </w:tc>
        <w:tc>
          <w:tcPr>
            <w:tcW w:w="7655" w:type="dxa"/>
            <w:shd w:val="clear" w:color="auto" w:fill="auto"/>
            <w:noWrap/>
            <w:hideMark/>
          </w:tcPr>
          <w:p w14:paraId="70E7EC18" w14:textId="67618B1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1D" w14:textId="77777777" w:rsidTr="00803A09">
        <w:trPr>
          <w:trHeight w:val="300"/>
        </w:trPr>
        <w:tc>
          <w:tcPr>
            <w:tcW w:w="562" w:type="dxa"/>
            <w:shd w:val="clear" w:color="auto" w:fill="auto"/>
            <w:noWrap/>
            <w:hideMark/>
          </w:tcPr>
          <w:p w14:paraId="70E7EC1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C113</w:t>
            </w:r>
          </w:p>
        </w:tc>
        <w:tc>
          <w:tcPr>
            <w:tcW w:w="2835" w:type="dxa"/>
          </w:tcPr>
          <w:p w14:paraId="70E7EC1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información comparativa preparada de conformidad con PCGA anteriores [partidas de los estados financieros]</w:t>
            </w:r>
          </w:p>
        </w:tc>
        <w:tc>
          <w:tcPr>
            <w:tcW w:w="7655" w:type="dxa"/>
            <w:shd w:val="clear" w:color="auto" w:fill="auto"/>
            <w:noWrap/>
            <w:hideMark/>
          </w:tcPr>
          <w:p w14:paraId="70E7EC1C" w14:textId="68B8689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22" w14:textId="77777777" w:rsidTr="00803A09">
        <w:trPr>
          <w:trHeight w:val="300"/>
        </w:trPr>
        <w:tc>
          <w:tcPr>
            <w:tcW w:w="562" w:type="dxa"/>
            <w:shd w:val="clear" w:color="auto" w:fill="auto"/>
            <w:noWrap/>
            <w:hideMark/>
          </w:tcPr>
          <w:p w14:paraId="70E7EC1E"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C114</w:t>
            </w:r>
          </w:p>
        </w:tc>
        <w:tc>
          <w:tcPr>
            <w:tcW w:w="2835" w:type="dxa"/>
          </w:tcPr>
          <w:p w14:paraId="70E7EC1F"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efecto de la transición la situación financiera informada</w:t>
            </w:r>
          </w:p>
        </w:tc>
        <w:tc>
          <w:tcPr>
            <w:tcW w:w="7655" w:type="dxa"/>
            <w:shd w:val="clear" w:color="auto" w:fill="auto"/>
            <w:noWrap/>
            <w:hideMark/>
          </w:tcPr>
          <w:p w14:paraId="70E7EC21" w14:textId="1B6FBBDF" w:rsidR="000B7B01" w:rsidRPr="00E258E3" w:rsidRDefault="000B7B01" w:rsidP="00803A0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26" w14:textId="77777777" w:rsidTr="00803A09">
        <w:trPr>
          <w:trHeight w:val="300"/>
        </w:trPr>
        <w:tc>
          <w:tcPr>
            <w:tcW w:w="562" w:type="dxa"/>
            <w:shd w:val="clear" w:color="auto" w:fill="auto"/>
            <w:noWrap/>
            <w:hideMark/>
          </w:tcPr>
          <w:p w14:paraId="70E7EC2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C115</w:t>
            </w:r>
          </w:p>
        </w:tc>
        <w:tc>
          <w:tcPr>
            <w:tcW w:w="2835" w:type="dxa"/>
          </w:tcPr>
          <w:p w14:paraId="70E7EC2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efecto de la transición en el rendimiento financiero informado</w:t>
            </w:r>
          </w:p>
        </w:tc>
        <w:tc>
          <w:tcPr>
            <w:tcW w:w="7655" w:type="dxa"/>
            <w:shd w:val="clear" w:color="auto" w:fill="auto"/>
            <w:noWrap/>
            <w:hideMark/>
          </w:tcPr>
          <w:p w14:paraId="70E7EC25" w14:textId="7FCDDD8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2A" w14:textId="77777777" w:rsidTr="00803A09">
        <w:trPr>
          <w:trHeight w:val="300"/>
        </w:trPr>
        <w:tc>
          <w:tcPr>
            <w:tcW w:w="562" w:type="dxa"/>
            <w:shd w:val="clear" w:color="auto" w:fill="auto"/>
            <w:noWrap/>
            <w:hideMark/>
          </w:tcPr>
          <w:p w14:paraId="70E7EC2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C116</w:t>
            </w:r>
          </w:p>
        </w:tc>
        <w:tc>
          <w:tcPr>
            <w:tcW w:w="2835" w:type="dxa"/>
          </w:tcPr>
          <w:p w14:paraId="70E7EC28"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efecto de la transición en los flujos de efectivo informados</w:t>
            </w:r>
          </w:p>
        </w:tc>
        <w:tc>
          <w:tcPr>
            <w:tcW w:w="7655" w:type="dxa"/>
            <w:shd w:val="clear" w:color="auto" w:fill="auto"/>
            <w:noWrap/>
            <w:hideMark/>
          </w:tcPr>
          <w:p w14:paraId="70E7EC29" w14:textId="129B63AC"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2E" w14:textId="77777777" w:rsidTr="00803A09">
        <w:trPr>
          <w:trHeight w:val="300"/>
        </w:trPr>
        <w:tc>
          <w:tcPr>
            <w:tcW w:w="562" w:type="dxa"/>
            <w:shd w:val="clear" w:color="auto" w:fill="auto"/>
            <w:noWrap/>
            <w:hideMark/>
          </w:tcPr>
          <w:p w14:paraId="70E7EC2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C117</w:t>
            </w:r>
          </w:p>
        </w:tc>
        <w:tc>
          <w:tcPr>
            <w:tcW w:w="2835" w:type="dxa"/>
          </w:tcPr>
          <w:p w14:paraId="70E7EC2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razón por la cual la entidad dejó de aplicar las NIF</w:t>
            </w:r>
          </w:p>
        </w:tc>
        <w:tc>
          <w:tcPr>
            <w:tcW w:w="7655" w:type="dxa"/>
            <w:shd w:val="clear" w:color="auto" w:fill="auto"/>
            <w:noWrap/>
            <w:hideMark/>
          </w:tcPr>
          <w:p w14:paraId="70E7EC2D" w14:textId="277AAB7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32" w14:textId="77777777" w:rsidTr="00803A09">
        <w:trPr>
          <w:trHeight w:val="300"/>
        </w:trPr>
        <w:tc>
          <w:tcPr>
            <w:tcW w:w="562" w:type="dxa"/>
            <w:shd w:val="clear" w:color="auto" w:fill="auto"/>
            <w:noWrap/>
            <w:hideMark/>
          </w:tcPr>
          <w:p w14:paraId="70E7EC2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C118</w:t>
            </w:r>
          </w:p>
        </w:tc>
        <w:tc>
          <w:tcPr>
            <w:tcW w:w="2835" w:type="dxa"/>
          </w:tcPr>
          <w:p w14:paraId="70E7EC3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Descripción de la razón por la cual la entidad está reasumiendo la aplicación de las NIF </w:t>
            </w:r>
          </w:p>
        </w:tc>
        <w:tc>
          <w:tcPr>
            <w:tcW w:w="7655" w:type="dxa"/>
            <w:shd w:val="clear" w:color="auto" w:fill="auto"/>
            <w:noWrap/>
            <w:hideMark/>
          </w:tcPr>
          <w:p w14:paraId="70E7EC31" w14:textId="024909A5"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36" w14:textId="77777777" w:rsidTr="00803A09">
        <w:trPr>
          <w:trHeight w:val="300"/>
        </w:trPr>
        <w:tc>
          <w:tcPr>
            <w:tcW w:w="562" w:type="dxa"/>
            <w:shd w:val="clear" w:color="auto" w:fill="auto"/>
            <w:noWrap/>
            <w:hideMark/>
          </w:tcPr>
          <w:p w14:paraId="70E7EC3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C119</w:t>
            </w:r>
          </w:p>
        </w:tc>
        <w:tc>
          <w:tcPr>
            <w:tcW w:w="2835" w:type="dxa"/>
          </w:tcPr>
          <w:p w14:paraId="70E7EC3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las razones por las que una entidad decidió aplicar las NIF como si nunca hubiera dejado de aplicarlas</w:t>
            </w:r>
          </w:p>
        </w:tc>
        <w:tc>
          <w:tcPr>
            <w:tcW w:w="7655" w:type="dxa"/>
            <w:shd w:val="clear" w:color="auto" w:fill="auto"/>
            <w:noWrap/>
            <w:hideMark/>
          </w:tcPr>
          <w:p w14:paraId="70E7EC35" w14:textId="75E02D8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3A" w14:textId="77777777" w:rsidTr="00803A09">
        <w:trPr>
          <w:trHeight w:val="300"/>
        </w:trPr>
        <w:tc>
          <w:tcPr>
            <w:tcW w:w="562" w:type="dxa"/>
            <w:shd w:val="clear" w:color="auto" w:fill="auto"/>
            <w:noWrap/>
            <w:hideMark/>
          </w:tcPr>
          <w:p w14:paraId="70E7EC3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C120</w:t>
            </w:r>
          </w:p>
        </w:tc>
        <w:tc>
          <w:tcPr>
            <w:tcW w:w="2835" w:type="dxa"/>
          </w:tcPr>
          <w:p w14:paraId="70E7EC38" w14:textId="503B406B"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hecho de que no se presentan estados financieros de periodos anteriores</w:t>
            </w:r>
            <w:r w:rsidR="00E258E3" w:rsidRPr="00E258E3">
              <w:rPr>
                <w:rFonts w:ascii="Arial Narrow" w:hAnsi="Arial Narrow" w:cs="Calibri"/>
                <w:color w:val="000000"/>
                <w:sz w:val="20"/>
                <w:szCs w:val="20"/>
              </w:rPr>
              <w:t xml:space="preserve"> </w:t>
            </w:r>
          </w:p>
        </w:tc>
        <w:tc>
          <w:tcPr>
            <w:tcW w:w="7655" w:type="dxa"/>
            <w:shd w:val="clear" w:color="auto" w:fill="auto"/>
            <w:noWrap/>
            <w:hideMark/>
          </w:tcPr>
          <w:p w14:paraId="70E7EC39" w14:textId="7D568C3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3E" w14:textId="77777777" w:rsidTr="00803A09">
        <w:trPr>
          <w:trHeight w:val="300"/>
        </w:trPr>
        <w:tc>
          <w:tcPr>
            <w:tcW w:w="562" w:type="dxa"/>
            <w:shd w:val="clear" w:color="auto" w:fill="auto"/>
            <w:noWrap/>
            <w:hideMark/>
          </w:tcPr>
          <w:p w14:paraId="70E7EC3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C121</w:t>
            </w:r>
          </w:p>
        </w:tc>
        <w:tc>
          <w:tcPr>
            <w:tcW w:w="2835" w:type="dxa"/>
          </w:tcPr>
          <w:p w14:paraId="70E7EC3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las referencias cruzadas de información a revelar sobre estados financieros intermedios de una entidad que adopta por primera vez las NIF</w:t>
            </w:r>
          </w:p>
        </w:tc>
        <w:tc>
          <w:tcPr>
            <w:tcW w:w="7655" w:type="dxa"/>
            <w:shd w:val="clear" w:color="auto" w:fill="auto"/>
            <w:noWrap/>
            <w:hideMark/>
          </w:tcPr>
          <w:p w14:paraId="70E7EC3D" w14:textId="6AB43D9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42" w14:textId="77777777" w:rsidTr="00803A09">
        <w:trPr>
          <w:trHeight w:val="300"/>
        </w:trPr>
        <w:tc>
          <w:tcPr>
            <w:tcW w:w="562" w:type="dxa"/>
            <w:shd w:val="clear" w:color="auto" w:fill="auto"/>
            <w:noWrap/>
            <w:hideMark/>
          </w:tcPr>
          <w:p w14:paraId="70E7EC3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C122</w:t>
            </w:r>
          </w:p>
        </w:tc>
        <w:tc>
          <w:tcPr>
            <w:tcW w:w="2835" w:type="dxa"/>
          </w:tcPr>
          <w:p w14:paraId="70E7EC4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activos y pasivos financieros designados nuevamente</w:t>
            </w:r>
          </w:p>
        </w:tc>
        <w:tc>
          <w:tcPr>
            <w:tcW w:w="7655" w:type="dxa"/>
            <w:shd w:val="clear" w:color="auto" w:fill="auto"/>
            <w:noWrap/>
            <w:hideMark/>
          </w:tcPr>
          <w:p w14:paraId="70E7EC41" w14:textId="1726B02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46" w14:textId="77777777" w:rsidTr="00803A09">
        <w:trPr>
          <w:trHeight w:val="300"/>
        </w:trPr>
        <w:tc>
          <w:tcPr>
            <w:tcW w:w="562" w:type="dxa"/>
            <w:shd w:val="clear" w:color="auto" w:fill="auto"/>
            <w:noWrap/>
            <w:hideMark/>
          </w:tcPr>
          <w:p w14:paraId="70E7EC4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C123</w:t>
            </w:r>
          </w:p>
        </w:tc>
        <w:tc>
          <w:tcPr>
            <w:tcW w:w="2835" w:type="dxa"/>
          </w:tcPr>
          <w:p w14:paraId="70E7EC4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activos y pasivos financieros designados nuevamente [partidas de los estados financieros]</w:t>
            </w:r>
          </w:p>
        </w:tc>
        <w:tc>
          <w:tcPr>
            <w:tcW w:w="7655" w:type="dxa"/>
            <w:shd w:val="clear" w:color="auto" w:fill="auto"/>
            <w:noWrap/>
            <w:hideMark/>
          </w:tcPr>
          <w:p w14:paraId="70E7EC45" w14:textId="540D063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4A" w14:textId="77777777" w:rsidTr="00803A09">
        <w:trPr>
          <w:trHeight w:val="300"/>
        </w:trPr>
        <w:tc>
          <w:tcPr>
            <w:tcW w:w="562" w:type="dxa"/>
            <w:shd w:val="clear" w:color="auto" w:fill="auto"/>
            <w:noWrap/>
            <w:hideMark/>
          </w:tcPr>
          <w:p w14:paraId="70E7EC4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C124</w:t>
            </w:r>
          </w:p>
        </w:tc>
        <w:tc>
          <w:tcPr>
            <w:tcW w:w="2835" w:type="dxa"/>
          </w:tcPr>
          <w:p w14:paraId="70E7EC48"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pasivos financieros designados nuevamente</w:t>
            </w:r>
          </w:p>
        </w:tc>
        <w:tc>
          <w:tcPr>
            <w:tcW w:w="7655" w:type="dxa"/>
            <w:shd w:val="clear" w:color="auto" w:fill="auto"/>
            <w:noWrap/>
            <w:hideMark/>
          </w:tcPr>
          <w:p w14:paraId="70E7EC49" w14:textId="006FAD0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4E" w14:textId="77777777" w:rsidTr="00803A09">
        <w:trPr>
          <w:trHeight w:val="300"/>
        </w:trPr>
        <w:tc>
          <w:tcPr>
            <w:tcW w:w="562" w:type="dxa"/>
            <w:shd w:val="clear" w:color="auto" w:fill="auto"/>
            <w:noWrap/>
            <w:hideMark/>
          </w:tcPr>
          <w:p w14:paraId="70E7EC4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C125</w:t>
            </w:r>
          </w:p>
        </w:tc>
        <w:tc>
          <w:tcPr>
            <w:tcW w:w="2835" w:type="dxa"/>
          </w:tcPr>
          <w:p w14:paraId="70E7EC4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los valores razonables de partidas utilizados como costo atribuido [partidas de los estados financieros] </w:t>
            </w:r>
          </w:p>
        </w:tc>
        <w:tc>
          <w:tcPr>
            <w:tcW w:w="7655" w:type="dxa"/>
            <w:shd w:val="clear" w:color="auto" w:fill="auto"/>
            <w:noWrap/>
            <w:hideMark/>
          </w:tcPr>
          <w:p w14:paraId="70E7EC4D" w14:textId="2E73A94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52" w14:textId="77777777" w:rsidTr="00803A09">
        <w:trPr>
          <w:trHeight w:val="300"/>
        </w:trPr>
        <w:tc>
          <w:tcPr>
            <w:tcW w:w="562" w:type="dxa"/>
            <w:shd w:val="clear" w:color="auto" w:fill="auto"/>
            <w:noWrap/>
            <w:hideMark/>
          </w:tcPr>
          <w:p w14:paraId="70E7EC4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C126</w:t>
            </w:r>
          </w:p>
        </w:tc>
        <w:tc>
          <w:tcPr>
            <w:tcW w:w="2835" w:type="dxa"/>
          </w:tcPr>
          <w:p w14:paraId="70E7EC5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los valores razonables de partidas utilizados como costo atribuido [partidas de los estados financieros]</w:t>
            </w:r>
          </w:p>
        </w:tc>
        <w:tc>
          <w:tcPr>
            <w:tcW w:w="7655" w:type="dxa"/>
            <w:shd w:val="clear" w:color="auto" w:fill="auto"/>
            <w:noWrap/>
            <w:hideMark/>
          </w:tcPr>
          <w:p w14:paraId="70E7EC51" w14:textId="66D594D7" w:rsidR="000B7B01" w:rsidRPr="00E258E3" w:rsidRDefault="00803A09"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C56" w14:textId="77777777" w:rsidTr="00803A09">
        <w:trPr>
          <w:trHeight w:val="300"/>
        </w:trPr>
        <w:tc>
          <w:tcPr>
            <w:tcW w:w="562" w:type="dxa"/>
            <w:shd w:val="clear" w:color="auto" w:fill="auto"/>
            <w:noWrap/>
            <w:hideMark/>
          </w:tcPr>
          <w:p w14:paraId="70E7EC5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C127</w:t>
            </w:r>
          </w:p>
        </w:tc>
        <w:tc>
          <w:tcPr>
            <w:tcW w:w="2835" w:type="dxa"/>
          </w:tcPr>
          <w:p w14:paraId="70E7EC5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los hechos y criterios con que se asignaron los importes en libros determinados según los PCGA anteriores si la entidad utiliza la exención de la NIF 1.D8A(b)</w:t>
            </w:r>
          </w:p>
        </w:tc>
        <w:tc>
          <w:tcPr>
            <w:tcW w:w="7655" w:type="dxa"/>
            <w:shd w:val="clear" w:color="auto" w:fill="auto"/>
            <w:noWrap/>
            <w:hideMark/>
          </w:tcPr>
          <w:p w14:paraId="70E7EC55" w14:textId="7FFB8DE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5A" w14:textId="77777777" w:rsidTr="00803A09">
        <w:trPr>
          <w:trHeight w:val="300"/>
        </w:trPr>
        <w:tc>
          <w:tcPr>
            <w:tcW w:w="562" w:type="dxa"/>
            <w:shd w:val="clear" w:color="auto" w:fill="auto"/>
            <w:noWrap/>
            <w:hideMark/>
          </w:tcPr>
          <w:p w14:paraId="70E7EC5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C128</w:t>
            </w:r>
          </w:p>
        </w:tc>
        <w:tc>
          <w:tcPr>
            <w:tcW w:w="2835" w:type="dxa"/>
          </w:tcPr>
          <w:p w14:paraId="70E7EC58"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los hechos y criterios con que se determinaron los importes en libros según PCGA anteriores si la entidad utiliza la exención de la NIIF 1.D8B</w:t>
            </w:r>
          </w:p>
        </w:tc>
        <w:tc>
          <w:tcPr>
            <w:tcW w:w="7655" w:type="dxa"/>
            <w:shd w:val="clear" w:color="auto" w:fill="auto"/>
            <w:noWrap/>
            <w:hideMark/>
          </w:tcPr>
          <w:p w14:paraId="70E7EC59" w14:textId="1A54B1D2"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5E" w14:textId="77777777" w:rsidTr="00803A09">
        <w:trPr>
          <w:trHeight w:val="2814"/>
        </w:trPr>
        <w:tc>
          <w:tcPr>
            <w:tcW w:w="562" w:type="dxa"/>
            <w:shd w:val="clear" w:color="auto" w:fill="auto"/>
            <w:noWrap/>
            <w:hideMark/>
          </w:tcPr>
          <w:p w14:paraId="70E7EC5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C129</w:t>
            </w:r>
          </w:p>
        </w:tc>
        <w:tc>
          <w:tcPr>
            <w:tcW w:w="2835" w:type="dxa"/>
          </w:tcPr>
          <w:p w14:paraId="70E7EC5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br/>
              <w:t xml:space="preserve">Explicación de la forma y razón por la que la entidad tuvo, y dejó de tener, una moneda funcional para la que no está disponible un índice general de precios fiable y no existe intercambiabilidad con moneda </w:t>
            </w:r>
          </w:p>
        </w:tc>
        <w:tc>
          <w:tcPr>
            <w:tcW w:w="7655" w:type="dxa"/>
            <w:shd w:val="clear" w:color="auto" w:fill="auto"/>
            <w:noWrap/>
            <w:hideMark/>
          </w:tcPr>
          <w:p w14:paraId="70E7EC5D" w14:textId="4F3615A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62" w14:textId="77777777" w:rsidTr="00803A09">
        <w:trPr>
          <w:trHeight w:val="300"/>
        </w:trPr>
        <w:tc>
          <w:tcPr>
            <w:tcW w:w="562" w:type="dxa"/>
            <w:shd w:val="clear" w:color="auto" w:fill="auto"/>
            <w:noWrap/>
            <w:hideMark/>
          </w:tcPr>
          <w:p w14:paraId="70E7EC5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C130</w:t>
            </w:r>
          </w:p>
        </w:tc>
        <w:tc>
          <w:tcPr>
            <w:tcW w:w="2835" w:type="dxa"/>
          </w:tcPr>
          <w:p w14:paraId="70E7EC6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 la forma y razón por la que la entidad tuvo, y dejó de tener, una </w:t>
            </w:r>
            <w:r w:rsidRPr="00E258E3">
              <w:rPr>
                <w:rFonts w:ascii="Arial Narrow" w:hAnsi="Arial Narrow" w:cs="Calibri"/>
                <w:color w:val="FF0000"/>
                <w:sz w:val="20"/>
                <w:szCs w:val="20"/>
              </w:rPr>
              <w:t xml:space="preserve">moneda funcional </w:t>
            </w:r>
            <w:r w:rsidRPr="00E258E3">
              <w:rPr>
                <w:rFonts w:ascii="Arial Narrow" w:hAnsi="Arial Narrow" w:cs="Calibri"/>
                <w:color w:val="000000"/>
                <w:sz w:val="20"/>
                <w:szCs w:val="20"/>
              </w:rPr>
              <w:t xml:space="preserve">para la que no está disponible un índice general de precios fiable y no existe intercambiabilidad con moneda </w:t>
            </w:r>
          </w:p>
        </w:tc>
        <w:tc>
          <w:tcPr>
            <w:tcW w:w="7655" w:type="dxa"/>
            <w:shd w:val="clear" w:color="auto" w:fill="auto"/>
            <w:noWrap/>
            <w:hideMark/>
          </w:tcPr>
          <w:p w14:paraId="70E7EC61" w14:textId="6F2EC7B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r w:rsidRPr="00E258E3">
              <w:rPr>
                <w:rFonts w:ascii="Arial Narrow" w:eastAsia="Times New Roman" w:hAnsi="Arial Narrow" w:cs="Calibri"/>
                <w:color w:val="000000"/>
                <w:sz w:val="20"/>
                <w:szCs w:val="20"/>
                <w:lang w:eastAsia="es-CO"/>
              </w:rPr>
              <w:t xml:space="preserve"> </w:t>
            </w:r>
          </w:p>
        </w:tc>
      </w:tr>
      <w:tr w:rsidR="000B7B01" w:rsidRPr="00E258E3" w14:paraId="70E7EC66" w14:textId="77777777" w:rsidTr="00803A09">
        <w:trPr>
          <w:trHeight w:val="300"/>
        </w:trPr>
        <w:tc>
          <w:tcPr>
            <w:tcW w:w="562" w:type="dxa"/>
            <w:shd w:val="clear" w:color="auto" w:fill="auto"/>
            <w:noWrap/>
            <w:hideMark/>
          </w:tcPr>
          <w:p w14:paraId="70E7EC6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C131</w:t>
            </w:r>
          </w:p>
        </w:tc>
        <w:tc>
          <w:tcPr>
            <w:tcW w:w="2835" w:type="dxa"/>
          </w:tcPr>
          <w:p w14:paraId="70E7EC6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base usada para preparar información comparativa que no cumple con las NIIF 7 y NIIF 9</w:t>
            </w:r>
          </w:p>
        </w:tc>
        <w:tc>
          <w:tcPr>
            <w:tcW w:w="7655" w:type="dxa"/>
            <w:shd w:val="clear" w:color="auto" w:fill="auto"/>
            <w:noWrap/>
            <w:hideMark/>
          </w:tcPr>
          <w:p w14:paraId="70E7EC65" w14:textId="4DE1317C"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bl>
    <w:p w14:paraId="70E7EC67" w14:textId="77777777" w:rsidR="00526F9D" w:rsidRPr="00E258E3" w:rsidRDefault="00526F9D" w:rsidP="00E258E3">
      <w:pPr>
        <w:spacing w:after="0" w:line="240" w:lineRule="auto"/>
        <w:rPr>
          <w:rFonts w:ascii="Arial Narrow" w:hAnsi="Arial Narrow"/>
          <w:sz w:val="20"/>
          <w:szCs w:val="20"/>
        </w:rPr>
      </w:pPr>
    </w:p>
    <w:sectPr w:rsidR="00526F9D" w:rsidRPr="00E258E3" w:rsidSect="00E4106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40470"/>
    <w:multiLevelType w:val="hybridMultilevel"/>
    <w:tmpl w:val="14D825B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20C4722"/>
    <w:multiLevelType w:val="hybridMultilevel"/>
    <w:tmpl w:val="9B8CE71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64359C3"/>
    <w:multiLevelType w:val="hybridMultilevel"/>
    <w:tmpl w:val="498013E2"/>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697042E"/>
    <w:multiLevelType w:val="hybridMultilevel"/>
    <w:tmpl w:val="AE92A582"/>
    <w:lvl w:ilvl="0" w:tplc="2CA65E00">
      <w:numFmt w:val="bullet"/>
      <w:lvlText w:val="-"/>
      <w:lvlJc w:val="left"/>
      <w:pPr>
        <w:ind w:left="720" w:hanging="360"/>
      </w:pPr>
      <w:rPr>
        <w:rFonts w:ascii="Calibri" w:eastAsia="Calibri" w:hAnsi="Calibri"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BBA72B5"/>
    <w:multiLevelType w:val="hybridMultilevel"/>
    <w:tmpl w:val="9B8CE71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D6C62F2"/>
    <w:multiLevelType w:val="multilevel"/>
    <w:tmpl w:val="3350109A"/>
    <w:lvl w:ilvl="0">
      <w:start w:val="1"/>
      <w:numFmt w:val="decimal"/>
      <w:lvlText w:val="%1."/>
      <w:lvlJc w:val="left"/>
      <w:pPr>
        <w:ind w:left="720" w:hanging="360"/>
      </w:pPr>
    </w:lvl>
    <w:lvl w:ilvl="1">
      <w:numFmt w:val="bullet"/>
      <w:lvlText w:val="-"/>
      <w:lvlJc w:val="left"/>
      <w:pPr>
        <w:ind w:left="1080" w:hanging="720"/>
      </w:pPr>
      <w:rPr>
        <w:rFonts w:ascii="Calibri" w:eastAsia="Calibri" w:hAnsi="Calibri" w:cs="Calibri" w:hint="default"/>
        <w:b/>
      </w:rPr>
    </w:lvl>
    <w:lvl w:ilvl="2">
      <w:start w:val="1"/>
      <w:numFmt w:val="decimal"/>
      <w:isLgl/>
      <w:lvlText w:val="%1.%2.%3."/>
      <w:lvlJc w:val="left"/>
      <w:pPr>
        <w:ind w:left="1080" w:hanging="720"/>
      </w:pPr>
      <w:rPr>
        <w:b/>
      </w:rPr>
    </w:lvl>
    <w:lvl w:ilvl="3">
      <w:start w:val="1"/>
      <w:numFmt w:val="decimal"/>
      <w:isLgl/>
      <w:lvlText w:val="%1.%2.%3.%4."/>
      <w:lvlJc w:val="left"/>
      <w:pPr>
        <w:ind w:left="1440" w:hanging="1080"/>
      </w:pPr>
      <w:rPr>
        <w:b/>
      </w:rPr>
    </w:lvl>
    <w:lvl w:ilvl="4">
      <w:start w:val="1"/>
      <w:numFmt w:val="decimal"/>
      <w:isLgl/>
      <w:lvlText w:val="%1.%2.%3.%4.%5."/>
      <w:lvlJc w:val="left"/>
      <w:pPr>
        <w:ind w:left="1440" w:hanging="1080"/>
      </w:pPr>
      <w:rPr>
        <w:b/>
      </w:rPr>
    </w:lvl>
    <w:lvl w:ilvl="5">
      <w:start w:val="1"/>
      <w:numFmt w:val="decimal"/>
      <w:isLgl/>
      <w:lvlText w:val="%1.%2.%3.%4.%5.%6."/>
      <w:lvlJc w:val="left"/>
      <w:pPr>
        <w:ind w:left="1800" w:hanging="1440"/>
      </w:pPr>
      <w:rPr>
        <w:b/>
      </w:rPr>
    </w:lvl>
    <w:lvl w:ilvl="6">
      <w:start w:val="1"/>
      <w:numFmt w:val="decimal"/>
      <w:isLgl/>
      <w:lvlText w:val="%1.%2.%3.%4.%5.%6.%7."/>
      <w:lvlJc w:val="left"/>
      <w:pPr>
        <w:ind w:left="1800" w:hanging="1440"/>
      </w:pPr>
      <w:rPr>
        <w:b/>
      </w:rPr>
    </w:lvl>
    <w:lvl w:ilvl="7">
      <w:start w:val="1"/>
      <w:numFmt w:val="decimal"/>
      <w:isLgl/>
      <w:lvlText w:val="%1.%2.%3.%4.%5.%6.%7.%8."/>
      <w:lvlJc w:val="left"/>
      <w:pPr>
        <w:ind w:left="2160" w:hanging="1800"/>
      </w:pPr>
      <w:rPr>
        <w:b/>
      </w:rPr>
    </w:lvl>
    <w:lvl w:ilvl="8">
      <w:start w:val="1"/>
      <w:numFmt w:val="decimal"/>
      <w:isLgl/>
      <w:lvlText w:val="%1.%2.%3.%4.%5.%6.%7.%8.%9."/>
      <w:lvlJc w:val="left"/>
      <w:pPr>
        <w:ind w:left="2160" w:hanging="1800"/>
      </w:pPr>
      <w:rPr>
        <w:b/>
      </w:rPr>
    </w:lvl>
  </w:abstractNum>
  <w:abstractNum w:abstractNumId="6" w15:restartNumberingAfterBreak="0">
    <w:nsid w:val="2319223B"/>
    <w:multiLevelType w:val="hybridMultilevel"/>
    <w:tmpl w:val="D786BD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A2F0ADF"/>
    <w:multiLevelType w:val="hybridMultilevel"/>
    <w:tmpl w:val="08E6DB18"/>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2D084398"/>
    <w:multiLevelType w:val="hybridMultilevel"/>
    <w:tmpl w:val="C7C0CB7E"/>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 w15:restartNumberingAfterBreak="0">
    <w:nsid w:val="30BA7C36"/>
    <w:multiLevelType w:val="hybridMultilevel"/>
    <w:tmpl w:val="CD8065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C3C13B1"/>
    <w:multiLevelType w:val="hybridMultilevel"/>
    <w:tmpl w:val="2F287A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01B6090"/>
    <w:multiLevelType w:val="hybridMultilevel"/>
    <w:tmpl w:val="1A382E5A"/>
    <w:lvl w:ilvl="0" w:tplc="95F4368E">
      <w:start w:val="1"/>
      <w:numFmt w:val="decimal"/>
      <w:lvlText w:val="%1."/>
      <w:lvlJc w:val="left"/>
      <w:pPr>
        <w:ind w:left="786" w:hanging="360"/>
      </w:pPr>
      <w:rPr>
        <w:rFonts w:hint="default"/>
        <w:b w:val="0"/>
        <w:color w:val="C9C9C9" w:themeColor="accent3" w:themeTint="99"/>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501E5B7D"/>
    <w:multiLevelType w:val="hybridMultilevel"/>
    <w:tmpl w:val="CAC43ABE"/>
    <w:lvl w:ilvl="0" w:tplc="9B2214DE">
      <w:numFmt w:val="bullet"/>
      <w:lvlText w:val="-"/>
      <w:lvlJc w:val="left"/>
      <w:pPr>
        <w:ind w:left="720" w:hanging="360"/>
      </w:pPr>
      <w:rPr>
        <w:rFonts w:ascii="Calibri" w:eastAsia="Calibri" w:hAnsi="Calibri" w:cs="Calibri"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3" w15:restartNumberingAfterBreak="0">
    <w:nsid w:val="6F1F3F26"/>
    <w:multiLevelType w:val="hybridMultilevel"/>
    <w:tmpl w:val="280A8DC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
  </w:num>
  <w:num w:numId="2">
    <w:abstractNumId w:val="13"/>
  </w:num>
  <w:num w:numId="3">
    <w:abstractNumId w:val="9"/>
  </w:num>
  <w:num w:numId="4">
    <w:abstractNumId w:val="7"/>
  </w:num>
  <w:num w:numId="5">
    <w:abstractNumId w:val="8"/>
  </w:num>
  <w:num w:numId="6">
    <w:abstractNumId w:val="0"/>
  </w:num>
  <w:num w:numId="7">
    <w:abstractNumId w:val="4"/>
  </w:num>
  <w:num w:numId="8">
    <w:abstractNumId w:val="2"/>
  </w:num>
  <w:num w:numId="9">
    <w:abstractNumId w:val="11"/>
  </w:num>
  <w:num w:numId="10">
    <w:abstractNumId w:val="10"/>
  </w:num>
  <w:num w:numId="11">
    <w:abstractNumId w:val="6"/>
  </w:num>
  <w:num w:numId="12">
    <w:abstractNumId w:val="3"/>
  </w:num>
  <w:num w:numId="13">
    <w:abstractNumId w:val="12"/>
  </w:num>
  <w:num w:numId="14">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B3F"/>
    <w:rsid w:val="000B7B01"/>
    <w:rsid w:val="000E1B3F"/>
    <w:rsid w:val="000F3602"/>
    <w:rsid w:val="0013148F"/>
    <w:rsid w:val="00145F6A"/>
    <w:rsid w:val="00181CEF"/>
    <w:rsid w:val="001E5231"/>
    <w:rsid w:val="004703EA"/>
    <w:rsid w:val="00526F9D"/>
    <w:rsid w:val="00545BB1"/>
    <w:rsid w:val="00607A25"/>
    <w:rsid w:val="006200B9"/>
    <w:rsid w:val="006903A2"/>
    <w:rsid w:val="006D109B"/>
    <w:rsid w:val="00803A09"/>
    <w:rsid w:val="008C0E6B"/>
    <w:rsid w:val="008F0247"/>
    <w:rsid w:val="009077EE"/>
    <w:rsid w:val="0095670C"/>
    <w:rsid w:val="009A56BC"/>
    <w:rsid w:val="00A87D75"/>
    <w:rsid w:val="00AC43DA"/>
    <w:rsid w:val="00B3346A"/>
    <w:rsid w:val="00C87DC4"/>
    <w:rsid w:val="00CC0052"/>
    <w:rsid w:val="00D25BE2"/>
    <w:rsid w:val="00D40713"/>
    <w:rsid w:val="00D527AC"/>
    <w:rsid w:val="00DE5C8E"/>
    <w:rsid w:val="00E258E3"/>
    <w:rsid w:val="00E41063"/>
    <w:rsid w:val="00E7563D"/>
    <w:rsid w:val="00E97E89"/>
    <w:rsid w:val="00F32622"/>
    <w:rsid w:val="00FA37FF"/>
    <w:rsid w:val="00FF531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7E96E"/>
  <w15:chartTrackingRefBased/>
  <w15:docId w15:val="{B703A2C9-85D5-4BD9-8981-59B13921D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E1B3F"/>
    <w:pPr>
      <w:ind w:left="720"/>
      <w:contextualSpacing/>
    </w:pPr>
  </w:style>
  <w:style w:type="paragraph" w:styleId="Sinespaciado">
    <w:name w:val="No Spacing"/>
    <w:uiPriority w:val="1"/>
    <w:qFormat/>
    <w:rsid w:val="000E1B3F"/>
    <w:pPr>
      <w:spacing w:after="0" w:line="240" w:lineRule="auto"/>
    </w:pPr>
  </w:style>
  <w:style w:type="table" w:styleId="Tablaconcuadrcula">
    <w:name w:val="Table Grid"/>
    <w:basedOn w:val="Tablanormal"/>
    <w:uiPriority w:val="39"/>
    <w:rsid w:val="00E410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468379">
      <w:bodyDiv w:val="1"/>
      <w:marLeft w:val="0"/>
      <w:marRight w:val="0"/>
      <w:marTop w:val="0"/>
      <w:marBottom w:val="0"/>
      <w:divBdr>
        <w:top w:val="none" w:sz="0" w:space="0" w:color="auto"/>
        <w:left w:val="none" w:sz="0" w:space="0" w:color="auto"/>
        <w:bottom w:val="none" w:sz="0" w:space="0" w:color="auto"/>
        <w:right w:val="none" w:sz="0" w:space="0" w:color="auto"/>
      </w:divBdr>
    </w:div>
    <w:div w:id="842742785">
      <w:bodyDiv w:val="1"/>
      <w:marLeft w:val="0"/>
      <w:marRight w:val="0"/>
      <w:marTop w:val="0"/>
      <w:marBottom w:val="0"/>
      <w:divBdr>
        <w:top w:val="none" w:sz="0" w:space="0" w:color="auto"/>
        <w:left w:val="none" w:sz="0" w:space="0" w:color="auto"/>
        <w:bottom w:val="none" w:sz="0" w:space="0" w:color="auto"/>
        <w:right w:val="none" w:sz="0" w:space="0" w:color="auto"/>
      </w:divBdr>
    </w:div>
    <w:div w:id="863247846">
      <w:bodyDiv w:val="1"/>
      <w:marLeft w:val="0"/>
      <w:marRight w:val="0"/>
      <w:marTop w:val="0"/>
      <w:marBottom w:val="0"/>
      <w:divBdr>
        <w:top w:val="none" w:sz="0" w:space="0" w:color="auto"/>
        <w:left w:val="none" w:sz="0" w:space="0" w:color="auto"/>
        <w:bottom w:val="none" w:sz="0" w:space="0" w:color="auto"/>
        <w:right w:val="none" w:sz="0" w:space="0" w:color="auto"/>
      </w:divBdr>
    </w:div>
    <w:div w:id="963657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970998-6ADF-4531-BCC4-EC5CB1FF92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14</Pages>
  <Words>7758</Words>
  <Characters>42674</Characters>
  <Application>Microsoft Office Word</Application>
  <DocSecurity>0</DocSecurity>
  <Lines>355</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Fernando Betancour Palacios</dc:creator>
  <cp:keywords/>
  <dc:description/>
  <cp:lastModifiedBy>Diego Fernando Betancour Palacios</cp:lastModifiedBy>
  <cp:revision>15</cp:revision>
  <dcterms:created xsi:type="dcterms:W3CDTF">2017-02-20T22:51:00Z</dcterms:created>
  <dcterms:modified xsi:type="dcterms:W3CDTF">2021-01-27T02:26:00Z</dcterms:modified>
</cp:coreProperties>
</file>