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85698F" w14:textId="1A3369A2" w:rsidR="00927541" w:rsidRPr="003A7F7A" w:rsidRDefault="00A56C2D" w:rsidP="00AB2387">
      <w:pPr>
        <w:shd w:val="clear" w:color="auto" w:fill="DBE5F1" w:themeFill="accent1" w:themeFillTint="33"/>
        <w:jc w:val="center"/>
        <w:rPr>
          <w:rFonts w:ascii="Arial Narrow" w:hAnsi="Arial Narrow"/>
        </w:rPr>
      </w:pPr>
      <w:r w:rsidRPr="003A7F7A">
        <w:rPr>
          <w:rFonts w:ascii="Arial Narrow" w:hAnsi="Arial Narrow"/>
          <w:b/>
        </w:rPr>
        <w:t>INFORME SEMESTRAL SOBRE EFECTIVIDAD DEL SIAR II-2021</w:t>
      </w:r>
    </w:p>
    <w:p w14:paraId="26446849" w14:textId="77777777" w:rsidR="00927541" w:rsidRPr="003A7F7A" w:rsidRDefault="00927541" w:rsidP="006E50B0">
      <w:pPr>
        <w:jc w:val="both"/>
        <w:rPr>
          <w:rFonts w:ascii="Arial Narrow" w:hAnsi="Arial Narrow"/>
          <w:b/>
        </w:rPr>
      </w:pPr>
    </w:p>
    <w:p w14:paraId="2961798F" w14:textId="3FC1633B" w:rsidR="00927541" w:rsidRPr="003A7F7A" w:rsidRDefault="00BF0137" w:rsidP="00BF0137">
      <w:pPr>
        <w:pStyle w:val="Prrafodelista"/>
        <w:numPr>
          <w:ilvl w:val="0"/>
          <w:numId w:val="29"/>
        </w:numPr>
        <w:shd w:val="clear" w:color="auto" w:fill="DBE5F1" w:themeFill="accent1" w:themeFillTint="33"/>
        <w:rPr>
          <w:rFonts w:ascii="Arial Narrow" w:hAnsi="Arial Narrow" w:cstheme="minorHAnsi"/>
          <w:b/>
          <w:sz w:val="24"/>
          <w:szCs w:val="24"/>
        </w:rPr>
      </w:pPr>
      <w:r w:rsidRPr="003A7F7A">
        <w:rPr>
          <w:rFonts w:ascii="Arial Narrow" w:hAnsi="Arial Narrow" w:cstheme="minorHAnsi"/>
          <w:b/>
          <w:sz w:val="24"/>
          <w:szCs w:val="24"/>
        </w:rPr>
        <w:t>JUSTIFICACION</w:t>
      </w:r>
    </w:p>
    <w:p w14:paraId="1B812FE7" w14:textId="77777777" w:rsidR="00927541" w:rsidRPr="003A7F7A" w:rsidRDefault="00927541" w:rsidP="006E50B0">
      <w:pPr>
        <w:jc w:val="both"/>
        <w:rPr>
          <w:rFonts w:ascii="Arial Narrow" w:hAnsi="Arial Narrow" w:cstheme="minorHAnsi"/>
          <w:b/>
        </w:rPr>
      </w:pPr>
    </w:p>
    <w:p w14:paraId="2A5BE60A" w14:textId="5B745F61" w:rsidR="00A56C2D" w:rsidRPr="003A7F7A" w:rsidRDefault="00A56C2D" w:rsidP="00BF0137">
      <w:pPr>
        <w:jc w:val="both"/>
        <w:rPr>
          <w:rFonts w:ascii="Arial Narrow" w:hAnsi="Arial Narrow" w:cs="Arial"/>
          <w:i/>
          <w:iCs/>
          <w:color w:val="000000"/>
          <w:lang w:val="es-MX"/>
        </w:rPr>
      </w:pPr>
      <w:r w:rsidRPr="003A7F7A">
        <w:rPr>
          <w:rFonts w:ascii="Arial Narrow" w:hAnsi="Arial Narrow" w:cstheme="minorHAnsi"/>
          <w:b/>
        </w:rPr>
        <w:t xml:space="preserve">El capítulo I del </w:t>
      </w:r>
      <w:r w:rsidR="00BF0137" w:rsidRPr="003A7F7A">
        <w:rPr>
          <w:rFonts w:ascii="Arial Narrow" w:hAnsi="Arial Narrow" w:cstheme="minorHAnsi"/>
          <w:b/>
        </w:rPr>
        <w:t xml:space="preserve">Título IV de la Circular básica contable establece: </w:t>
      </w:r>
      <w:r w:rsidRPr="003A7F7A">
        <w:rPr>
          <w:rFonts w:ascii="Arial Narrow" w:hAnsi="Arial Narrow" w:cs="Arial"/>
          <w:i/>
          <w:iCs/>
          <w:color w:val="000000"/>
          <w:lang w:val="es-MX"/>
        </w:rPr>
        <w:t>3.2.1. Literal h) : “La revisoría fiscal y la auditoría interna, o quien desempeñe esa función en la organización solidaria, deberán informar, al menos dos (2) veces de cada año calendario, al comité de riesgos, sobre la evaluación de la efectividad de los sistemas de gestión de riesgos, en los que se destaque la evaluación realizada, las fortalezas y las oportunidades de mejora de los mismos. Estos informes deberán quedar a disposición en las actas en la que consten las reuniones realizadas por el comité de riesgos y por los consejos de administración o juntas directivas, según corresponda…</w:t>
      </w:r>
    </w:p>
    <w:p w14:paraId="7D1F0B4E" w14:textId="37BA292C" w:rsidR="00CB2C39" w:rsidRPr="003A7F7A" w:rsidRDefault="00CB2C39" w:rsidP="00554A30">
      <w:pPr>
        <w:tabs>
          <w:tab w:val="left" w:pos="1939"/>
          <w:tab w:val="left" w:pos="3312"/>
          <w:tab w:val="left" w:pos="4450"/>
          <w:tab w:val="left" w:pos="5587"/>
          <w:tab w:val="left" w:pos="6456"/>
        </w:tabs>
        <w:rPr>
          <w:rFonts w:ascii="Arial Narrow" w:hAnsi="Arial Narrow" w:cstheme="minorHAnsi"/>
          <w:lang w:val="es-MX"/>
        </w:rPr>
      </w:pPr>
    </w:p>
    <w:p w14:paraId="588F0C34" w14:textId="66060A73" w:rsidR="00BF0137" w:rsidRPr="003A7F7A" w:rsidRDefault="00BF0137" w:rsidP="00BF0137">
      <w:pPr>
        <w:pStyle w:val="Prrafodelista"/>
        <w:numPr>
          <w:ilvl w:val="0"/>
          <w:numId w:val="29"/>
        </w:numPr>
        <w:shd w:val="clear" w:color="auto" w:fill="DBE5F1" w:themeFill="accent1" w:themeFillTint="33"/>
        <w:rPr>
          <w:rFonts w:ascii="Arial Narrow" w:hAnsi="Arial Narrow" w:cstheme="minorHAnsi"/>
          <w:b/>
          <w:sz w:val="24"/>
          <w:szCs w:val="24"/>
        </w:rPr>
      </w:pPr>
      <w:r w:rsidRPr="003A7F7A">
        <w:rPr>
          <w:rFonts w:ascii="Arial Narrow" w:hAnsi="Arial Narrow" w:cstheme="minorHAnsi"/>
          <w:b/>
          <w:sz w:val="24"/>
          <w:szCs w:val="24"/>
        </w:rPr>
        <w:t>INFORME SOBRE EFECTIVIDAD DEL SIAR</w:t>
      </w:r>
    </w:p>
    <w:p w14:paraId="5C30D603" w14:textId="77777777" w:rsidR="00BF0137" w:rsidRPr="003A7F7A" w:rsidRDefault="00BF0137" w:rsidP="00554A30">
      <w:pPr>
        <w:tabs>
          <w:tab w:val="left" w:pos="1939"/>
          <w:tab w:val="left" w:pos="3312"/>
          <w:tab w:val="left" w:pos="4450"/>
          <w:tab w:val="left" w:pos="5587"/>
          <w:tab w:val="left" w:pos="6456"/>
        </w:tabs>
        <w:rPr>
          <w:rFonts w:ascii="Arial Narrow" w:hAnsi="Arial Narrow" w:cstheme="minorHAnsi"/>
          <w:lang w:val="es-MX"/>
        </w:rPr>
      </w:pPr>
    </w:p>
    <w:p w14:paraId="6F5DF892" w14:textId="1224E048" w:rsidR="00BF0137" w:rsidRPr="003A7F7A" w:rsidRDefault="00BF0137" w:rsidP="00BF0137">
      <w:pPr>
        <w:pStyle w:val="Prrafodelista"/>
        <w:numPr>
          <w:ilvl w:val="1"/>
          <w:numId w:val="29"/>
        </w:numPr>
        <w:shd w:val="clear" w:color="auto" w:fill="DBE5F1" w:themeFill="accent1" w:themeFillTint="33"/>
        <w:rPr>
          <w:rFonts w:ascii="Arial Narrow" w:hAnsi="Arial Narrow" w:cstheme="minorHAnsi"/>
          <w:b/>
          <w:sz w:val="24"/>
          <w:szCs w:val="24"/>
        </w:rPr>
      </w:pPr>
      <w:r w:rsidRPr="003A7F7A">
        <w:rPr>
          <w:rFonts w:ascii="Arial Narrow" w:hAnsi="Arial Narrow" w:cstheme="minorHAnsi"/>
          <w:b/>
          <w:sz w:val="24"/>
          <w:szCs w:val="24"/>
        </w:rPr>
        <w:t>COMITÉ DE RIESGOS</w:t>
      </w:r>
    </w:p>
    <w:p w14:paraId="648F7A91" w14:textId="77777777" w:rsidR="00BF0137" w:rsidRPr="003A7F7A" w:rsidRDefault="00BF0137" w:rsidP="00554A30">
      <w:pPr>
        <w:tabs>
          <w:tab w:val="left" w:pos="1939"/>
          <w:tab w:val="left" w:pos="3312"/>
          <w:tab w:val="left" w:pos="4450"/>
          <w:tab w:val="left" w:pos="5587"/>
          <w:tab w:val="left" w:pos="6456"/>
        </w:tabs>
        <w:rPr>
          <w:rFonts w:ascii="Arial Narrow" w:hAnsi="Arial Narrow" w:cstheme="minorHAnsi"/>
          <w:lang w:val="es-MX"/>
        </w:rPr>
      </w:pPr>
    </w:p>
    <w:tbl>
      <w:tblPr>
        <w:tblStyle w:val="Tablaconcuadrcula"/>
        <w:tblW w:w="0" w:type="auto"/>
        <w:tblLook w:val="04A0" w:firstRow="1" w:lastRow="0" w:firstColumn="1" w:lastColumn="0" w:noHBand="0" w:noVBand="1"/>
      </w:tblPr>
      <w:tblGrid>
        <w:gridCol w:w="5125"/>
        <w:gridCol w:w="5125"/>
      </w:tblGrid>
      <w:tr w:rsidR="00BF0137" w:rsidRPr="003A7F7A" w14:paraId="0EF1F177" w14:textId="77777777" w:rsidTr="00BF0137">
        <w:tc>
          <w:tcPr>
            <w:tcW w:w="5125" w:type="dxa"/>
            <w:shd w:val="clear" w:color="auto" w:fill="F2DBDB" w:themeFill="accent2" w:themeFillTint="33"/>
          </w:tcPr>
          <w:p w14:paraId="04927658" w14:textId="7E4051A8" w:rsidR="00BF0137" w:rsidRPr="003A7F7A" w:rsidRDefault="00BF0137" w:rsidP="00554A30">
            <w:pPr>
              <w:tabs>
                <w:tab w:val="left" w:pos="1939"/>
                <w:tab w:val="left" w:pos="3312"/>
                <w:tab w:val="left" w:pos="4450"/>
                <w:tab w:val="left" w:pos="5587"/>
                <w:tab w:val="left" w:pos="6456"/>
              </w:tabs>
              <w:rPr>
                <w:rFonts w:ascii="Arial Narrow" w:hAnsi="Arial Narrow" w:cstheme="minorHAnsi"/>
                <w:b/>
                <w:bCs/>
                <w:lang w:val="es-MX"/>
              </w:rPr>
            </w:pPr>
            <w:r w:rsidRPr="003A7F7A">
              <w:rPr>
                <w:rFonts w:ascii="Arial Narrow" w:hAnsi="Arial Narrow" w:cstheme="minorHAnsi"/>
                <w:b/>
                <w:bCs/>
                <w:lang w:val="es-MX"/>
              </w:rPr>
              <w:t>FORTALEZAS</w:t>
            </w:r>
          </w:p>
        </w:tc>
        <w:tc>
          <w:tcPr>
            <w:tcW w:w="5125" w:type="dxa"/>
            <w:shd w:val="clear" w:color="auto" w:fill="F2DBDB" w:themeFill="accent2" w:themeFillTint="33"/>
          </w:tcPr>
          <w:p w14:paraId="01D2CC3D" w14:textId="00B12AAA" w:rsidR="00BF0137" w:rsidRPr="003A7F7A" w:rsidRDefault="00BF0137" w:rsidP="00554A30">
            <w:pPr>
              <w:tabs>
                <w:tab w:val="left" w:pos="1939"/>
                <w:tab w:val="left" w:pos="3312"/>
                <w:tab w:val="left" w:pos="4450"/>
                <w:tab w:val="left" w:pos="5587"/>
                <w:tab w:val="left" w:pos="6456"/>
              </w:tabs>
              <w:rPr>
                <w:rFonts w:ascii="Arial Narrow" w:hAnsi="Arial Narrow" w:cstheme="minorHAnsi"/>
                <w:b/>
                <w:bCs/>
                <w:lang w:val="es-MX"/>
              </w:rPr>
            </w:pPr>
            <w:r w:rsidRPr="003A7F7A">
              <w:rPr>
                <w:rFonts w:ascii="Arial Narrow" w:hAnsi="Arial Narrow" w:cstheme="minorHAnsi"/>
                <w:b/>
                <w:bCs/>
                <w:lang w:val="es-MX"/>
              </w:rPr>
              <w:t>OPORTUNIDADES DE MEJORA</w:t>
            </w:r>
          </w:p>
        </w:tc>
      </w:tr>
      <w:tr w:rsidR="00BF0137" w:rsidRPr="003A7F7A" w14:paraId="3E64B847" w14:textId="77777777" w:rsidTr="00BF0137">
        <w:tc>
          <w:tcPr>
            <w:tcW w:w="5125" w:type="dxa"/>
          </w:tcPr>
          <w:p w14:paraId="72C929A3" w14:textId="51D2E31C" w:rsidR="00BF0137" w:rsidRPr="003A7F7A" w:rsidRDefault="00BF0137" w:rsidP="00C51B6F">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Se encuentra nombrado el Comité</w:t>
            </w:r>
          </w:p>
        </w:tc>
        <w:tc>
          <w:tcPr>
            <w:tcW w:w="5125" w:type="dxa"/>
          </w:tcPr>
          <w:p w14:paraId="2A4F4708" w14:textId="13F45E78" w:rsidR="00BF0137" w:rsidRPr="003A7F7A" w:rsidRDefault="00E105E4" w:rsidP="00C51B6F">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No se reúne mensualmente</w:t>
            </w:r>
          </w:p>
        </w:tc>
      </w:tr>
      <w:tr w:rsidR="00BF0137" w:rsidRPr="003A7F7A" w14:paraId="33EC152B" w14:textId="77777777" w:rsidTr="00BF0137">
        <w:tc>
          <w:tcPr>
            <w:tcW w:w="5125" w:type="dxa"/>
          </w:tcPr>
          <w:p w14:paraId="38FE4260" w14:textId="4A046F1B" w:rsidR="00BF0137" w:rsidRPr="003A7F7A" w:rsidRDefault="00BF0137" w:rsidP="00C51B6F">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Cuenta con reglamento del comité de Riesgos</w:t>
            </w:r>
          </w:p>
        </w:tc>
        <w:tc>
          <w:tcPr>
            <w:tcW w:w="5125" w:type="dxa"/>
          </w:tcPr>
          <w:p w14:paraId="0D453AC3" w14:textId="3DCED26B" w:rsidR="00BF0137" w:rsidRPr="003A7F7A" w:rsidRDefault="00E105E4" w:rsidP="00C51B6F">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No está monitoreando todos los riesgos independientemente de la obligatoriedad de montar un estándar o NO, por ejemplo, todas las entidades sin excepción están expuestas a riesgos operativos que deben identificarse, evaluarse, monitorearse, controlarse y mitigarse.</w:t>
            </w:r>
          </w:p>
        </w:tc>
      </w:tr>
      <w:tr w:rsidR="00BF0137" w:rsidRPr="003A7F7A" w14:paraId="0F270908" w14:textId="77777777" w:rsidTr="00BF0137">
        <w:tc>
          <w:tcPr>
            <w:tcW w:w="5125" w:type="dxa"/>
          </w:tcPr>
          <w:p w14:paraId="02F4F3A8" w14:textId="4632C23F" w:rsidR="00BF0137" w:rsidRPr="003A7F7A" w:rsidRDefault="00C51B6F" w:rsidP="00C51B6F">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El riesgo inherente de la entidad es bajo</w:t>
            </w:r>
          </w:p>
        </w:tc>
        <w:tc>
          <w:tcPr>
            <w:tcW w:w="5125" w:type="dxa"/>
          </w:tcPr>
          <w:p w14:paraId="0A343021" w14:textId="415C0608" w:rsidR="00BF0137" w:rsidRPr="003A7F7A" w:rsidRDefault="00902F10" w:rsidP="00C51B6F">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Algunos miembros del Comité carecen de suficiente capacitación o experiencia en lo relacionado con los riesgos que componen el SIAR</w:t>
            </w:r>
          </w:p>
        </w:tc>
      </w:tr>
      <w:tr w:rsidR="00BF0137" w:rsidRPr="003A7F7A" w14:paraId="7CF7287B" w14:textId="77777777" w:rsidTr="00BF0137">
        <w:tc>
          <w:tcPr>
            <w:tcW w:w="5125" w:type="dxa"/>
          </w:tcPr>
          <w:p w14:paraId="6792345D" w14:textId="4DCEF661" w:rsidR="00BF0137" w:rsidRPr="003A7F7A" w:rsidRDefault="00C51B6F" w:rsidP="00C51B6F">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Existe una fuerte cultura de cumplimiento de la normatividad</w:t>
            </w:r>
          </w:p>
        </w:tc>
        <w:tc>
          <w:tcPr>
            <w:tcW w:w="5125" w:type="dxa"/>
          </w:tcPr>
          <w:p w14:paraId="6EEFB4C7" w14:textId="14B6AF90" w:rsidR="00BF0137" w:rsidRPr="003A7F7A" w:rsidRDefault="00902F10" w:rsidP="00C51B6F">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La persona encargada de riesgos cumple otras funciones al interior de la entidad que solo le dejan un tiempo marginal al mantenimiento y operación del SIAR.</w:t>
            </w:r>
          </w:p>
        </w:tc>
      </w:tr>
      <w:tr w:rsidR="00BF0137" w:rsidRPr="003A7F7A" w14:paraId="5F85CE08" w14:textId="77777777" w:rsidTr="00BF0137">
        <w:tc>
          <w:tcPr>
            <w:tcW w:w="5125" w:type="dxa"/>
          </w:tcPr>
          <w:p w14:paraId="30D8EFFE" w14:textId="77777777" w:rsidR="00BF0137" w:rsidRPr="003A7F7A" w:rsidRDefault="00BF0137" w:rsidP="00C51B6F">
            <w:pPr>
              <w:tabs>
                <w:tab w:val="left" w:pos="1939"/>
                <w:tab w:val="left" w:pos="3312"/>
                <w:tab w:val="left" w:pos="4450"/>
                <w:tab w:val="left" w:pos="5587"/>
                <w:tab w:val="left" w:pos="6456"/>
              </w:tabs>
              <w:jc w:val="both"/>
              <w:rPr>
                <w:rFonts w:ascii="Arial Narrow" w:hAnsi="Arial Narrow" w:cstheme="minorHAnsi"/>
                <w:lang w:val="es-MX"/>
              </w:rPr>
            </w:pPr>
          </w:p>
        </w:tc>
        <w:tc>
          <w:tcPr>
            <w:tcW w:w="5125" w:type="dxa"/>
          </w:tcPr>
          <w:p w14:paraId="0D7BC01D" w14:textId="15A5127C" w:rsidR="00BF0137" w:rsidRPr="003A7F7A" w:rsidRDefault="00F60648" w:rsidP="00C51B6F">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No se tiene un plan de trabajo o cronograma de reuniones y agenda del día para las reuniones mensuales.</w:t>
            </w:r>
          </w:p>
        </w:tc>
      </w:tr>
      <w:tr w:rsidR="00DD26F9" w:rsidRPr="003A7F7A" w14:paraId="6D448FAF" w14:textId="77777777" w:rsidTr="00BF0137">
        <w:tc>
          <w:tcPr>
            <w:tcW w:w="5125" w:type="dxa"/>
          </w:tcPr>
          <w:p w14:paraId="29D437E1" w14:textId="77777777" w:rsidR="00DD26F9" w:rsidRPr="003A7F7A" w:rsidRDefault="00DD26F9" w:rsidP="00554A30">
            <w:pPr>
              <w:tabs>
                <w:tab w:val="left" w:pos="1939"/>
                <w:tab w:val="left" w:pos="3312"/>
                <w:tab w:val="left" w:pos="4450"/>
                <w:tab w:val="left" w:pos="5587"/>
                <w:tab w:val="left" w:pos="6456"/>
              </w:tabs>
              <w:rPr>
                <w:rFonts w:ascii="Arial Narrow" w:hAnsi="Arial Narrow" w:cstheme="minorHAnsi"/>
                <w:lang w:val="es-MX"/>
              </w:rPr>
            </w:pPr>
          </w:p>
        </w:tc>
        <w:tc>
          <w:tcPr>
            <w:tcW w:w="5125" w:type="dxa"/>
          </w:tcPr>
          <w:p w14:paraId="4D706E4E" w14:textId="6ABF024F" w:rsidR="00DD26F9" w:rsidRPr="003A7F7A" w:rsidRDefault="00DD26F9" w:rsidP="00AD7ED8">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 xml:space="preserve">No se cuenta con una metodología para evaluar la capacidad patrimonial y solvencia de la entidad para asumir los riesgos bajo diferentes escenarios </w:t>
            </w:r>
            <w:r w:rsidR="00AD7ED8" w:rsidRPr="003A7F7A">
              <w:rPr>
                <w:rFonts w:ascii="Arial Narrow" w:hAnsi="Arial Narrow" w:cstheme="minorHAnsi"/>
                <w:lang w:val="es-MX"/>
              </w:rPr>
              <w:t>de riesgo crítico trimestralmente</w:t>
            </w:r>
          </w:p>
        </w:tc>
      </w:tr>
      <w:tr w:rsidR="00DD26F9" w:rsidRPr="003A7F7A" w14:paraId="5BC07E64" w14:textId="77777777" w:rsidTr="00BF0137">
        <w:tc>
          <w:tcPr>
            <w:tcW w:w="5125" w:type="dxa"/>
          </w:tcPr>
          <w:p w14:paraId="68759E65" w14:textId="77777777" w:rsidR="00DD26F9" w:rsidRPr="003A7F7A" w:rsidRDefault="00DD26F9" w:rsidP="00554A30">
            <w:pPr>
              <w:tabs>
                <w:tab w:val="left" w:pos="1939"/>
                <w:tab w:val="left" w:pos="3312"/>
                <w:tab w:val="left" w:pos="4450"/>
                <w:tab w:val="left" w:pos="5587"/>
                <w:tab w:val="left" w:pos="6456"/>
              </w:tabs>
              <w:rPr>
                <w:rFonts w:ascii="Arial Narrow" w:hAnsi="Arial Narrow" w:cstheme="minorHAnsi"/>
                <w:lang w:val="es-MX"/>
              </w:rPr>
            </w:pPr>
          </w:p>
        </w:tc>
        <w:tc>
          <w:tcPr>
            <w:tcW w:w="5125" w:type="dxa"/>
          </w:tcPr>
          <w:p w14:paraId="034A7D95" w14:textId="2AD39C19" w:rsidR="00DD26F9" w:rsidRPr="003A7F7A" w:rsidRDefault="00AD7ED8" w:rsidP="00554A30">
            <w:pPr>
              <w:tabs>
                <w:tab w:val="left" w:pos="1939"/>
                <w:tab w:val="left" w:pos="3312"/>
                <w:tab w:val="left" w:pos="4450"/>
                <w:tab w:val="left" w:pos="5587"/>
                <w:tab w:val="left" w:pos="6456"/>
              </w:tabs>
              <w:rPr>
                <w:rFonts w:ascii="Arial Narrow" w:hAnsi="Arial Narrow" w:cstheme="minorHAnsi"/>
                <w:lang w:val="es-MX"/>
              </w:rPr>
            </w:pPr>
            <w:r w:rsidRPr="003A7F7A">
              <w:rPr>
                <w:rFonts w:ascii="Arial Narrow" w:hAnsi="Arial Narrow" w:cstheme="minorHAnsi"/>
                <w:lang w:val="es-MX"/>
              </w:rPr>
              <w:t>No se tienen matrices de riesgo para todos los riesgos</w:t>
            </w:r>
          </w:p>
        </w:tc>
      </w:tr>
      <w:tr w:rsidR="00C51B6F" w:rsidRPr="003A7F7A" w14:paraId="17BBEC59" w14:textId="77777777" w:rsidTr="00BF0137">
        <w:tc>
          <w:tcPr>
            <w:tcW w:w="5125" w:type="dxa"/>
          </w:tcPr>
          <w:p w14:paraId="2762981D" w14:textId="77777777" w:rsidR="00C51B6F" w:rsidRPr="003A7F7A" w:rsidRDefault="00C51B6F" w:rsidP="00554A30">
            <w:pPr>
              <w:tabs>
                <w:tab w:val="left" w:pos="1939"/>
                <w:tab w:val="left" w:pos="3312"/>
                <w:tab w:val="left" w:pos="4450"/>
                <w:tab w:val="left" w:pos="5587"/>
                <w:tab w:val="left" w:pos="6456"/>
              </w:tabs>
              <w:rPr>
                <w:rFonts w:ascii="Arial Narrow" w:hAnsi="Arial Narrow" w:cstheme="minorHAnsi"/>
                <w:lang w:val="es-MX"/>
              </w:rPr>
            </w:pPr>
          </w:p>
        </w:tc>
        <w:tc>
          <w:tcPr>
            <w:tcW w:w="5125" w:type="dxa"/>
          </w:tcPr>
          <w:p w14:paraId="0C724B35" w14:textId="79E9EC5A" w:rsidR="00C51B6F" w:rsidRPr="003A7F7A" w:rsidRDefault="00C51B6F" w:rsidP="00C51B6F">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Los integrantes del Comité de Riesgos no cuentan con mucho tiempo disponible para las labores que se espera cumplan</w:t>
            </w:r>
          </w:p>
        </w:tc>
      </w:tr>
    </w:tbl>
    <w:p w14:paraId="213CE192" w14:textId="6F3B5BF1" w:rsidR="00F60648" w:rsidRPr="003A7F7A" w:rsidRDefault="00F60648" w:rsidP="00554A30">
      <w:pPr>
        <w:tabs>
          <w:tab w:val="left" w:pos="1939"/>
          <w:tab w:val="left" w:pos="3312"/>
          <w:tab w:val="left" w:pos="4450"/>
          <w:tab w:val="left" w:pos="5587"/>
          <w:tab w:val="left" w:pos="6456"/>
        </w:tabs>
        <w:rPr>
          <w:rFonts w:ascii="Arial Narrow" w:hAnsi="Arial Narrow" w:cstheme="minorHAnsi"/>
          <w:lang w:val="es-MX"/>
        </w:rPr>
      </w:pPr>
    </w:p>
    <w:p w14:paraId="53432F86" w14:textId="77777777" w:rsidR="00F60648" w:rsidRPr="003A7F7A" w:rsidRDefault="00F60648">
      <w:pPr>
        <w:rPr>
          <w:rFonts w:ascii="Arial Narrow" w:hAnsi="Arial Narrow" w:cstheme="minorHAnsi"/>
          <w:lang w:val="es-MX"/>
        </w:rPr>
      </w:pPr>
      <w:r w:rsidRPr="003A7F7A">
        <w:rPr>
          <w:rFonts w:ascii="Arial Narrow" w:hAnsi="Arial Narrow" w:cstheme="minorHAnsi"/>
          <w:lang w:val="es-MX"/>
        </w:rPr>
        <w:br w:type="page"/>
      </w:r>
    </w:p>
    <w:p w14:paraId="5F7A3B21" w14:textId="77777777" w:rsidR="00BF0137" w:rsidRPr="003A7F7A" w:rsidRDefault="00BF0137" w:rsidP="00554A30">
      <w:pPr>
        <w:tabs>
          <w:tab w:val="left" w:pos="1939"/>
          <w:tab w:val="left" w:pos="3312"/>
          <w:tab w:val="left" w:pos="4450"/>
          <w:tab w:val="left" w:pos="5587"/>
          <w:tab w:val="left" w:pos="6456"/>
        </w:tabs>
        <w:rPr>
          <w:rFonts w:ascii="Arial Narrow" w:hAnsi="Arial Narrow" w:cstheme="minorHAnsi"/>
          <w:lang w:val="es-MX"/>
        </w:rPr>
      </w:pPr>
    </w:p>
    <w:p w14:paraId="6ECFFDEB" w14:textId="49B4D1A1" w:rsidR="00F60648" w:rsidRPr="003A7F7A" w:rsidRDefault="00C51B6F" w:rsidP="00C51B6F">
      <w:pPr>
        <w:pStyle w:val="Prrafodelista"/>
        <w:numPr>
          <w:ilvl w:val="1"/>
          <w:numId w:val="29"/>
        </w:numPr>
        <w:shd w:val="clear" w:color="auto" w:fill="DBE5F1" w:themeFill="accent1" w:themeFillTint="33"/>
        <w:rPr>
          <w:rFonts w:ascii="Arial Narrow" w:hAnsi="Arial Narrow" w:cstheme="minorHAnsi"/>
          <w:b/>
          <w:sz w:val="24"/>
          <w:szCs w:val="24"/>
        </w:rPr>
      </w:pPr>
      <w:r w:rsidRPr="003A7F7A">
        <w:rPr>
          <w:rFonts w:ascii="Arial Narrow" w:hAnsi="Arial Narrow" w:cstheme="minorHAnsi"/>
          <w:b/>
          <w:sz w:val="24"/>
          <w:szCs w:val="24"/>
        </w:rPr>
        <w:t>SARC</w:t>
      </w:r>
    </w:p>
    <w:p w14:paraId="3C4D04B3" w14:textId="77777777" w:rsidR="00F60648" w:rsidRPr="003A7F7A" w:rsidRDefault="00F60648" w:rsidP="00F60648">
      <w:pPr>
        <w:tabs>
          <w:tab w:val="left" w:pos="1939"/>
          <w:tab w:val="left" w:pos="3312"/>
          <w:tab w:val="left" w:pos="4450"/>
          <w:tab w:val="left" w:pos="5587"/>
          <w:tab w:val="left" w:pos="6456"/>
        </w:tabs>
        <w:rPr>
          <w:rFonts w:ascii="Arial Narrow" w:hAnsi="Arial Narrow" w:cstheme="minorHAnsi"/>
          <w:lang w:val="es-MX"/>
        </w:rPr>
      </w:pPr>
    </w:p>
    <w:tbl>
      <w:tblPr>
        <w:tblStyle w:val="Tablaconcuadrcula"/>
        <w:tblW w:w="0" w:type="auto"/>
        <w:tblLook w:val="04A0" w:firstRow="1" w:lastRow="0" w:firstColumn="1" w:lastColumn="0" w:noHBand="0" w:noVBand="1"/>
      </w:tblPr>
      <w:tblGrid>
        <w:gridCol w:w="5125"/>
        <w:gridCol w:w="5125"/>
      </w:tblGrid>
      <w:tr w:rsidR="00F60648" w:rsidRPr="003A7F7A" w14:paraId="25AC9516" w14:textId="77777777" w:rsidTr="00441444">
        <w:trPr>
          <w:tblHeader/>
        </w:trPr>
        <w:tc>
          <w:tcPr>
            <w:tcW w:w="5125" w:type="dxa"/>
            <w:shd w:val="clear" w:color="auto" w:fill="F2DBDB" w:themeFill="accent2" w:themeFillTint="33"/>
          </w:tcPr>
          <w:p w14:paraId="71BA2941" w14:textId="77777777" w:rsidR="00F60648" w:rsidRPr="003A7F7A" w:rsidRDefault="00F60648" w:rsidP="00574610">
            <w:pPr>
              <w:tabs>
                <w:tab w:val="left" w:pos="1939"/>
                <w:tab w:val="left" w:pos="3312"/>
                <w:tab w:val="left" w:pos="4450"/>
                <w:tab w:val="left" w:pos="5587"/>
                <w:tab w:val="left" w:pos="6456"/>
              </w:tabs>
              <w:rPr>
                <w:rFonts w:ascii="Arial Narrow" w:hAnsi="Arial Narrow" w:cstheme="minorHAnsi"/>
                <w:b/>
                <w:bCs/>
                <w:lang w:val="es-MX"/>
              </w:rPr>
            </w:pPr>
            <w:r w:rsidRPr="003A7F7A">
              <w:rPr>
                <w:rFonts w:ascii="Arial Narrow" w:hAnsi="Arial Narrow" w:cstheme="minorHAnsi"/>
                <w:b/>
                <w:bCs/>
                <w:lang w:val="es-MX"/>
              </w:rPr>
              <w:t>FORTALEZAS</w:t>
            </w:r>
          </w:p>
        </w:tc>
        <w:tc>
          <w:tcPr>
            <w:tcW w:w="5125" w:type="dxa"/>
            <w:shd w:val="clear" w:color="auto" w:fill="F2DBDB" w:themeFill="accent2" w:themeFillTint="33"/>
          </w:tcPr>
          <w:p w14:paraId="0DCDA7D7" w14:textId="77777777" w:rsidR="00F60648" w:rsidRPr="003A7F7A" w:rsidRDefault="00F60648" w:rsidP="00574610">
            <w:pPr>
              <w:tabs>
                <w:tab w:val="left" w:pos="1939"/>
                <w:tab w:val="left" w:pos="3312"/>
                <w:tab w:val="left" w:pos="4450"/>
                <w:tab w:val="left" w:pos="5587"/>
                <w:tab w:val="left" w:pos="6456"/>
              </w:tabs>
              <w:rPr>
                <w:rFonts w:ascii="Arial Narrow" w:hAnsi="Arial Narrow" w:cstheme="minorHAnsi"/>
                <w:b/>
                <w:bCs/>
                <w:lang w:val="es-MX"/>
              </w:rPr>
            </w:pPr>
            <w:r w:rsidRPr="003A7F7A">
              <w:rPr>
                <w:rFonts w:ascii="Arial Narrow" w:hAnsi="Arial Narrow" w:cstheme="minorHAnsi"/>
                <w:b/>
                <w:bCs/>
                <w:lang w:val="es-MX"/>
              </w:rPr>
              <w:t>OPORTUNIDADES DE MEJORA</w:t>
            </w:r>
          </w:p>
        </w:tc>
      </w:tr>
      <w:tr w:rsidR="00F60648" w:rsidRPr="003A7F7A" w14:paraId="3F095075" w14:textId="77777777" w:rsidTr="00574610">
        <w:tc>
          <w:tcPr>
            <w:tcW w:w="5125" w:type="dxa"/>
          </w:tcPr>
          <w:p w14:paraId="68E02663" w14:textId="00BDCC40" w:rsidR="00F60648" w:rsidRPr="003A7F7A" w:rsidRDefault="00E026DF" w:rsidP="00F81E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El riesgo inherente de crédito es bajo</w:t>
            </w:r>
          </w:p>
        </w:tc>
        <w:tc>
          <w:tcPr>
            <w:tcW w:w="5125" w:type="dxa"/>
          </w:tcPr>
          <w:p w14:paraId="7A2D830C" w14:textId="4DB0C31A" w:rsidR="00F60648" w:rsidRPr="003A7F7A" w:rsidRDefault="005F4EF3" w:rsidP="00F81E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No se ha nombrado a la persona encargada de los aplicativos y verificar la actualización de la información y su reporte a las centrales de riesgo</w:t>
            </w:r>
          </w:p>
        </w:tc>
      </w:tr>
      <w:tr w:rsidR="00F60648" w:rsidRPr="003A7F7A" w14:paraId="6DD0C9B4" w14:textId="77777777" w:rsidTr="00574610">
        <w:tc>
          <w:tcPr>
            <w:tcW w:w="5125" w:type="dxa"/>
          </w:tcPr>
          <w:p w14:paraId="63605DF6" w14:textId="2F552C89" w:rsidR="00F60648" w:rsidRPr="003A7F7A" w:rsidRDefault="00E026DF" w:rsidP="00F81E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 xml:space="preserve">Se cuenta con reglamento de crédito que claramente define condiciones, instancias </w:t>
            </w:r>
            <w:r w:rsidR="00A077F1" w:rsidRPr="003A7F7A">
              <w:rPr>
                <w:rFonts w:ascii="Arial Narrow" w:hAnsi="Arial Narrow" w:cstheme="minorHAnsi"/>
                <w:lang w:val="es-MX"/>
              </w:rPr>
              <w:t>y atribuciones para el otorgamiento de los créditos</w:t>
            </w:r>
          </w:p>
        </w:tc>
        <w:tc>
          <w:tcPr>
            <w:tcW w:w="5125" w:type="dxa"/>
          </w:tcPr>
          <w:p w14:paraId="03018ED2" w14:textId="3C6E2F7B" w:rsidR="00F60648" w:rsidRPr="003A7F7A" w:rsidRDefault="008A1BE7" w:rsidP="00F81E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La información de los deudores está actualizada documentalmente pero no en las bases de datos de los aplicativos</w:t>
            </w:r>
          </w:p>
        </w:tc>
      </w:tr>
      <w:tr w:rsidR="00F60648" w:rsidRPr="003A7F7A" w14:paraId="583CB22A" w14:textId="77777777" w:rsidTr="00574610">
        <w:tc>
          <w:tcPr>
            <w:tcW w:w="5125" w:type="dxa"/>
          </w:tcPr>
          <w:p w14:paraId="7DD7002A" w14:textId="205D0932" w:rsidR="00F60648" w:rsidRPr="003A7F7A" w:rsidRDefault="00A077F1" w:rsidP="00F81E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Se cuenta con un comité de crédito ortodoxo</w:t>
            </w:r>
            <w:r w:rsidR="005F4EF3" w:rsidRPr="003A7F7A">
              <w:rPr>
                <w:rFonts w:ascii="Arial Narrow" w:hAnsi="Arial Narrow" w:cstheme="minorHAnsi"/>
                <w:lang w:val="es-MX"/>
              </w:rPr>
              <w:t xml:space="preserve"> apegado al cumplimiento del reglamento de crédito que se reúne periódicamente</w:t>
            </w:r>
          </w:p>
        </w:tc>
        <w:tc>
          <w:tcPr>
            <w:tcW w:w="5125" w:type="dxa"/>
          </w:tcPr>
          <w:p w14:paraId="3C2E5341" w14:textId="10A7AB61" w:rsidR="00F60648" w:rsidRPr="003A7F7A" w:rsidRDefault="008A1BE7" w:rsidP="00F81E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No se está efectuando la evaluación total de la cartera de crédito</w:t>
            </w:r>
            <w:r w:rsidR="0037326D" w:rsidRPr="003A7F7A">
              <w:rPr>
                <w:rFonts w:ascii="Arial Narrow" w:hAnsi="Arial Narrow" w:cstheme="minorHAnsi"/>
                <w:lang w:val="es-MX"/>
              </w:rPr>
              <w:t xml:space="preserve"> por parte de la Gerencia y la persona encargada de riesgos</w:t>
            </w:r>
            <w:r w:rsidRPr="003A7F7A">
              <w:rPr>
                <w:rFonts w:ascii="Arial Narrow" w:hAnsi="Arial Narrow" w:cstheme="minorHAnsi"/>
                <w:lang w:val="es-MX"/>
              </w:rPr>
              <w:t xml:space="preserve"> con los criterios establecidos en la normatividad vigente, ni se cuenta on una metodología documentada y aprobada así como una política de recalificación de deudores de mayor riesgo</w:t>
            </w:r>
          </w:p>
        </w:tc>
      </w:tr>
      <w:tr w:rsidR="00F60648" w:rsidRPr="003A7F7A" w14:paraId="50E0329D" w14:textId="77777777" w:rsidTr="00574610">
        <w:tc>
          <w:tcPr>
            <w:tcW w:w="5125" w:type="dxa"/>
          </w:tcPr>
          <w:p w14:paraId="2B8BCF06" w14:textId="61C0DC8A" w:rsidR="00F60648" w:rsidRPr="003A7F7A" w:rsidRDefault="005F4EF3" w:rsidP="00F81E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Se reporta y consulta a las centrales de riesgo</w:t>
            </w:r>
          </w:p>
        </w:tc>
        <w:tc>
          <w:tcPr>
            <w:tcW w:w="5125" w:type="dxa"/>
          </w:tcPr>
          <w:p w14:paraId="2D91E3E2" w14:textId="3113119B" w:rsidR="00F60648" w:rsidRPr="003A7F7A" w:rsidRDefault="008A1BE7" w:rsidP="00F81E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No se reconocen cambios en los niveles de riesgo de los deudores ni el incremento de provisiones</w:t>
            </w:r>
          </w:p>
        </w:tc>
      </w:tr>
      <w:tr w:rsidR="00F60648" w:rsidRPr="003A7F7A" w14:paraId="2D78C83F" w14:textId="77777777" w:rsidTr="00574610">
        <w:tc>
          <w:tcPr>
            <w:tcW w:w="5125" w:type="dxa"/>
          </w:tcPr>
          <w:p w14:paraId="44027EE3" w14:textId="1906C9DE" w:rsidR="00F60648" w:rsidRPr="003A7F7A" w:rsidRDefault="00F81E10" w:rsidP="00F81E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Los castigos de cartera cumplen con lo señalado en la norma y se registran en cuentas de orden.</w:t>
            </w:r>
          </w:p>
        </w:tc>
        <w:tc>
          <w:tcPr>
            <w:tcW w:w="5125" w:type="dxa"/>
          </w:tcPr>
          <w:p w14:paraId="2ECA99BE" w14:textId="3DBD687C" w:rsidR="00F60648" w:rsidRPr="003A7F7A" w:rsidRDefault="008A1BE7" w:rsidP="00F81E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No se evidencia</w:t>
            </w:r>
            <w:r w:rsidR="00F81E10" w:rsidRPr="003A7F7A">
              <w:rPr>
                <w:rFonts w:ascii="Arial Narrow" w:hAnsi="Arial Narrow" w:cstheme="minorHAnsi"/>
                <w:lang w:val="es-MX"/>
              </w:rPr>
              <w:t xml:space="preserve"> la entrega o puesta en conocimiento previo del potencial deudor de todas las condiciones y características propias de la operación, el reglamento de crédito y tabla de amortización</w:t>
            </w:r>
          </w:p>
        </w:tc>
      </w:tr>
      <w:tr w:rsidR="00F81E10" w:rsidRPr="003A7F7A" w14:paraId="2F5CD4BC" w14:textId="77777777" w:rsidTr="00574610">
        <w:tc>
          <w:tcPr>
            <w:tcW w:w="5125" w:type="dxa"/>
          </w:tcPr>
          <w:p w14:paraId="13E416DC" w14:textId="130574E6" w:rsidR="00F81E10" w:rsidRPr="003A7F7A" w:rsidRDefault="00870D74" w:rsidP="00F81E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 xml:space="preserve">Se </w:t>
            </w:r>
            <w:r w:rsidR="00F43AC4" w:rsidRPr="003A7F7A">
              <w:rPr>
                <w:rFonts w:ascii="Arial Narrow" w:hAnsi="Arial Narrow" w:cstheme="minorHAnsi"/>
                <w:lang w:val="es-MX"/>
              </w:rPr>
              <w:t>calculan adecuadamente y automáticamente los deterioros por altura de mora, descontando el valor de las garantías y el 70% de los aportes</w:t>
            </w:r>
            <w:r w:rsidR="00207FFC" w:rsidRPr="003A7F7A">
              <w:rPr>
                <w:rFonts w:ascii="Arial Narrow" w:hAnsi="Arial Narrow" w:cstheme="minorHAnsi"/>
                <w:lang w:val="es-MX"/>
              </w:rPr>
              <w:t xml:space="preserve"> prorrateados</w:t>
            </w:r>
            <w:r w:rsidR="00DF4275" w:rsidRPr="003A7F7A">
              <w:rPr>
                <w:rFonts w:ascii="Arial Narrow" w:hAnsi="Arial Narrow" w:cstheme="minorHAnsi"/>
                <w:lang w:val="es-MX"/>
              </w:rPr>
              <w:t>, aplicando la ley de arrastre</w:t>
            </w:r>
            <w:r w:rsidR="00441444" w:rsidRPr="003A7F7A">
              <w:rPr>
                <w:rFonts w:ascii="Arial Narrow" w:hAnsi="Arial Narrow" w:cstheme="minorHAnsi"/>
                <w:lang w:val="es-MX"/>
              </w:rPr>
              <w:t xml:space="preserve"> y la suspensión de la causación de intereses, así como la clasificación y calificación de cartera por altura de mora</w:t>
            </w:r>
          </w:p>
        </w:tc>
        <w:tc>
          <w:tcPr>
            <w:tcW w:w="5125" w:type="dxa"/>
          </w:tcPr>
          <w:p w14:paraId="304DAFC5" w14:textId="35477865" w:rsidR="00F81E10" w:rsidRPr="003A7F7A" w:rsidRDefault="00F81E10" w:rsidP="00F81E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En el análisis de los créditos no se está dejando evidencia clara de la medición del riesgo con los 4 criterios mínimos obligatorios: capacidad de pago, solvencia, hábitos de pago y consulta a las centrales de riesgo</w:t>
            </w:r>
          </w:p>
        </w:tc>
      </w:tr>
      <w:tr w:rsidR="00F81E10" w:rsidRPr="003A7F7A" w14:paraId="24ED406A" w14:textId="77777777" w:rsidTr="00574610">
        <w:tc>
          <w:tcPr>
            <w:tcW w:w="5125" w:type="dxa"/>
          </w:tcPr>
          <w:p w14:paraId="720B2755" w14:textId="5016E4BB" w:rsidR="00F81E10" w:rsidRPr="003A7F7A" w:rsidRDefault="00DF4275" w:rsidP="00F81E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 xml:space="preserve">El aplicativo genera automáticamente los reportes con destino a la SES a través del SICSES </w:t>
            </w:r>
            <w:r w:rsidR="00195D5A" w:rsidRPr="003A7F7A">
              <w:rPr>
                <w:rFonts w:ascii="Arial Narrow" w:hAnsi="Arial Narrow" w:cstheme="minorHAnsi"/>
                <w:lang w:val="es-MX"/>
              </w:rPr>
              <w:t>y los reportes a las Centrales de riesgo</w:t>
            </w:r>
          </w:p>
        </w:tc>
        <w:tc>
          <w:tcPr>
            <w:tcW w:w="5125" w:type="dxa"/>
          </w:tcPr>
          <w:p w14:paraId="30F0E77C" w14:textId="27D62C44" w:rsidR="00F81E10" w:rsidRPr="003A7F7A" w:rsidRDefault="00F81E10" w:rsidP="00F81E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 xml:space="preserve">No se actualizan el valor de las garantías admisibles </w:t>
            </w:r>
            <w:r w:rsidR="00207FFC" w:rsidRPr="003A7F7A">
              <w:rPr>
                <w:rFonts w:ascii="Arial Narrow" w:hAnsi="Arial Narrow" w:cstheme="minorHAnsi"/>
                <w:lang w:val="es-MX"/>
              </w:rPr>
              <w:t xml:space="preserve">en el aplicativo, </w:t>
            </w:r>
            <w:r w:rsidRPr="003A7F7A">
              <w:rPr>
                <w:rFonts w:ascii="Arial Narrow" w:hAnsi="Arial Narrow" w:cstheme="minorHAnsi"/>
                <w:lang w:val="es-MX"/>
              </w:rPr>
              <w:t>con base en el IVP del DANE o la guía de valores de FASECOLDA.</w:t>
            </w:r>
          </w:p>
        </w:tc>
      </w:tr>
      <w:tr w:rsidR="00F81E10" w:rsidRPr="003A7F7A" w14:paraId="6E9403F7" w14:textId="77777777" w:rsidTr="00574610">
        <w:tc>
          <w:tcPr>
            <w:tcW w:w="5125" w:type="dxa"/>
          </w:tcPr>
          <w:p w14:paraId="55C7D018" w14:textId="4BC38C67" w:rsidR="00F81E10" w:rsidRPr="003A7F7A" w:rsidRDefault="00AE2A3D" w:rsidP="00F81E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 xml:space="preserve">Se cumple con las políticas en materia de reestructuración, novación y </w:t>
            </w:r>
            <w:r w:rsidR="00322B58" w:rsidRPr="003A7F7A">
              <w:rPr>
                <w:rFonts w:ascii="Arial Narrow" w:hAnsi="Arial Narrow" w:cstheme="minorHAnsi"/>
                <w:lang w:val="es-MX"/>
              </w:rPr>
              <w:t>modificación de los créditos</w:t>
            </w:r>
          </w:p>
        </w:tc>
        <w:tc>
          <w:tcPr>
            <w:tcW w:w="5125" w:type="dxa"/>
          </w:tcPr>
          <w:p w14:paraId="6D86FC90" w14:textId="70F3CA42" w:rsidR="00F81E10" w:rsidRPr="003A7F7A" w:rsidRDefault="00F81E10" w:rsidP="00F81E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No se reportan los castigos de cartera a la SES a través del SICSES</w:t>
            </w:r>
          </w:p>
        </w:tc>
      </w:tr>
      <w:tr w:rsidR="00F81E10" w:rsidRPr="003A7F7A" w14:paraId="72736ACB" w14:textId="77777777" w:rsidTr="00574610">
        <w:tc>
          <w:tcPr>
            <w:tcW w:w="5125" w:type="dxa"/>
          </w:tcPr>
          <w:p w14:paraId="29415494" w14:textId="60FDB7CC" w:rsidR="00F81E10" w:rsidRPr="003A7F7A" w:rsidRDefault="00322B58" w:rsidP="00F81E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Los créditos con partes relacionadas son aprobados por las 4/5 partes del órgano de administración en las mismas condiciones generales de los reglamentos para todos los asociados</w:t>
            </w:r>
            <w:r w:rsidR="00C10843" w:rsidRPr="003A7F7A">
              <w:rPr>
                <w:rFonts w:ascii="Arial Narrow" w:hAnsi="Arial Narrow" w:cstheme="minorHAnsi"/>
                <w:lang w:val="es-MX"/>
              </w:rPr>
              <w:t xml:space="preserve"> y son reveladas anualmente</w:t>
            </w:r>
          </w:p>
        </w:tc>
        <w:tc>
          <w:tcPr>
            <w:tcW w:w="5125" w:type="dxa"/>
          </w:tcPr>
          <w:p w14:paraId="4A56792C" w14:textId="7EF423E8" w:rsidR="00F81E10" w:rsidRPr="003A7F7A" w:rsidRDefault="00195D5A" w:rsidP="00F81E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No se cuenta con matriz SAR</w:t>
            </w:r>
            <w:r w:rsidR="009F049C" w:rsidRPr="003A7F7A">
              <w:rPr>
                <w:rFonts w:ascii="Arial Narrow" w:hAnsi="Arial Narrow" w:cstheme="minorHAnsi"/>
                <w:lang w:val="es-MX"/>
              </w:rPr>
              <w:t>C</w:t>
            </w:r>
          </w:p>
        </w:tc>
      </w:tr>
      <w:tr w:rsidR="00195D5A" w:rsidRPr="003A7F7A" w14:paraId="537DC9C5" w14:textId="77777777" w:rsidTr="00574610">
        <w:tc>
          <w:tcPr>
            <w:tcW w:w="5125" w:type="dxa"/>
          </w:tcPr>
          <w:p w14:paraId="1828ED6F" w14:textId="71738750" w:rsidR="00195D5A" w:rsidRPr="003A7F7A" w:rsidRDefault="00322B58" w:rsidP="00F81E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El reglamento de crédito está a disposición de todos los asociados y el sistema permite consultas de estados de cuenta y tablas de amortización a los asociados.</w:t>
            </w:r>
          </w:p>
        </w:tc>
        <w:tc>
          <w:tcPr>
            <w:tcW w:w="5125" w:type="dxa"/>
          </w:tcPr>
          <w:p w14:paraId="75297BC2" w14:textId="28E33E8D" w:rsidR="00195D5A" w:rsidRPr="003A7F7A" w:rsidRDefault="00195D5A" w:rsidP="00F81E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No se ha actualizado el reglamento de crédito con las nuevas disposiciones del SARC</w:t>
            </w:r>
          </w:p>
        </w:tc>
      </w:tr>
      <w:tr w:rsidR="00F61446" w:rsidRPr="003A7F7A" w14:paraId="7615E995" w14:textId="77777777" w:rsidTr="00574610">
        <w:tc>
          <w:tcPr>
            <w:tcW w:w="5125" w:type="dxa"/>
          </w:tcPr>
          <w:p w14:paraId="772DEACA" w14:textId="3B03F63C" w:rsidR="00F61446" w:rsidRPr="003A7F7A" w:rsidRDefault="00441444" w:rsidP="00F81E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Se aplica el régimen disc</w:t>
            </w:r>
            <w:r w:rsidR="00657164" w:rsidRPr="003A7F7A">
              <w:rPr>
                <w:rFonts w:ascii="Arial Narrow" w:hAnsi="Arial Narrow" w:cstheme="minorHAnsi"/>
                <w:lang w:val="es-MX"/>
              </w:rPr>
              <w:t>iplinario a los deudores morosos</w:t>
            </w:r>
          </w:p>
        </w:tc>
        <w:tc>
          <w:tcPr>
            <w:tcW w:w="5125" w:type="dxa"/>
          </w:tcPr>
          <w:p w14:paraId="37954F74" w14:textId="591B3DF1" w:rsidR="00F61446" w:rsidRPr="003A7F7A" w:rsidRDefault="00F61446" w:rsidP="00F81E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 xml:space="preserve">No se evidencia constancia de la presentación del </w:t>
            </w:r>
            <w:r w:rsidR="00AE2A3D" w:rsidRPr="003A7F7A">
              <w:rPr>
                <w:rFonts w:ascii="Arial Narrow" w:hAnsi="Arial Narrow" w:cstheme="minorHAnsi"/>
                <w:lang w:val="es-MX"/>
              </w:rPr>
              <w:t>informe de</w:t>
            </w:r>
            <w:r w:rsidRPr="003A7F7A">
              <w:rPr>
                <w:rFonts w:ascii="Arial Narrow" w:hAnsi="Arial Narrow" w:cstheme="minorHAnsi"/>
                <w:lang w:val="es-MX"/>
              </w:rPr>
              <w:t xml:space="preserve"> la evaluación de cartera </w:t>
            </w:r>
            <w:r w:rsidR="00AE2A3D" w:rsidRPr="003A7F7A">
              <w:rPr>
                <w:rFonts w:ascii="Arial Narrow" w:hAnsi="Arial Narrow" w:cstheme="minorHAnsi"/>
                <w:lang w:val="es-MX"/>
              </w:rPr>
              <w:t xml:space="preserve">por parte del comité de riesgos </w:t>
            </w:r>
            <w:r w:rsidRPr="003A7F7A">
              <w:rPr>
                <w:rFonts w:ascii="Arial Narrow" w:hAnsi="Arial Narrow" w:cstheme="minorHAnsi"/>
                <w:lang w:val="es-MX"/>
              </w:rPr>
              <w:t xml:space="preserve">ante el órgano de administración y </w:t>
            </w:r>
            <w:r w:rsidR="00AE2A3D" w:rsidRPr="003A7F7A">
              <w:rPr>
                <w:rFonts w:ascii="Arial Narrow" w:hAnsi="Arial Narrow" w:cstheme="minorHAnsi"/>
                <w:lang w:val="es-MX"/>
              </w:rPr>
              <w:t>su</w:t>
            </w:r>
            <w:r w:rsidRPr="003A7F7A">
              <w:rPr>
                <w:rFonts w:ascii="Arial Narrow" w:hAnsi="Arial Narrow" w:cstheme="minorHAnsi"/>
                <w:lang w:val="es-MX"/>
              </w:rPr>
              <w:t xml:space="preserve"> pronunciamiento </w:t>
            </w:r>
          </w:p>
        </w:tc>
      </w:tr>
      <w:tr w:rsidR="00AE2A3D" w:rsidRPr="003A7F7A" w14:paraId="4846CF80" w14:textId="77777777" w:rsidTr="00574610">
        <w:tc>
          <w:tcPr>
            <w:tcW w:w="5125" w:type="dxa"/>
          </w:tcPr>
          <w:p w14:paraId="0B9EC0F0" w14:textId="0B25DBA3" w:rsidR="00AE2A3D" w:rsidRPr="003A7F7A" w:rsidRDefault="00C10843" w:rsidP="00F81E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lastRenderedPageBreak/>
              <w:t>S</w:t>
            </w:r>
            <w:r w:rsidRPr="003A7F7A">
              <w:rPr>
                <w:rFonts w:ascii="Arial Narrow" w:hAnsi="Arial Narrow" w:cstheme="minorHAnsi"/>
                <w:lang w:val="es-MX"/>
              </w:rPr>
              <w:t xml:space="preserve">e presenta anualmente la revelación sobre la gestión del </w:t>
            </w:r>
            <w:r w:rsidRPr="003A7F7A">
              <w:rPr>
                <w:rFonts w:ascii="Arial Narrow" w:hAnsi="Arial Narrow" w:cstheme="minorHAnsi"/>
                <w:lang w:val="es-MX"/>
              </w:rPr>
              <w:t>de crédito</w:t>
            </w:r>
            <w:r w:rsidRPr="003A7F7A">
              <w:rPr>
                <w:rFonts w:ascii="Arial Narrow" w:hAnsi="Arial Narrow" w:cstheme="minorHAnsi"/>
                <w:lang w:val="es-MX"/>
              </w:rPr>
              <w:t xml:space="preserve"> tanto en el informe de gestión como en las revelaciones, sobre el nivel de riesgo, las mediciones, los mecanismos de gestión del mismo.</w:t>
            </w:r>
          </w:p>
        </w:tc>
        <w:tc>
          <w:tcPr>
            <w:tcW w:w="5125" w:type="dxa"/>
          </w:tcPr>
          <w:p w14:paraId="645C6976" w14:textId="06936C5E" w:rsidR="00AE2A3D" w:rsidRPr="003A7F7A" w:rsidRDefault="00322B58" w:rsidP="00F81E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No se han implementado las políticas en materia de cumplimiento de la ley de habeas data y de borrón y cuenta nueva</w:t>
            </w:r>
          </w:p>
        </w:tc>
      </w:tr>
      <w:tr w:rsidR="00441444" w:rsidRPr="003A7F7A" w14:paraId="20A41B03" w14:textId="77777777" w:rsidTr="00574610">
        <w:tc>
          <w:tcPr>
            <w:tcW w:w="5125" w:type="dxa"/>
          </w:tcPr>
          <w:p w14:paraId="496A1E13" w14:textId="440286DF" w:rsidR="00441444" w:rsidRPr="003A7F7A" w:rsidRDefault="00657164" w:rsidP="00F81E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Se envía a cobro jurídico la cartera superior a 2 SMLMV después de 90 días de mora</w:t>
            </w:r>
          </w:p>
        </w:tc>
        <w:tc>
          <w:tcPr>
            <w:tcW w:w="5125" w:type="dxa"/>
          </w:tcPr>
          <w:p w14:paraId="07108AA9" w14:textId="2674A79C" w:rsidR="00441444" w:rsidRPr="003A7F7A" w:rsidRDefault="00207FFC" w:rsidP="00F81E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No se evalúa periódicamente ni se tienen indicadores definidos para medir la efectividad de la cobranza administrativas y jurídica</w:t>
            </w:r>
          </w:p>
        </w:tc>
      </w:tr>
      <w:tr w:rsidR="00441444" w:rsidRPr="003A7F7A" w14:paraId="380535EA" w14:textId="77777777" w:rsidTr="00574610">
        <w:tc>
          <w:tcPr>
            <w:tcW w:w="5125" w:type="dxa"/>
          </w:tcPr>
          <w:p w14:paraId="7AF74A71" w14:textId="6BA1BD36" w:rsidR="00441444" w:rsidRPr="003A7F7A" w:rsidRDefault="00207FFC" w:rsidP="00F81E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Se presentan informes de monitoreo mensual de indicadores de calidad de cartera con criterios de segmentación tanto en el Comité de Riesgos como en el órgano de administración</w:t>
            </w:r>
          </w:p>
        </w:tc>
        <w:tc>
          <w:tcPr>
            <w:tcW w:w="5125" w:type="dxa"/>
          </w:tcPr>
          <w:p w14:paraId="7BEFC27D" w14:textId="18F25DCF" w:rsidR="00441444" w:rsidRPr="003A7F7A" w:rsidRDefault="008E24B2" w:rsidP="00F81E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 xml:space="preserve">Se tiene altamente concentrada la cartera y no se </w:t>
            </w:r>
            <w:r w:rsidR="00C02D21" w:rsidRPr="003A7F7A">
              <w:rPr>
                <w:rFonts w:ascii="Arial Narrow" w:hAnsi="Arial Narrow" w:cstheme="minorHAnsi"/>
                <w:lang w:val="es-MX"/>
              </w:rPr>
              <w:t>aprovechan las evaluaciones de cartera para identificar segmentos potenciales de crecimiento en deudores de bajo riesgo con bajo endeudamiento</w:t>
            </w:r>
          </w:p>
        </w:tc>
      </w:tr>
    </w:tbl>
    <w:p w14:paraId="0DA6D189" w14:textId="77777777" w:rsidR="00F60648" w:rsidRPr="003A7F7A" w:rsidRDefault="00F60648" w:rsidP="00F60648">
      <w:pPr>
        <w:tabs>
          <w:tab w:val="left" w:pos="1939"/>
          <w:tab w:val="left" w:pos="3312"/>
          <w:tab w:val="left" w:pos="4450"/>
          <w:tab w:val="left" w:pos="5587"/>
          <w:tab w:val="left" w:pos="6456"/>
        </w:tabs>
        <w:rPr>
          <w:rFonts w:ascii="Arial Narrow" w:hAnsi="Arial Narrow" w:cstheme="minorHAnsi"/>
          <w:lang w:val="es-MX"/>
        </w:rPr>
      </w:pPr>
    </w:p>
    <w:p w14:paraId="42FFC88C" w14:textId="4F3D945A" w:rsidR="00BA0DEA" w:rsidRPr="003A7F7A" w:rsidRDefault="00BA0DEA" w:rsidP="00BA0DEA">
      <w:pPr>
        <w:pStyle w:val="Prrafodelista"/>
        <w:numPr>
          <w:ilvl w:val="1"/>
          <w:numId w:val="29"/>
        </w:numPr>
        <w:shd w:val="clear" w:color="auto" w:fill="DBE5F1" w:themeFill="accent1" w:themeFillTint="33"/>
        <w:rPr>
          <w:rFonts w:ascii="Arial Narrow" w:hAnsi="Arial Narrow" w:cstheme="minorHAnsi"/>
          <w:b/>
          <w:sz w:val="24"/>
          <w:szCs w:val="24"/>
        </w:rPr>
      </w:pPr>
      <w:r w:rsidRPr="003A7F7A">
        <w:rPr>
          <w:rFonts w:ascii="Arial Narrow" w:hAnsi="Arial Narrow" w:cstheme="minorHAnsi"/>
          <w:b/>
          <w:sz w:val="24"/>
          <w:szCs w:val="24"/>
        </w:rPr>
        <w:t>SAR</w:t>
      </w:r>
      <w:r w:rsidRPr="003A7F7A">
        <w:rPr>
          <w:rFonts w:ascii="Arial Narrow" w:hAnsi="Arial Narrow" w:cstheme="minorHAnsi"/>
          <w:b/>
          <w:sz w:val="24"/>
          <w:szCs w:val="24"/>
        </w:rPr>
        <w:t>L</w:t>
      </w:r>
    </w:p>
    <w:p w14:paraId="69BD6864" w14:textId="77777777" w:rsidR="00BA0DEA" w:rsidRPr="003A7F7A" w:rsidRDefault="00BA0DEA" w:rsidP="00BA0DEA">
      <w:pPr>
        <w:tabs>
          <w:tab w:val="left" w:pos="1939"/>
          <w:tab w:val="left" w:pos="3312"/>
          <w:tab w:val="left" w:pos="4450"/>
          <w:tab w:val="left" w:pos="5587"/>
          <w:tab w:val="left" w:pos="6456"/>
        </w:tabs>
        <w:rPr>
          <w:rFonts w:ascii="Arial Narrow" w:hAnsi="Arial Narrow" w:cstheme="minorHAnsi"/>
          <w:lang w:val="es-MX"/>
        </w:rPr>
      </w:pPr>
    </w:p>
    <w:tbl>
      <w:tblPr>
        <w:tblStyle w:val="Tablaconcuadrcula"/>
        <w:tblW w:w="0" w:type="auto"/>
        <w:tblLook w:val="04A0" w:firstRow="1" w:lastRow="0" w:firstColumn="1" w:lastColumn="0" w:noHBand="0" w:noVBand="1"/>
      </w:tblPr>
      <w:tblGrid>
        <w:gridCol w:w="5125"/>
        <w:gridCol w:w="5125"/>
      </w:tblGrid>
      <w:tr w:rsidR="00BA0DEA" w:rsidRPr="003A7F7A" w14:paraId="1E0C9C26" w14:textId="77777777" w:rsidTr="00574610">
        <w:trPr>
          <w:tblHeader/>
        </w:trPr>
        <w:tc>
          <w:tcPr>
            <w:tcW w:w="5125" w:type="dxa"/>
            <w:shd w:val="clear" w:color="auto" w:fill="F2DBDB" w:themeFill="accent2" w:themeFillTint="33"/>
          </w:tcPr>
          <w:p w14:paraId="225AB3C0" w14:textId="77777777" w:rsidR="00BA0DEA" w:rsidRPr="003A7F7A" w:rsidRDefault="00BA0DEA" w:rsidP="00574610">
            <w:pPr>
              <w:tabs>
                <w:tab w:val="left" w:pos="1939"/>
                <w:tab w:val="left" w:pos="3312"/>
                <w:tab w:val="left" w:pos="4450"/>
                <w:tab w:val="left" w:pos="5587"/>
                <w:tab w:val="left" w:pos="6456"/>
              </w:tabs>
              <w:rPr>
                <w:rFonts w:ascii="Arial Narrow" w:hAnsi="Arial Narrow" w:cstheme="minorHAnsi"/>
                <w:b/>
                <w:bCs/>
                <w:lang w:val="es-MX"/>
              </w:rPr>
            </w:pPr>
            <w:r w:rsidRPr="003A7F7A">
              <w:rPr>
                <w:rFonts w:ascii="Arial Narrow" w:hAnsi="Arial Narrow" w:cstheme="minorHAnsi"/>
                <w:b/>
                <w:bCs/>
                <w:lang w:val="es-MX"/>
              </w:rPr>
              <w:t>FORTALEZAS</w:t>
            </w:r>
          </w:p>
        </w:tc>
        <w:tc>
          <w:tcPr>
            <w:tcW w:w="5125" w:type="dxa"/>
            <w:shd w:val="clear" w:color="auto" w:fill="F2DBDB" w:themeFill="accent2" w:themeFillTint="33"/>
          </w:tcPr>
          <w:p w14:paraId="0CAE840D" w14:textId="77777777" w:rsidR="00BA0DEA" w:rsidRPr="003A7F7A" w:rsidRDefault="00BA0DEA" w:rsidP="00574610">
            <w:pPr>
              <w:tabs>
                <w:tab w:val="left" w:pos="1939"/>
                <w:tab w:val="left" w:pos="3312"/>
                <w:tab w:val="left" w:pos="4450"/>
                <w:tab w:val="left" w:pos="5587"/>
                <w:tab w:val="left" w:pos="6456"/>
              </w:tabs>
              <w:rPr>
                <w:rFonts w:ascii="Arial Narrow" w:hAnsi="Arial Narrow" w:cstheme="minorHAnsi"/>
                <w:b/>
                <w:bCs/>
                <w:lang w:val="es-MX"/>
              </w:rPr>
            </w:pPr>
            <w:r w:rsidRPr="003A7F7A">
              <w:rPr>
                <w:rFonts w:ascii="Arial Narrow" w:hAnsi="Arial Narrow" w:cstheme="minorHAnsi"/>
                <w:b/>
                <w:bCs/>
                <w:lang w:val="es-MX"/>
              </w:rPr>
              <w:t>OPORTUNIDADES DE MEJORA</w:t>
            </w:r>
          </w:p>
        </w:tc>
      </w:tr>
      <w:tr w:rsidR="00BA0DEA" w:rsidRPr="003A7F7A" w14:paraId="16AD3BDF" w14:textId="77777777" w:rsidTr="00574610">
        <w:tc>
          <w:tcPr>
            <w:tcW w:w="5125" w:type="dxa"/>
          </w:tcPr>
          <w:p w14:paraId="64CF24D6" w14:textId="4CE2CD28" w:rsidR="00BA0DEA" w:rsidRPr="003A7F7A" w:rsidRDefault="00BA0DEA"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La entidad nunca ha presentado incumplimiento en sus pagos</w:t>
            </w:r>
            <w:r w:rsidR="00270013" w:rsidRPr="003A7F7A">
              <w:rPr>
                <w:rFonts w:ascii="Arial Narrow" w:hAnsi="Arial Narrow" w:cstheme="minorHAnsi"/>
                <w:lang w:val="es-MX"/>
              </w:rPr>
              <w:t xml:space="preserve"> o demoras en el pago a proveedores, devolución de aportes y ahorros o desembolso de créditos por falta de liquidez</w:t>
            </w:r>
          </w:p>
        </w:tc>
        <w:tc>
          <w:tcPr>
            <w:tcW w:w="5125" w:type="dxa"/>
          </w:tcPr>
          <w:p w14:paraId="79C50712" w14:textId="77777777" w:rsidR="00BA0DEA" w:rsidRPr="003A7F7A" w:rsidRDefault="00BA0DEA"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No se ha nombrado a la persona encargada de los aplicativos y verificar la actualización de la información y su reporte a las centrales de riesgo</w:t>
            </w:r>
          </w:p>
        </w:tc>
      </w:tr>
      <w:tr w:rsidR="00BA0DEA" w:rsidRPr="003A7F7A" w14:paraId="757EDF05" w14:textId="77777777" w:rsidTr="00574610">
        <w:tc>
          <w:tcPr>
            <w:tcW w:w="5125" w:type="dxa"/>
          </w:tcPr>
          <w:p w14:paraId="0EDE9715" w14:textId="24ADF06E" w:rsidR="00BA0DEA" w:rsidRPr="003A7F7A" w:rsidRDefault="00270013"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La entidad cuenta con un comité de riesgo de liquidez</w:t>
            </w:r>
          </w:p>
        </w:tc>
        <w:tc>
          <w:tcPr>
            <w:tcW w:w="5125" w:type="dxa"/>
          </w:tcPr>
          <w:p w14:paraId="0C56B588" w14:textId="16275557" w:rsidR="00BA0DEA" w:rsidRPr="003A7F7A" w:rsidRDefault="00270013"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El comité de riesgo de liquidez no se reúne mensualmente</w:t>
            </w:r>
          </w:p>
        </w:tc>
      </w:tr>
      <w:tr w:rsidR="00BA0DEA" w:rsidRPr="003A7F7A" w14:paraId="2C6431C1" w14:textId="77777777" w:rsidTr="00574610">
        <w:tc>
          <w:tcPr>
            <w:tcW w:w="5125" w:type="dxa"/>
          </w:tcPr>
          <w:p w14:paraId="1F3EC0FF" w14:textId="58405F40" w:rsidR="00BA0DEA" w:rsidRPr="003A7F7A" w:rsidRDefault="00FC3BDA"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La entidad está calculando y reportando la brecha de liquidez y el IRL</w:t>
            </w:r>
            <w:r w:rsidR="005D757A" w:rsidRPr="003A7F7A">
              <w:rPr>
                <w:rFonts w:ascii="Arial Narrow" w:hAnsi="Arial Narrow" w:cstheme="minorHAnsi"/>
                <w:lang w:val="es-MX"/>
              </w:rPr>
              <w:t xml:space="preserve"> oportunamente (mensualmente para las de primer nivel y trimestralmente para las demás entidades que captan ahorros)</w:t>
            </w:r>
          </w:p>
        </w:tc>
        <w:tc>
          <w:tcPr>
            <w:tcW w:w="5125" w:type="dxa"/>
          </w:tcPr>
          <w:p w14:paraId="457ECBFB" w14:textId="17601FDC" w:rsidR="00BA0DEA" w:rsidRPr="003A7F7A" w:rsidRDefault="00270013"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No se efectúa la capacitación anual en materia de riesgo de liquidez a directivos, comités y empleados.</w:t>
            </w:r>
          </w:p>
        </w:tc>
      </w:tr>
      <w:tr w:rsidR="00BA0DEA" w:rsidRPr="003A7F7A" w14:paraId="114B1E2A" w14:textId="77777777" w:rsidTr="00574610">
        <w:tc>
          <w:tcPr>
            <w:tcW w:w="5125" w:type="dxa"/>
          </w:tcPr>
          <w:p w14:paraId="1AD57D3A" w14:textId="6B3A9F8C" w:rsidR="00BA0DEA" w:rsidRPr="003A7F7A" w:rsidRDefault="00FC3BDA"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 xml:space="preserve">El fondo de liquidez se encuentra adecuadamente constituido y mantenido de forma permanente en los instrumentos, entidades y </w:t>
            </w:r>
            <w:r w:rsidR="0076205D" w:rsidRPr="003A7F7A">
              <w:rPr>
                <w:rFonts w:ascii="Arial Narrow" w:hAnsi="Arial Narrow" w:cstheme="minorHAnsi"/>
                <w:lang w:val="es-MX"/>
              </w:rPr>
              <w:t>porcentajes señalados por la ley y no ha sido históricamente necesario nunca su actualización</w:t>
            </w:r>
          </w:p>
        </w:tc>
        <w:tc>
          <w:tcPr>
            <w:tcW w:w="5125" w:type="dxa"/>
          </w:tcPr>
          <w:p w14:paraId="0B31D1D2" w14:textId="474DA5B5" w:rsidR="00BA0DEA" w:rsidRPr="003A7F7A" w:rsidRDefault="00270013"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 xml:space="preserve">La gerencia, </w:t>
            </w:r>
            <w:r w:rsidR="00975B95" w:rsidRPr="003A7F7A">
              <w:rPr>
                <w:rFonts w:ascii="Arial Narrow" w:hAnsi="Arial Narrow" w:cstheme="minorHAnsi"/>
                <w:lang w:val="es-MX"/>
              </w:rPr>
              <w:t>empleados, órgano de administración y miembros del comité de riesgos y de liquidez no saben interpretar el resultado de la brecha de liquidez y el IRL y no conocen su metodología de cálculo adecuadamente</w:t>
            </w:r>
          </w:p>
        </w:tc>
      </w:tr>
      <w:tr w:rsidR="00BA0DEA" w:rsidRPr="003A7F7A" w14:paraId="5F006607" w14:textId="77777777" w:rsidTr="00574610">
        <w:tc>
          <w:tcPr>
            <w:tcW w:w="5125" w:type="dxa"/>
          </w:tcPr>
          <w:p w14:paraId="09D0DF91" w14:textId="403F6DA3" w:rsidR="00BA0DEA" w:rsidRPr="003A7F7A" w:rsidRDefault="0076205D"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La entidad cuenta con cupos contingentes de crédito bancarios no utilizados y un colchón de activos líquidos netos que permite garantizar la adecuada liquidez en el corto y mediano plazo</w:t>
            </w:r>
          </w:p>
        </w:tc>
        <w:tc>
          <w:tcPr>
            <w:tcW w:w="5125" w:type="dxa"/>
          </w:tcPr>
          <w:p w14:paraId="2D1D7AE5" w14:textId="7B3C5702" w:rsidR="00BA0DEA" w:rsidRPr="003A7F7A" w:rsidRDefault="00FC3BDA"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Los integrantes del comité de riesgo de liquidez representantes del órgano de administración no disponen de tiempo suficiente para el desarrollo de las funciones del comité.</w:t>
            </w:r>
          </w:p>
        </w:tc>
      </w:tr>
      <w:tr w:rsidR="00BA0DEA" w:rsidRPr="003A7F7A" w14:paraId="0BF1BE83" w14:textId="77777777" w:rsidTr="00574610">
        <w:tc>
          <w:tcPr>
            <w:tcW w:w="5125" w:type="dxa"/>
          </w:tcPr>
          <w:p w14:paraId="2D56F548" w14:textId="33DC0E60" w:rsidR="00D85B1F" w:rsidRPr="003A7F7A" w:rsidRDefault="00D85B1F"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Se cuenta con manual SARL</w:t>
            </w:r>
          </w:p>
        </w:tc>
        <w:tc>
          <w:tcPr>
            <w:tcW w:w="5125" w:type="dxa"/>
          </w:tcPr>
          <w:p w14:paraId="7C0CA3B8" w14:textId="4484A539" w:rsidR="00BA0DEA" w:rsidRPr="003A7F7A" w:rsidRDefault="0076205D"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La misma Supersolidaria tiene vacíos conceptuales materiales sobre el cálculo e interpretación de la brecha de liquidez y algunas metodologías de proyección de los flujos de fondos en la brecha de liquidez podrían estar errados como es el caso del ahorro permanente.</w:t>
            </w:r>
          </w:p>
        </w:tc>
      </w:tr>
      <w:tr w:rsidR="00BA0DEA" w:rsidRPr="003A7F7A" w14:paraId="0201B881" w14:textId="77777777" w:rsidTr="00574610">
        <w:tc>
          <w:tcPr>
            <w:tcW w:w="5125" w:type="dxa"/>
          </w:tcPr>
          <w:p w14:paraId="54265405" w14:textId="0822E883" w:rsidR="00BA0DEA" w:rsidRPr="003A7F7A" w:rsidRDefault="00D85B1F"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Los títulos valores del fondo de liquidez son desmaterializados o están en custodia del establecimiento de crédito</w:t>
            </w:r>
          </w:p>
        </w:tc>
        <w:tc>
          <w:tcPr>
            <w:tcW w:w="5125" w:type="dxa"/>
          </w:tcPr>
          <w:p w14:paraId="5D723901" w14:textId="59775453" w:rsidR="00BA0DEA" w:rsidRPr="003A7F7A" w:rsidRDefault="0076205D"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La entidad no presenta situación de tesorería diaria a la Gerencia</w:t>
            </w:r>
          </w:p>
        </w:tc>
      </w:tr>
      <w:tr w:rsidR="00BA0DEA" w:rsidRPr="003A7F7A" w14:paraId="10C0458B" w14:textId="77777777" w:rsidTr="00574610">
        <w:tc>
          <w:tcPr>
            <w:tcW w:w="5125" w:type="dxa"/>
          </w:tcPr>
          <w:p w14:paraId="170FD7E0" w14:textId="33B1BE01" w:rsidR="00BA0DEA" w:rsidRPr="003A7F7A" w:rsidRDefault="00D85B1F"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El indicador de solvencia – solidez y las normas prudenciales de concentración individual se calculan correctamente y se cumplen los limites</w:t>
            </w:r>
          </w:p>
        </w:tc>
        <w:tc>
          <w:tcPr>
            <w:tcW w:w="5125" w:type="dxa"/>
          </w:tcPr>
          <w:p w14:paraId="55D969E4" w14:textId="16071423" w:rsidR="00BA0DEA" w:rsidRPr="003A7F7A" w:rsidRDefault="0076205D"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La entidad no prepara flujos de caja, semanales, mensuales, ni siquiera anuales</w:t>
            </w:r>
          </w:p>
        </w:tc>
      </w:tr>
      <w:tr w:rsidR="00BA0DEA" w:rsidRPr="003A7F7A" w14:paraId="71512F5E" w14:textId="77777777" w:rsidTr="00574610">
        <w:tc>
          <w:tcPr>
            <w:tcW w:w="5125" w:type="dxa"/>
          </w:tcPr>
          <w:p w14:paraId="3B38A6AF" w14:textId="693B0415" w:rsidR="00BA0DEA" w:rsidRPr="003A7F7A" w:rsidRDefault="00FB5E46"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lastRenderedPageBreak/>
              <w:t>La Brecha de liquidez siempre es positiva y el IRL es superior a 110 en todas las bandas.</w:t>
            </w:r>
          </w:p>
        </w:tc>
        <w:tc>
          <w:tcPr>
            <w:tcW w:w="5125" w:type="dxa"/>
          </w:tcPr>
          <w:p w14:paraId="075F6277" w14:textId="67726C06" w:rsidR="00BA0DEA" w:rsidRPr="003A7F7A" w:rsidRDefault="00D85B1F"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La entidad no está efectuando las pruebas de estrés sobre la brecha de liquidez y el IRL</w:t>
            </w:r>
          </w:p>
        </w:tc>
      </w:tr>
      <w:tr w:rsidR="00BA0DEA" w:rsidRPr="003A7F7A" w14:paraId="34732346" w14:textId="77777777" w:rsidTr="00574610">
        <w:tc>
          <w:tcPr>
            <w:tcW w:w="5125" w:type="dxa"/>
          </w:tcPr>
          <w:p w14:paraId="52931592" w14:textId="06E0F72A" w:rsidR="00BA0DEA" w:rsidRPr="003A7F7A" w:rsidRDefault="00455699"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Se presenta anualmente la revelación sobre la gestión del riesgo de liquidez tanto en el informe de gestión como en las revelaciones</w:t>
            </w:r>
            <w:r w:rsidR="00C10843" w:rsidRPr="003A7F7A">
              <w:rPr>
                <w:rFonts w:ascii="Arial Narrow" w:hAnsi="Arial Narrow" w:cstheme="minorHAnsi"/>
                <w:lang w:val="es-MX"/>
              </w:rPr>
              <w:t>, sobre el nivel de riesgo, las mediciones, los mecanismos de gestión del mismo.</w:t>
            </w:r>
          </w:p>
        </w:tc>
        <w:tc>
          <w:tcPr>
            <w:tcW w:w="5125" w:type="dxa"/>
          </w:tcPr>
          <w:p w14:paraId="6FAF5595" w14:textId="77F3EF43" w:rsidR="00BA0DEA" w:rsidRPr="003A7F7A" w:rsidRDefault="00D85B1F"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 xml:space="preserve">La entidad no hace seguimiento a los indicadores de liquidez diseñados por la SES ni cuenta con otros indicadores propios definiendo apetito, </w:t>
            </w:r>
            <w:r w:rsidR="009A2531" w:rsidRPr="003A7F7A">
              <w:rPr>
                <w:rFonts w:ascii="Arial Narrow" w:hAnsi="Arial Narrow" w:cstheme="minorHAnsi"/>
                <w:lang w:val="es-MX"/>
              </w:rPr>
              <w:t>límites</w:t>
            </w:r>
            <w:r w:rsidRPr="003A7F7A">
              <w:rPr>
                <w:rFonts w:ascii="Arial Narrow" w:hAnsi="Arial Narrow" w:cstheme="minorHAnsi"/>
                <w:lang w:val="es-MX"/>
              </w:rPr>
              <w:t xml:space="preserve"> y tolerancia.</w:t>
            </w:r>
          </w:p>
        </w:tc>
      </w:tr>
      <w:tr w:rsidR="00BA0DEA" w:rsidRPr="003A7F7A" w14:paraId="10DC012E" w14:textId="77777777" w:rsidTr="00574610">
        <w:tc>
          <w:tcPr>
            <w:tcW w:w="5125" w:type="dxa"/>
          </w:tcPr>
          <w:p w14:paraId="401D0EDE" w14:textId="31A2F325" w:rsidR="00BA0DEA" w:rsidRPr="003A7F7A" w:rsidRDefault="004B6D3F" w:rsidP="00574610">
            <w:pPr>
              <w:tabs>
                <w:tab w:val="left" w:pos="1939"/>
                <w:tab w:val="left" w:pos="3312"/>
                <w:tab w:val="left" w:pos="4450"/>
                <w:tab w:val="left" w:pos="5587"/>
                <w:tab w:val="left" w:pos="6456"/>
              </w:tabs>
              <w:jc w:val="both"/>
              <w:rPr>
                <w:rFonts w:ascii="Arial Narrow" w:hAnsi="Arial Narrow" w:cstheme="minorHAnsi"/>
                <w:lang w:val="es-MX"/>
              </w:rPr>
            </w:pPr>
            <w:r>
              <w:rPr>
                <w:rFonts w:ascii="Arial Narrow" w:hAnsi="Arial Narrow" w:cstheme="minorHAnsi"/>
                <w:lang w:val="es-MX"/>
              </w:rPr>
              <w:t>La mayoría de los recaudos se efectúan por libranza</w:t>
            </w:r>
          </w:p>
        </w:tc>
        <w:tc>
          <w:tcPr>
            <w:tcW w:w="5125" w:type="dxa"/>
          </w:tcPr>
          <w:p w14:paraId="35D03DB4" w14:textId="03377B92" w:rsidR="00BA0DEA" w:rsidRPr="003A7F7A" w:rsidRDefault="00D85B1F"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No se cuenta con matriz SARL</w:t>
            </w:r>
          </w:p>
        </w:tc>
      </w:tr>
      <w:tr w:rsidR="00BA0DEA" w:rsidRPr="003A7F7A" w14:paraId="09D4EE24" w14:textId="77777777" w:rsidTr="00574610">
        <w:tc>
          <w:tcPr>
            <w:tcW w:w="5125" w:type="dxa"/>
          </w:tcPr>
          <w:p w14:paraId="6325EC91" w14:textId="214F1E9D" w:rsidR="00BA0DEA" w:rsidRPr="003A7F7A" w:rsidRDefault="004B6D3F" w:rsidP="00574610">
            <w:pPr>
              <w:tabs>
                <w:tab w:val="left" w:pos="1939"/>
                <w:tab w:val="left" w:pos="3312"/>
                <w:tab w:val="left" w:pos="4450"/>
                <w:tab w:val="left" w:pos="5587"/>
                <w:tab w:val="left" w:pos="6456"/>
              </w:tabs>
              <w:jc w:val="both"/>
              <w:rPr>
                <w:rFonts w:ascii="Arial Narrow" w:hAnsi="Arial Narrow" w:cstheme="minorHAnsi"/>
                <w:lang w:val="es-MX"/>
              </w:rPr>
            </w:pPr>
            <w:r>
              <w:rPr>
                <w:rFonts w:ascii="Arial Narrow" w:hAnsi="Arial Narrow" w:cstheme="minorHAnsi"/>
                <w:lang w:val="es-MX"/>
              </w:rPr>
              <w:t xml:space="preserve">No se han presentado atrasos en los recaudos </w:t>
            </w:r>
            <w:r w:rsidR="00B8272C">
              <w:rPr>
                <w:rFonts w:ascii="Arial Narrow" w:hAnsi="Arial Narrow" w:cstheme="minorHAnsi"/>
                <w:lang w:val="es-MX"/>
              </w:rPr>
              <w:t>por libranza de créditos, aportes y ahorros</w:t>
            </w:r>
          </w:p>
        </w:tc>
        <w:tc>
          <w:tcPr>
            <w:tcW w:w="5125" w:type="dxa"/>
          </w:tcPr>
          <w:p w14:paraId="40F172FB" w14:textId="4F6F7A6E" w:rsidR="00BA0DEA" w:rsidRPr="003A7F7A" w:rsidRDefault="00D85B1F"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No se están imprimiendo y firmando los formatos de brecha de liquidez, IRL y fondo de liquidez</w:t>
            </w:r>
          </w:p>
        </w:tc>
      </w:tr>
      <w:tr w:rsidR="00BA0DEA" w:rsidRPr="003A7F7A" w14:paraId="583F2433" w14:textId="77777777" w:rsidTr="00574610">
        <w:tc>
          <w:tcPr>
            <w:tcW w:w="5125" w:type="dxa"/>
          </w:tcPr>
          <w:p w14:paraId="48C07E38" w14:textId="33BFBC3B" w:rsidR="00BA0DEA" w:rsidRPr="003A7F7A" w:rsidRDefault="00B8272C" w:rsidP="00574610">
            <w:pPr>
              <w:tabs>
                <w:tab w:val="left" w:pos="1939"/>
                <w:tab w:val="left" w:pos="3312"/>
                <w:tab w:val="left" w:pos="4450"/>
                <w:tab w:val="left" w:pos="5587"/>
                <w:tab w:val="left" w:pos="6456"/>
              </w:tabs>
              <w:jc w:val="both"/>
              <w:rPr>
                <w:rFonts w:ascii="Arial Narrow" w:hAnsi="Arial Narrow" w:cstheme="minorHAnsi"/>
                <w:lang w:val="es-MX"/>
              </w:rPr>
            </w:pPr>
            <w:r>
              <w:rPr>
                <w:rFonts w:ascii="Arial Narrow" w:hAnsi="Arial Narrow" w:cstheme="minorHAnsi"/>
                <w:lang w:val="es-MX"/>
              </w:rPr>
              <w:t>Las empresas patronales presentan una solida situación financiera y perspectivas favorables en el corto plazo.</w:t>
            </w:r>
          </w:p>
        </w:tc>
        <w:tc>
          <w:tcPr>
            <w:tcW w:w="5125" w:type="dxa"/>
          </w:tcPr>
          <w:p w14:paraId="1BB70B74" w14:textId="46421F79" w:rsidR="00BA0DEA" w:rsidRPr="003A7F7A" w:rsidRDefault="005D757A"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 xml:space="preserve">No se evidencia en las actas del órgano de administración el </w:t>
            </w:r>
            <w:r w:rsidR="00FB5E46" w:rsidRPr="003A7F7A">
              <w:rPr>
                <w:rFonts w:ascii="Arial Narrow" w:hAnsi="Arial Narrow" w:cstheme="minorHAnsi"/>
                <w:lang w:val="es-MX"/>
              </w:rPr>
              <w:t>informe y análisis de la medición del riesgo de liquidez brecha, IRL etc.</w:t>
            </w:r>
          </w:p>
        </w:tc>
      </w:tr>
      <w:tr w:rsidR="00BA0DEA" w:rsidRPr="003A7F7A" w14:paraId="6BBF3CDC" w14:textId="77777777" w:rsidTr="00574610">
        <w:tc>
          <w:tcPr>
            <w:tcW w:w="5125" w:type="dxa"/>
          </w:tcPr>
          <w:p w14:paraId="095CA82D" w14:textId="6B2FE14F" w:rsidR="00BA0DEA" w:rsidRPr="003A7F7A" w:rsidRDefault="00B8272C" w:rsidP="00574610">
            <w:pPr>
              <w:tabs>
                <w:tab w:val="left" w:pos="1939"/>
                <w:tab w:val="left" w:pos="3312"/>
                <w:tab w:val="left" w:pos="4450"/>
                <w:tab w:val="left" w:pos="5587"/>
                <w:tab w:val="left" w:pos="6456"/>
              </w:tabs>
              <w:jc w:val="both"/>
              <w:rPr>
                <w:rFonts w:ascii="Arial Narrow" w:hAnsi="Arial Narrow" w:cstheme="minorHAnsi"/>
                <w:lang w:val="es-MX"/>
              </w:rPr>
            </w:pPr>
            <w:r>
              <w:rPr>
                <w:rFonts w:ascii="Arial Narrow" w:hAnsi="Arial Narrow" w:cstheme="minorHAnsi"/>
                <w:lang w:val="es-MX"/>
              </w:rPr>
              <w:t xml:space="preserve">Los indicadores de morosidad de cartera son bajos y la tasa de </w:t>
            </w:r>
            <w:r w:rsidR="00770686">
              <w:rPr>
                <w:rFonts w:ascii="Arial Narrow" w:hAnsi="Arial Narrow" w:cstheme="minorHAnsi"/>
                <w:lang w:val="es-MX"/>
              </w:rPr>
              <w:t>rotación de los asociados baja con una tasa de renovación de depósitos alta.</w:t>
            </w:r>
          </w:p>
        </w:tc>
        <w:tc>
          <w:tcPr>
            <w:tcW w:w="5125" w:type="dxa"/>
          </w:tcPr>
          <w:p w14:paraId="42AC6C30" w14:textId="5BA49E2F" w:rsidR="00BA0DEA" w:rsidRPr="003A7F7A" w:rsidRDefault="009A2531"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No se cuenta con un plan de contingencia para el manejo de la liquidez</w:t>
            </w:r>
          </w:p>
        </w:tc>
      </w:tr>
    </w:tbl>
    <w:p w14:paraId="05462397" w14:textId="77777777" w:rsidR="00F60648" w:rsidRPr="003A7F7A" w:rsidRDefault="00F60648" w:rsidP="00554A30">
      <w:pPr>
        <w:tabs>
          <w:tab w:val="left" w:pos="1939"/>
          <w:tab w:val="left" w:pos="3312"/>
          <w:tab w:val="left" w:pos="4450"/>
          <w:tab w:val="left" w:pos="5587"/>
          <w:tab w:val="left" w:pos="6456"/>
        </w:tabs>
        <w:rPr>
          <w:rFonts w:ascii="Arial Narrow" w:hAnsi="Arial Narrow" w:cstheme="minorHAnsi"/>
          <w:lang w:val="es-MX"/>
        </w:rPr>
      </w:pPr>
    </w:p>
    <w:p w14:paraId="6150CA03" w14:textId="77777777" w:rsidR="009A2531" w:rsidRPr="003A7F7A" w:rsidRDefault="009A2531" w:rsidP="009A2531">
      <w:pPr>
        <w:tabs>
          <w:tab w:val="left" w:pos="1939"/>
          <w:tab w:val="left" w:pos="3312"/>
          <w:tab w:val="left" w:pos="4450"/>
          <w:tab w:val="left" w:pos="5587"/>
          <w:tab w:val="left" w:pos="6456"/>
        </w:tabs>
        <w:rPr>
          <w:rFonts w:ascii="Arial Narrow" w:hAnsi="Arial Narrow" w:cstheme="minorHAnsi"/>
          <w:lang w:val="es-MX"/>
        </w:rPr>
      </w:pPr>
    </w:p>
    <w:p w14:paraId="7362CC4C" w14:textId="7FD68209" w:rsidR="009A2531" w:rsidRPr="003A7F7A" w:rsidRDefault="009A2531" w:rsidP="009A2531">
      <w:pPr>
        <w:pStyle w:val="Prrafodelista"/>
        <w:numPr>
          <w:ilvl w:val="1"/>
          <w:numId w:val="29"/>
        </w:numPr>
        <w:shd w:val="clear" w:color="auto" w:fill="DBE5F1" w:themeFill="accent1" w:themeFillTint="33"/>
        <w:rPr>
          <w:rFonts w:ascii="Arial Narrow" w:hAnsi="Arial Narrow" w:cstheme="minorHAnsi"/>
          <w:b/>
          <w:sz w:val="24"/>
          <w:szCs w:val="24"/>
        </w:rPr>
      </w:pPr>
      <w:r w:rsidRPr="003A7F7A">
        <w:rPr>
          <w:rFonts w:ascii="Arial Narrow" w:hAnsi="Arial Narrow" w:cstheme="minorHAnsi"/>
          <w:b/>
          <w:sz w:val="24"/>
          <w:szCs w:val="24"/>
        </w:rPr>
        <w:t>SARL</w:t>
      </w:r>
      <w:r w:rsidRPr="003A7F7A">
        <w:rPr>
          <w:rFonts w:ascii="Arial Narrow" w:hAnsi="Arial Narrow" w:cstheme="minorHAnsi"/>
          <w:b/>
          <w:sz w:val="24"/>
          <w:szCs w:val="24"/>
        </w:rPr>
        <w:t>AFT</w:t>
      </w:r>
    </w:p>
    <w:p w14:paraId="30447F70" w14:textId="77777777" w:rsidR="009A2531" w:rsidRPr="003A7F7A" w:rsidRDefault="009A2531" w:rsidP="009A2531">
      <w:pPr>
        <w:tabs>
          <w:tab w:val="left" w:pos="1939"/>
          <w:tab w:val="left" w:pos="3312"/>
          <w:tab w:val="left" w:pos="4450"/>
          <w:tab w:val="left" w:pos="5587"/>
          <w:tab w:val="left" w:pos="6456"/>
        </w:tabs>
        <w:rPr>
          <w:rFonts w:ascii="Arial Narrow" w:hAnsi="Arial Narrow" w:cstheme="minorHAnsi"/>
          <w:lang w:val="es-MX"/>
        </w:rPr>
      </w:pPr>
    </w:p>
    <w:tbl>
      <w:tblPr>
        <w:tblStyle w:val="Tablaconcuadrcula"/>
        <w:tblW w:w="0" w:type="auto"/>
        <w:tblLook w:val="04A0" w:firstRow="1" w:lastRow="0" w:firstColumn="1" w:lastColumn="0" w:noHBand="0" w:noVBand="1"/>
      </w:tblPr>
      <w:tblGrid>
        <w:gridCol w:w="5125"/>
        <w:gridCol w:w="5125"/>
      </w:tblGrid>
      <w:tr w:rsidR="009A2531" w:rsidRPr="003A7F7A" w14:paraId="2FDD7D6E" w14:textId="77777777" w:rsidTr="00574610">
        <w:trPr>
          <w:tblHeader/>
        </w:trPr>
        <w:tc>
          <w:tcPr>
            <w:tcW w:w="5125" w:type="dxa"/>
            <w:shd w:val="clear" w:color="auto" w:fill="F2DBDB" w:themeFill="accent2" w:themeFillTint="33"/>
          </w:tcPr>
          <w:p w14:paraId="4ED9C108" w14:textId="77777777" w:rsidR="009A2531" w:rsidRPr="003A7F7A" w:rsidRDefault="009A2531" w:rsidP="00574610">
            <w:pPr>
              <w:tabs>
                <w:tab w:val="left" w:pos="1939"/>
                <w:tab w:val="left" w:pos="3312"/>
                <w:tab w:val="left" w:pos="4450"/>
                <w:tab w:val="left" w:pos="5587"/>
                <w:tab w:val="left" w:pos="6456"/>
              </w:tabs>
              <w:rPr>
                <w:rFonts w:ascii="Arial Narrow" w:hAnsi="Arial Narrow" w:cstheme="minorHAnsi"/>
                <w:b/>
                <w:bCs/>
                <w:lang w:val="es-MX"/>
              </w:rPr>
            </w:pPr>
            <w:r w:rsidRPr="003A7F7A">
              <w:rPr>
                <w:rFonts w:ascii="Arial Narrow" w:hAnsi="Arial Narrow" w:cstheme="minorHAnsi"/>
                <w:b/>
                <w:bCs/>
                <w:lang w:val="es-MX"/>
              </w:rPr>
              <w:t>FORTALEZAS</w:t>
            </w:r>
          </w:p>
        </w:tc>
        <w:tc>
          <w:tcPr>
            <w:tcW w:w="5125" w:type="dxa"/>
            <w:shd w:val="clear" w:color="auto" w:fill="F2DBDB" w:themeFill="accent2" w:themeFillTint="33"/>
          </w:tcPr>
          <w:p w14:paraId="12CF257A" w14:textId="77777777" w:rsidR="009A2531" w:rsidRPr="003A7F7A" w:rsidRDefault="009A2531" w:rsidP="00574610">
            <w:pPr>
              <w:tabs>
                <w:tab w:val="left" w:pos="1939"/>
                <w:tab w:val="left" w:pos="3312"/>
                <w:tab w:val="left" w:pos="4450"/>
                <w:tab w:val="left" w:pos="5587"/>
                <w:tab w:val="left" w:pos="6456"/>
              </w:tabs>
              <w:rPr>
                <w:rFonts w:ascii="Arial Narrow" w:hAnsi="Arial Narrow" w:cstheme="minorHAnsi"/>
                <w:b/>
                <w:bCs/>
                <w:lang w:val="es-MX"/>
              </w:rPr>
            </w:pPr>
            <w:r w:rsidRPr="003A7F7A">
              <w:rPr>
                <w:rFonts w:ascii="Arial Narrow" w:hAnsi="Arial Narrow" w:cstheme="minorHAnsi"/>
                <w:b/>
                <w:bCs/>
                <w:lang w:val="es-MX"/>
              </w:rPr>
              <w:t>OPORTUNIDADES DE MEJORA</w:t>
            </w:r>
          </w:p>
        </w:tc>
      </w:tr>
      <w:tr w:rsidR="009A2531" w:rsidRPr="003A7F7A" w14:paraId="5AD14899" w14:textId="77777777" w:rsidTr="00574610">
        <w:tc>
          <w:tcPr>
            <w:tcW w:w="5125" w:type="dxa"/>
          </w:tcPr>
          <w:p w14:paraId="5F21C312" w14:textId="13ABD7DC" w:rsidR="00812D5C" w:rsidRPr="003A7F7A" w:rsidRDefault="00133DDF"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Se cuenta con matriz y manual SARLAFT</w:t>
            </w:r>
            <w:r w:rsidR="00812D5C" w:rsidRPr="003A7F7A">
              <w:rPr>
                <w:rFonts w:ascii="Arial Narrow" w:hAnsi="Arial Narrow" w:cstheme="minorHAnsi"/>
                <w:lang w:val="es-MX"/>
              </w:rPr>
              <w:t xml:space="preserve"> y con oficial de cumplimiento (o persona encargada) designado</w:t>
            </w:r>
            <w:r w:rsidR="00242948" w:rsidRPr="003A7F7A">
              <w:rPr>
                <w:rFonts w:ascii="Arial Narrow" w:hAnsi="Arial Narrow" w:cstheme="minorHAnsi"/>
                <w:lang w:val="es-MX"/>
              </w:rPr>
              <w:t xml:space="preserve"> con el lleno de todos los requisitos</w:t>
            </w:r>
          </w:p>
        </w:tc>
        <w:tc>
          <w:tcPr>
            <w:tcW w:w="5125" w:type="dxa"/>
          </w:tcPr>
          <w:p w14:paraId="2D4568C6" w14:textId="67A1486F" w:rsidR="009A2531" w:rsidRPr="003A7F7A" w:rsidRDefault="009A2531"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Algunos asociados se niegan a diligenciar espacios en el formato de vinculación, especialmente los referidos a actividad económica</w:t>
            </w:r>
            <w:r w:rsidR="00CD01E6" w:rsidRPr="003A7F7A">
              <w:rPr>
                <w:rFonts w:ascii="Arial Narrow" w:hAnsi="Arial Narrow" w:cstheme="minorHAnsi"/>
                <w:lang w:val="es-MX"/>
              </w:rPr>
              <w:t xml:space="preserve"> y datos sobre activos, pasivos, ingresos, gastos.</w:t>
            </w:r>
          </w:p>
        </w:tc>
      </w:tr>
      <w:tr w:rsidR="009A2531" w:rsidRPr="003A7F7A" w14:paraId="12D30A76" w14:textId="77777777" w:rsidTr="00574610">
        <w:tc>
          <w:tcPr>
            <w:tcW w:w="5125" w:type="dxa"/>
          </w:tcPr>
          <w:p w14:paraId="29DAF92A" w14:textId="15D96870" w:rsidR="009A2531" w:rsidRPr="003A7F7A" w:rsidRDefault="00242948"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El aplicativo permite exportar información a Excel que luego pueda consolidarse para el monitoreo transaccional</w:t>
            </w:r>
          </w:p>
        </w:tc>
        <w:tc>
          <w:tcPr>
            <w:tcW w:w="5125" w:type="dxa"/>
          </w:tcPr>
          <w:p w14:paraId="50958318" w14:textId="4E8F5949" w:rsidR="009A2531" w:rsidRPr="003A7F7A" w:rsidRDefault="00CD01E6"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No se ha logrado la actualización anual de los asociados inactivos</w:t>
            </w:r>
          </w:p>
        </w:tc>
      </w:tr>
      <w:tr w:rsidR="009A2531" w:rsidRPr="003A7F7A" w14:paraId="5034E5D3" w14:textId="77777777" w:rsidTr="00574610">
        <w:tc>
          <w:tcPr>
            <w:tcW w:w="5125" w:type="dxa"/>
          </w:tcPr>
          <w:p w14:paraId="45450312" w14:textId="0B7F72A6" w:rsidR="009A2531" w:rsidRPr="003A7F7A" w:rsidRDefault="00242948"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 xml:space="preserve">Se efectúa anualmente la capacitación del SARLAFT </w:t>
            </w:r>
          </w:p>
        </w:tc>
        <w:tc>
          <w:tcPr>
            <w:tcW w:w="5125" w:type="dxa"/>
          </w:tcPr>
          <w:p w14:paraId="039397D8" w14:textId="17B23726" w:rsidR="009A2531" w:rsidRPr="003A7F7A" w:rsidRDefault="00133DDF"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No se revisa y actualiza anualmente la matriz SARLAFT</w:t>
            </w:r>
          </w:p>
        </w:tc>
      </w:tr>
      <w:tr w:rsidR="009A2531" w:rsidRPr="003A7F7A" w14:paraId="2A772911" w14:textId="77777777" w:rsidTr="00574610">
        <w:tc>
          <w:tcPr>
            <w:tcW w:w="5125" w:type="dxa"/>
          </w:tcPr>
          <w:p w14:paraId="1861BDE0" w14:textId="10157F39" w:rsidR="009A2531" w:rsidRPr="003A7F7A" w:rsidRDefault="002A62F3"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Se cuenta con consulta no solo a listas vinculantes y restrictivas sino a una gran cantidad de listas de riesgos que permiten identificar además los PEP a quienes se les hace diligencia y monitoreo más exigente-</w:t>
            </w:r>
          </w:p>
        </w:tc>
        <w:tc>
          <w:tcPr>
            <w:tcW w:w="5125" w:type="dxa"/>
          </w:tcPr>
          <w:p w14:paraId="78BDF544" w14:textId="5883817B" w:rsidR="009A2531" w:rsidRPr="003A7F7A" w:rsidRDefault="00242948"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La entidad no cuenta con una segmentación actualizada anualmente que permita definir los niveles “usuales” de operación</w:t>
            </w:r>
          </w:p>
        </w:tc>
      </w:tr>
      <w:tr w:rsidR="009A2531" w:rsidRPr="003A7F7A" w14:paraId="34CFE719" w14:textId="77777777" w:rsidTr="00574610">
        <w:tc>
          <w:tcPr>
            <w:tcW w:w="5125" w:type="dxa"/>
          </w:tcPr>
          <w:p w14:paraId="386F324A" w14:textId="58C5E48A" w:rsidR="009A2531" w:rsidRPr="003A7F7A" w:rsidRDefault="00CD7722"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El riesgo inherente de SARLAFT es bajo porque la fuente de ingresos es fácilmente verificable y el perfil de asociado es de bajo riesgo</w:t>
            </w:r>
          </w:p>
        </w:tc>
        <w:tc>
          <w:tcPr>
            <w:tcW w:w="5125" w:type="dxa"/>
          </w:tcPr>
          <w:p w14:paraId="1CE914CE" w14:textId="772845A2" w:rsidR="009A2531" w:rsidRPr="003A7F7A" w:rsidRDefault="00242948"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No se deja evidencia de la capacitación sobre SARLAFT que debe impartirse al momento de la vinculación de nuevos empleados.</w:t>
            </w:r>
          </w:p>
        </w:tc>
      </w:tr>
      <w:tr w:rsidR="009A2531" w:rsidRPr="003A7F7A" w14:paraId="04611896" w14:textId="77777777" w:rsidTr="00574610">
        <w:tc>
          <w:tcPr>
            <w:tcW w:w="5125" w:type="dxa"/>
          </w:tcPr>
          <w:p w14:paraId="26E16FC4" w14:textId="68C60CB9" w:rsidR="009A2531" w:rsidRPr="003A7F7A" w:rsidRDefault="00455699"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Se hacen oportunamente los reportes a la UIAF de manera completa y correcta</w:t>
            </w:r>
          </w:p>
        </w:tc>
        <w:tc>
          <w:tcPr>
            <w:tcW w:w="5125" w:type="dxa"/>
          </w:tcPr>
          <w:p w14:paraId="31898932" w14:textId="58F48D93" w:rsidR="009A2531" w:rsidRPr="003A7F7A" w:rsidRDefault="002A62F3"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El ingreso de los PEP no está siendo autorizado por el órgano de administración</w:t>
            </w:r>
          </w:p>
        </w:tc>
      </w:tr>
      <w:tr w:rsidR="009A2531" w:rsidRPr="003A7F7A" w14:paraId="7BF818A7" w14:textId="77777777" w:rsidTr="00574610">
        <w:tc>
          <w:tcPr>
            <w:tcW w:w="5125" w:type="dxa"/>
          </w:tcPr>
          <w:p w14:paraId="1BF8E8AB" w14:textId="1EE4E57F" w:rsidR="009A2531" w:rsidRPr="003A7F7A" w:rsidRDefault="00C10843"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No se han presentado transacciones sospechosas hasta la fecha</w:t>
            </w:r>
          </w:p>
        </w:tc>
        <w:tc>
          <w:tcPr>
            <w:tcW w:w="5125" w:type="dxa"/>
          </w:tcPr>
          <w:p w14:paraId="3702A81C" w14:textId="2D58A1C7" w:rsidR="009A2531" w:rsidRPr="003A7F7A" w:rsidRDefault="009A2531" w:rsidP="00574610">
            <w:pPr>
              <w:tabs>
                <w:tab w:val="left" w:pos="1939"/>
                <w:tab w:val="left" w:pos="3312"/>
                <w:tab w:val="left" w:pos="4450"/>
                <w:tab w:val="left" w:pos="5587"/>
                <w:tab w:val="left" w:pos="6456"/>
              </w:tabs>
              <w:jc w:val="both"/>
              <w:rPr>
                <w:rFonts w:ascii="Arial Narrow" w:hAnsi="Arial Narrow" w:cstheme="minorHAnsi"/>
                <w:lang w:val="es-MX"/>
              </w:rPr>
            </w:pPr>
          </w:p>
        </w:tc>
      </w:tr>
      <w:tr w:rsidR="009A2531" w:rsidRPr="003A7F7A" w14:paraId="009C644F" w14:textId="77777777" w:rsidTr="00574610">
        <w:tc>
          <w:tcPr>
            <w:tcW w:w="5125" w:type="dxa"/>
          </w:tcPr>
          <w:p w14:paraId="77D6C0BE" w14:textId="5234F68B" w:rsidR="009A2531" w:rsidRPr="003A7F7A" w:rsidRDefault="00C10843"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La entidad no realiza operaciones en efectivo frecuentemente ni por cuantías elevadas</w:t>
            </w:r>
          </w:p>
        </w:tc>
        <w:tc>
          <w:tcPr>
            <w:tcW w:w="5125" w:type="dxa"/>
          </w:tcPr>
          <w:p w14:paraId="04AD1F74" w14:textId="769C59E2" w:rsidR="009A2531" w:rsidRPr="003A7F7A" w:rsidRDefault="009A2531" w:rsidP="00574610">
            <w:pPr>
              <w:tabs>
                <w:tab w:val="left" w:pos="1939"/>
                <w:tab w:val="left" w:pos="3312"/>
                <w:tab w:val="left" w:pos="4450"/>
                <w:tab w:val="left" w:pos="5587"/>
                <w:tab w:val="left" w:pos="6456"/>
              </w:tabs>
              <w:jc w:val="both"/>
              <w:rPr>
                <w:rFonts w:ascii="Arial Narrow" w:hAnsi="Arial Narrow" w:cstheme="minorHAnsi"/>
                <w:lang w:val="es-MX"/>
              </w:rPr>
            </w:pPr>
          </w:p>
        </w:tc>
      </w:tr>
    </w:tbl>
    <w:p w14:paraId="55D8043F" w14:textId="77777777" w:rsidR="009A2531" w:rsidRPr="003A7F7A" w:rsidRDefault="009A2531" w:rsidP="009A2531">
      <w:pPr>
        <w:tabs>
          <w:tab w:val="left" w:pos="1939"/>
          <w:tab w:val="left" w:pos="3312"/>
          <w:tab w:val="left" w:pos="4450"/>
          <w:tab w:val="left" w:pos="5587"/>
          <w:tab w:val="left" w:pos="6456"/>
        </w:tabs>
        <w:rPr>
          <w:rFonts w:ascii="Arial Narrow" w:hAnsi="Arial Narrow" w:cstheme="minorHAnsi"/>
          <w:lang w:val="es-MX"/>
        </w:rPr>
      </w:pPr>
    </w:p>
    <w:p w14:paraId="3FC35368" w14:textId="2265C77C" w:rsidR="00726929" w:rsidRPr="003A7F7A" w:rsidRDefault="00726929">
      <w:pPr>
        <w:rPr>
          <w:rFonts w:ascii="Arial Narrow" w:hAnsi="Arial Narrow" w:cstheme="minorHAnsi"/>
          <w:lang w:val="es-MX"/>
        </w:rPr>
      </w:pPr>
      <w:r w:rsidRPr="003A7F7A">
        <w:rPr>
          <w:rFonts w:ascii="Arial Narrow" w:hAnsi="Arial Narrow" w:cstheme="minorHAnsi"/>
          <w:lang w:val="es-MX"/>
        </w:rPr>
        <w:br w:type="page"/>
      </w:r>
    </w:p>
    <w:p w14:paraId="35A2965F" w14:textId="77777777" w:rsidR="00726929" w:rsidRPr="003A7F7A" w:rsidRDefault="00726929" w:rsidP="009A2531">
      <w:pPr>
        <w:tabs>
          <w:tab w:val="left" w:pos="1939"/>
          <w:tab w:val="left" w:pos="3312"/>
          <w:tab w:val="left" w:pos="4450"/>
          <w:tab w:val="left" w:pos="5587"/>
          <w:tab w:val="left" w:pos="6456"/>
        </w:tabs>
        <w:rPr>
          <w:rFonts w:ascii="Arial Narrow" w:hAnsi="Arial Narrow" w:cstheme="minorHAnsi"/>
          <w:lang w:val="es-MX"/>
        </w:rPr>
      </w:pPr>
    </w:p>
    <w:p w14:paraId="19D77895" w14:textId="77777777" w:rsidR="00726929" w:rsidRPr="003A7F7A" w:rsidRDefault="00726929" w:rsidP="00726929">
      <w:pPr>
        <w:tabs>
          <w:tab w:val="left" w:pos="1939"/>
          <w:tab w:val="left" w:pos="3312"/>
          <w:tab w:val="left" w:pos="4450"/>
          <w:tab w:val="left" w:pos="5587"/>
          <w:tab w:val="left" w:pos="6456"/>
        </w:tabs>
        <w:rPr>
          <w:rFonts w:ascii="Arial Narrow" w:hAnsi="Arial Narrow" w:cstheme="minorHAnsi"/>
          <w:lang w:val="es-MX"/>
        </w:rPr>
      </w:pPr>
    </w:p>
    <w:p w14:paraId="7A39BC26" w14:textId="071830BB" w:rsidR="00726929" w:rsidRPr="003A7F7A" w:rsidRDefault="00726929" w:rsidP="00726929">
      <w:pPr>
        <w:pStyle w:val="Prrafodelista"/>
        <w:numPr>
          <w:ilvl w:val="1"/>
          <w:numId w:val="29"/>
        </w:numPr>
        <w:shd w:val="clear" w:color="auto" w:fill="DBE5F1" w:themeFill="accent1" w:themeFillTint="33"/>
        <w:rPr>
          <w:rFonts w:ascii="Arial Narrow" w:hAnsi="Arial Narrow" w:cstheme="minorHAnsi"/>
          <w:b/>
          <w:sz w:val="24"/>
          <w:szCs w:val="24"/>
        </w:rPr>
      </w:pPr>
      <w:r w:rsidRPr="003A7F7A">
        <w:rPr>
          <w:rFonts w:ascii="Arial Narrow" w:hAnsi="Arial Narrow" w:cstheme="minorHAnsi"/>
          <w:b/>
          <w:sz w:val="24"/>
          <w:szCs w:val="24"/>
        </w:rPr>
        <w:t>SARO</w:t>
      </w:r>
    </w:p>
    <w:p w14:paraId="13F3FDB6" w14:textId="77777777" w:rsidR="00726929" w:rsidRPr="003A7F7A" w:rsidRDefault="00726929" w:rsidP="00726929">
      <w:pPr>
        <w:tabs>
          <w:tab w:val="left" w:pos="1939"/>
          <w:tab w:val="left" w:pos="3312"/>
          <w:tab w:val="left" w:pos="4450"/>
          <w:tab w:val="left" w:pos="5587"/>
          <w:tab w:val="left" w:pos="6456"/>
        </w:tabs>
        <w:rPr>
          <w:rFonts w:ascii="Arial Narrow" w:hAnsi="Arial Narrow" w:cstheme="minorHAnsi"/>
          <w:lang w:val="es-MX"/>
        </w:rPr>
      </w:pPr>
    </w:p>
    <w:tbl>
      <w:tblPr>
        <w:tblStyle w:val="Tablaconcuadrcula"/>
        <w:tblW w:w="10485" w:type="dxa"/>
        <w:tblLook w:val="04A0" w:firstRow="1" w:lastRow="0" w:firstColumn="1" w:lastColumn="0" w:noHBand="0" w:noVBand="1"/>
      </w:tblPr>
      <w:tblGrid>
        <w:gridCol w:w="5382"/>
        <w:gridCol w:w="5103"/>
      </w:tblGrid>
      <w:tr w:rsidR="00726929" w:rsidRPr="003A7F7A" w14:paraId="2D1DEAB8" w14:textId="77777777" w:rsidTr="003A7F7A">
        <w:trPr>
          <w:tblHeader/>
        </w:trPr>
        <w:tc>
          <w:tcPr>
            <w:tcW w:w="5382" w:type="dxa"/>
            <w:shd w:val="clear" w:color="auto" w:fill="F2DBDB" w:themeFill="accent2" w:themeFillTint="33"/>
          </w:tcPr>
          <w:p w14:paraId="1258E4FE" w14:textId="77777777" w:rsidR="00726929" w:rsidRPr="003A7F7A" w:rsidRDefault="00726929" w:rsidP="00574610">
            <w:pPr>
              <w:tabs>
                <w:tab w:val="left" w:pos="1939"/>
                <w:tab w:val="left" w:pos="3312"/>
                <w:tab w:val="left" w:pos="4450"/>
                <w:tab w:val="left" w:pos="5587"/>
                <w:tab w:val="left" w:pos="6456"/>
              </w:tabs>
              <w:rPr>
                <w:rFonts w:ascii="Arial Narrow" w:hAnsi="Arial Narrow" w:cstheme="minorHAnsi"/>
                <w:b/>
                <w:bCs/>
                <w:lang w:val="es-MX"/>
              </w:rPr>
            </w:pPr>
            <w:r w:rsidRPr="003A7F7A">
              <w:rPr>
                <w:rFonts w:ascii="Arial Narrow" w:hAnsi="Arial Narrow" w:cstheme="minorHAnsi"/>
                <w:b/>
                <w:bCs/>
                <w:lang w:val="es-MX"/>
              </w:rPr>
              <w:t>FORTALEZAS</w:t>
            </w:r>
          </w:p>
        </w:tc>
        <w:tc>
          <w:tcPr>
            <w:tcW w:w="5103" w:type="dxa"/>
            <w:shd w:val="clear" w:color="auto" w:fill="F2DBDB" w:themeFill="accent2" w:themeFillTint="33"/>
          </w:tcPr>
          <w:p w14:paraId="7755AEC0" w14:textId="77777777" w:rsidR="00726929" w:rsidRPr="003A7F7A" w:rsidRDefault="00726929" w:rsidP="00574610">
            <w:pPr>
              <w:tabs>
                <w:tab w:val="left" w:pos="1939"/>
                <w:tab w:val="left" w:pos="3312"/>
                <w:tab w:val="left" w:pos="4450"/>
                <w:tab w:val="left" w:pos="5587"/>
                <w:tab w:val="left" w:pos="6456"/>
              </w:tabs>
              <w:rPr>
                <w:rFonts w:ascii="Arial Narrow" w:hAnsi="Arial Narrow" w:cstheme="minorHAnsi"/>
                <w:b/>
                <w:bCs/>
                <w:lang w:val="es-MX"/>
              </w:rPr>
            </w:pPr>
            <w:r w:rsidRPr="003A7F7A">
              <w:rPr>
                <w:rFonts w:ascii="Arial Narrow" w:hAnsi="Arial Narrow" w:cstheme="minorHAnsi"/>
                <w:b/>
                <w:bCs/>
                <w:lang w:val="es-MX"/>
              </w:rPr>
              <w:t>OPORTUNIDADES DE MEJORA</w:t>
            </w:r>
          </w:p>
        </w:tc>
      </w:tr>
      <w:tr w:rsidR="00726929" w:rsidRPr="003A7F7A" w14:paraId="366C229F" w14:textId="77777777" w:rsidTr="003A7F7A">
        <w:tc>
          <w:tcPr>
            <w:tcW w:w="5382" w:type="dxa"/>
          </w:tcPr>
          <w:p w14:paraId="6FC26F21" w14:textId="6DC6E33B" w:rsidR="00726929" w:rsidRPr="003A7F7A" w:rsidRDefault="006A624A"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El acceso a los expedientes de los deudores y títulos valores está restringido y con controles de verificación periódicos.</w:t>
            </w:r>
          </w:p>
        </w:tc>
        <w:tc>
          <w:tcPr>
            <w:tcW w:w="5103" w:type="dxa"/>
          </w:tcPr>
          <w:p w14:paraId="112E4079" w14:textId="02FAA8E5" w:rsidR="00726929" w:rsidRPr="003A7F7A" w:rsidRDefault="00726929"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No se cuenta con matriz SARO</w:t>
            </w:r>
          </w:p>
        </w:tc>
      </w:tr>
      <w:tr w:rsidR="00726929" w:rsidRPr="003A7F7A" w14:paraId="79FC8287" w14:textId="77777777" w:rsidTr="003A7F7A">
        <w:tc>
          <w:tcPr>
            <w:tcW w:w="5382" w:type="dxa"/>
          </w:tcPr>
          <w:p w14:paraId="6D78FE3B" w14:textId="43450DC5" w:rsidR="00726929" w:rsidRPr="003A7F7A" w:rsidRDefault="00015C3F"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 xml:space="preserve">Se efectúan </w:t>
            </w:r>
            <w:proofErr w:type="spellStart"/>
            <w:r w:rsidRPr="003A7F7A">
              <w:rPr>
                <w:rFonts w:ascii="Arial Narrow" w:hAnsi="Arial Narrow" w:cstheme="minorHAnsi"/>
                <w:lang w:val="es-MX"/>
              </w:rPr>
              <w:t>backups</w:t>
            </w:r>
            <w:proofErr w:type="spellEnd"/>
            <w:r w:rsidRPr="003A7F7A">
              <w:rPr>
                <w:rFonts w:ascii="Arial Narrow" w:hAnsi="Arial Narrow" w:cstheme="minorHAnsi"/>
                <w:lang w:val="es-MX"/>
              </w:rPr>
              <w:t xml:space="preserve"> externos diariamente del aplicativo de manera automática</w:t>
            </w:r>
          </w:p>
        </w:tc>
        <w:tc>
          <w:tcPr>
            <w:tcW w:w="5103" w:type="dxa"/>
          </w:tcPr>
          <w:p w14:paraId="55BE20C8" w14:textId="45B3C500" w:rsidR="00726929" w:rsidRPr="003A7F7A" w:rsidRDefault="00726929"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No se cuenta con formato de registro de eventos de riesgo</w:t>
            </w:r>
          </w:p>
        </w:tc>
      </w:tr>
      <w:tr w:rsidR="00726929" w:rsidRPr="003A7F7A" w14:paraId="0606BB7A" w14:textId="77777777" w:rsidTr="003A7F7A">
        <w:tc>
          <w:tcPr>
            <w:tcW w:w="5382" w:type="dxa"/>
          </w:tcPr>
          <w:p w14:paraId="67286821" w14:textId="62F6AE6F" w:rsidR="00726929" w:rsidRPr="003A7F7A" w:rsidRDefault="0091478A"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La seguridad informática frente a virus y ataques externos o accesos no autorizadas es adecuada</w:t>
            </w:r>
          </w:p>
        </w:tc>
        <w:tc>
          <w:tcPr>
            <w:tcW w:w="5103" w:type="dxa"/>
          </w:tcPr>
          <w:p w14:paraId="142FBA32" w14:textId="20F0AEC6" w:rsidR="00726929" w:rsidRPr="003A7F7A" w:rsidRDefault="00726929"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No se tiene plan de continuidad del negocio</w:t>
            </w:r>
          </w:p>
        </w:tc>
      </w:tr>
      <w:tr w:rsidR="00726929" w:rsidRPr="003A7F7A" w14:paraId="45D507B4" w14:textId="77777777" w:rsidTr="003A7F7A">
        <w:tc>
          <w:tcPr>
            <w:tcW w:w="5382" w:type="dxa"/>
          </w:tcPr>
          <w:p w14:paraId="4B52EA59" w14:textId="6D3AA5DD" w:rsidR="00726929" w:rsidRPr="003A7F7A" w:rsidRDefault="0091478A"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Se cumple con el SGSST, RUNEOL, RUES, RNBD</w:t>
            </w:r>
            <w:r w:rsidR="00D8647F" w:rsidRPr="003A7F7A">
              <w:rPr>
                <w:rFonts w:ascii="Arial Narrow" w:hAnsi="Arial Narrow" w:cstheme="minorHAnsi"/>
                <w:lang w:val="es-MX"/>
              </w:rPr>
              <w:t>, pago de contribución a la Supersolidaria,</w:t>
            </w:r>
            <w:r w:rsidR="004F6EDA" w:rsidRPr="003A7F7A">
              <w:rPr>
                <w:rFonts w:ascii="Arial Narrow" w:hAnsi="Arial Narrow" w:cstheme="minorHAnsi"/>
                <w:lang w:val="es-MX"/>
              </w:rPr>
              <w:t xml:space="preserve"> seguridad social,</w:t>
            </w:r>
            <w:r w:rsidR="00D8647F" w:rsidRPr="003A7F7A">
              <w:rPr>
                <w:rFonts w:ascii="Arial Narrow" w:hAnsi="Arial Narrow" w:cstheme="minorHAnsi"/>
                <w:lang w:val="es-MX"/>
              </w:rPr>
              <w:t xml:space="preserve"> presentación y pago de declaraciones tributarias, presentación de información exógena y reportes a través del SICSES</w:t>
            </w:r>
          </w:p>
        </w:tc>
        <w:tc>
          <w:tcPr>
            <w:tcW w:w="5103" w:type="dxa"/>
          </w:tcPr>
          <w:p w14:paraId="46F5268F" w14:textId="6E248D6C" w:rsidR="00726929" w:rsidRPr="003A7F7A" w:rsidRDefault="00726929"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No se tiene política de gestión documental</w:t>
            </w:r>
            <w:r w:rsidR="006A624A" w:rsidRPr="003A7F7A">
              <w:rPr>
                <w:rFonts w:ascii="Arial Narrow" w:hAnsi="Arial Narrow" w:cstheme="minorHAnsi"/>
                <w:lang w:val="es-MX"/>
              </w:rPr>
              <w:t xml:space="preserve"> </w:t>
            </w:r>
          </w:p>
        </w:tc>
      </w:tr>
      <w:tr w:rsidR="00726929" w:rsidRPr="003A7F7A" w14:paraId="2DCF926D" w14:textId="77777777" w:rsidTr="003A7F7A">
        <w:tc>
          <w:tcPr>
            <w:tcW w:w="5382" w:type="dxa"/>
          </w:tcPr>
          <w:p w14:paraId="1895505F" w14:textId="563E3158" w:rsidR="00726929" w:rsidRPr="003A7F7A" w:rsidRDefault="000E2F2D"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Se cuenta con manuales de funciones y procedimientos actualizados</w:t>
            </w:r>
          </w:p>
        </w:tc>
        <w:tc>
          <w:tcPr>
            <w:tcW w:w="5103" w:type="dxa"/>
          </w:tcPr>
          <w:p w14:paraId="33390708" w14:textId="7AC203DE" w:rsidR="00726929" w:rsidRPr="003A7F7A" w:rsidRDefault="006A624A"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No se tiene digitalizada o desmaterializada la documentación y los títulos valores</w:t>
            </w:r>
          </w:p>
        </w:tc>
      </w:tr>
      <w:tr w:rsidR="00726929" w:rsidRPr="003A7F7A" w14:paraId="060B2BF0" w14:textId="77777777" w:rsidTr="003A7F7A">
        <w:tc>
          <w:tcPr>
            <w:tcW w:w="5382" w:type="dxa"/>
          </w:tcPr>
          <w:p w14:paraId="0F31353E" w14:textId="797CEE25" w:rsidR="00726929" w:rsidRPr="003A7F7A" w:rsidRDefault="000E2F2D"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Se imparte capacitación y actualización permanente a los empleados</w:t>
            </w:r>
          </w:p>
        </w:tc>
        <w:tc>
          <w:tcPr>
            <w:tcW w:w="5103" w:type="dxa"/>
          </w:tcPr>
          <w:p w14:paraId="6DD45699" w14:textId="38D42513" w:rsidR="00726929" w:rsidRPr="003A7F7A" w:rsidRDefault="00015C3F"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 xml:space="preserve">Los </w:t>
            </w:r>
            <w:proofErr w:type="spellStart"/>
            <w:r w:rsidRPr="003A7F7A">
              <w:rPr>
                <w:rFonts w:ascii="Arial Narrow" w:hAnsi="Arial Narrow" w:cstheme="minorHAnsi"/>
                <w:lang w:val="es-MX"/>
              </w:rPr>
              <w:t>backups</w:t>
            </w:r>
            <w:proofErr w:type="spellEnd"/>
            <w:r w:rsidRPr="003A7F7A">
              <w:rPr>
                <w:rFonts w:ascii="Arial Narrow" w:hAnsi="Arial Narrow" w:cstheme="minorHAnsi"/>
                <w:lang w:val="es-MX"/>
              </w:rPr>
              <w:t xml:space="preserve"> de los archivos de trabajo de los empleados no se hace de manera automática fuera de las instalaciones de la entidad</w:t>
            </w:r>
          </w:p>
        </w:tc>
      </w:tr>
      <w:tr w:rsidR="00726929" w:rsidRPr="003A7F7A" w14:paraId="262428D3" w14:textId="77777777" w:rsidTr="003A7F7A">
        <w:tc>
          <w:tcPr>
            <w:tcW w:w="5382" w:type="dxa"/>
          </w:tcPr>
          <w:p w14:paraId="75A14F81" w14:textId="72D01F97" w:rsidR="00726929" w:rsidRPr="003A7F7A" w:rsidRDefault="000E2F2D"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La remuneración de los empleados es adecuada conforme a los estándares del mercado para su nivel de experiencia, formación y desempleo y ésta es mayormente de base fija y no es estimula la asunción de riesgos excesivos para el cumplimiento de metas.</w:t>
            </w:r>
          </w:p>
        </w:tc>
        <w:tc>
          <w:tcPr>
            <w:tcW w:w="5103" w:type="dxa"/>
          </w:tcPr>
          <w:p w14:paraId="48740658" w14:textId="2BACDAB9" w:rsidR="00726929" w:rsidRPr="003A7F7A" w:rsidRDefault="0091478A"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No existe política ni controles frente a la sustracción de bases de datos con fines no autorizados por parte de los usuarios.</w:t>
            </w:r>
          </w:p>
        </w:tc>
      </w:tr>
      <w:tr w:rsidR="00726929" w:rsidRPr="003A7F7A" w14:paraId="007A6218" w14:textId="77777777" w:rsidTr="003A7F7A">
        <w:tc>
          <w:tcPr>
            <w:tcW w:w="5382" w:type="dxa"/>
          </w:tcPr>
          <w:p w14:paraId="543EEBBC" w14:textId="01685396" w:rsidR="00726929" w:rsidRPr="003A7F7A" w:rsidRDefault="000E2F2D"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Se efectúa evaluación anual de desempeño de todos los empleados</w:t>
            </w:r>
          </w:p>
        </w:tc>
        <w:tc>
          <w:tcPr>
            <w:tcW w:w="5103" w:type="dxa"/>
          </w:tcPr>
          <w:p w14:paraId="0CE67746" w14:textId="18B8ECDF" w:rsidR="00726929" w:rsidRPr="003A7F7A" w:rsidRDefault="007A14F9"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No se miden indicadores de riesgo operativo (rentabilidad y eficiencia)</w:t>
            </w:r>
          </w:p>
        </w:tc>
      </w:tr>
      <w:tr w:rsidR="000E2F2D" w:rsidRPr="003A7F7A" w14:paraId="7DD35F93" w14:textId="77777777" w:rsidTr="003A7F7A">
        <w:tc>
          <w:tcPr>
            <w:tcW w:w="5382" w:type="dxa"/>
          </w:tcPr>
          <w:p w14:paraId="04DB5222" w14:textId="77523792" w:rsidR="000E2F2D" w:rsidRPr="003A7F7A" w:rsidRDefault="000E2F2D"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Hasta el momento no se han reportado eventos de riesgo operativo: interrupciones en la operación, fuga de personal clave, errores graves, incumplimientos regulatorios, multas o sanciones, demandas, fraudes, destrucción o robo de bienes y derechos de la entidad. Etc.</w:t>
            </w:r>
          </w:p>
        </w:tc>
        <w:tc>
          <w:tcPr>
            <w:tcW w:w="5103" w:type="dxa"/>
          </w:tcPr>
          <w:p w14:paraId="45A07C0F" w14:textId="77777777" w:rsidR="000E2F2D" w:rsidRPr="003A7F7A" w:rsidRDefault="00013A7B"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Los niveles de participación son bajos</w:t>
            </w:r>
          </w:p>
          <w:p w14:paraId="5734C6CC" w14:textId="77777777" w:rsidR="004F6EDA" w:rsidRPr="003A7F7A" w:rsidRDefault="004F6EDA"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Los niveles de rotación de los órganos de administración y control así como de los comités son bajos</w:t>
            </w:r>
          </w:p>
          <w:p w14:paraId="6CEA9141" w14:textId="3D814C47" w:rsidR="004F6EDA" w:rsidRPr="003A7F7A" w:rsidRDefault="004F6EDA"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Algunos directivos carecen de formación o experiencia suficientes para la interpretación de los estados financieros, los indicadores y el monitoreo de riesgos</w:t>
            </w:r>
          </w:p>
        </w:tc>
      </w:tr>
      <w:tr w:rsidR="000E2F2D" w:rsidRPr="003A7F7A" w14:paraId="65974819" w14:textId="77777777" w:rsidTr="003A7F7A">
        <w:tc>
          <w:tcPr>
            <w:tcW w:w="5382" w:type="dxa"/>
          </w:tcPr>
          <w:p w14:paraId="4C96E507" w14:textId="1E602A10" w:rsidR="000E2F2D" w:rsidRPr="003A7F7A" w:rsidRDefault="00013A7B"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Se cuenta con código de buen gobierno y de ética</w:t>
            </w:r>
          </w:p>
        </w:tc>
        <w:tc>
          <w:tcPr>
            <w:tcW w:w="5103" w:type="dxa"/>
          </w:tcPr>
          <w:p w14:paraId="53DD2312" w14:textId="68855E3D" w:rsidR="000E2F2D" w:rsidRPr="003A7F7A" w:rsidRDefault="00013A7B"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No se cuenta con PESM</w:t>
            </w:r>
          </w:p>
        </w:tc>
      </w:tr>
      <w:tr w:rsidR="000E2F2D" w:rsidRPr="003A7F7A" w14:paraId="3DF908E9" w14:textId="77777777" w:rsidTr="003A7F7A">
        <w:tc>
          <w:tcPr>
            <w:tcW w:w="5382" w:type="dxa"/>
          </w:tcPr>
          <w:p w14:paraId="63801144" w14:textId="6035C427" w:rsidR="000E2F2D" w:rsidRPr="003A7F7A" w:rsidRDefault="00013A7B"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Se cuenta con Planeación Estratégica</w:t>
            </w:r>
          </w:p>
        </w:tc>
        <w:tc>
          <w:tcPr>
            <w:tcW w:w="5103" w:type="dxa"/>
          </w:tcPr>
          <w:p w14:paraId="43235823" w14:textId="5E11C52D" w:rsidR="000E2F2D" w:rsidRPr="003A7F7A" w:rsidRDefault="00013A7B"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No se cuenta con plan de acción y presupuesto anual</w:t>
            </w:r>
          </w:p>
        </w:tc>
      </w:tr>
      <w:tr w:rsidR="004F6EDA" w:rsidRPr="003A7F7A" w14:paraId="0EB0B9AB" w14:textId="77777777" w:rsidTr="003A7F7A">
        <w:tc>
          <w:tcPr>
            <w:tcW w:w="5382" w:type="dxa"/>
          </w:tcPr>
          <w:p w14:paraId="6EB4E9AD" w14:textId="16B1BF8C" w:rsidR="004F6EDA" w:rsidRPr="003A7F7A" w:rsidRDefault="004F6EDA"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La entidad cuenta con pólizas de manejo y frente a fraudes informáticos</w:t>
            </w:r>
            <w:r w:rsidR="00FF52C0" w:rsidRPr="003A7F7A">
              <w:rPr>
                <w:rFonts w:ascii="Arial Narrow" w:hAnsi="Arial Narrow" w:cstheme="minorHAnsi"/>
                <w:lang w:val="es-MX"/>
              </w:rPr>
              <w:t>, robo, sustracción, incendio, terremoto y demás eventos que puedan destruir la PPE</w:t>
            </w:r>
          </w:p>
        </w:tc>
        <w:tc>
          <w:tcPr>
            <w:tcW w:w="5103" w:type="dxa"/>
          </w:tcPr>
          <w:p w14:paraId="2D757906" w14:textId="174A9287" w:rsidR="004F6EDA" w:rsidRPr="003A7F7A" w:rsidRDefault="00FF52C0"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La cobertura de las pólizas no está sustentada en un estudio de riesgos.</w:t>
            </w:r>
          </w:p>
        </w:tc>
      </w:tr>
      <w:tr w:rsidR="000E2F2D" w:rsidRPr="003A7F7A" w14:paraId="1ADDE803" w14:textId="77777777" w:rsidTr="003A7F7A">
        <w:tc>
          <w:tcPr>
            <w:tcW w:w="5382" w:type="dxa"/>
          </w:tcPr>
          <w:p w14:paraId="1D9B89B2" w14:textId="1732F4E6" w:rsidR="000E2F2D" w:rsidRPr="003A7F7A" w:rsidRDefault="004F6EDA"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Los empleados cuentan con expedientes actualizados</w:t>
            </w:r>
          </w:p>
        </w:tc>
        <w:tc>
          <w:tcPr>
            <w:tcW w:w="5103" w:type="dxa"/>
          </w:tcPr>
          <w:p w14:paraId="72FE24FD" w14:textId="1FDBC87C" w:rsidR="000E2F2D" w:rsidRPr="003A7F7A" w:rsidRDefault="00013A7B"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No se cuenta con proyecciones financieras de largo plazo que acompañen el plan de desarrollo</w:t>
            </w:r>
          </w:p>
        </w:tc>
      </w:tr>
      <w:tr w:rsidR="00FF52C0" w:rsidRPr="003A7F7A" w14:paraId="04DDEBB2" w14:textId="77777777" w:rsidTr="003A7F7A">
        <w:tc>
          <w:tcPr>
            <w:tcW w:w="5382" w:type="dxa"/>
          </w:tcPr>
          <w:p w14:paraId="7B900DF9" w14:textId="1D1AD3BF" w:rsidR="00FF52C0" w:rsidRPr="003A7F7A" w:rsidRDefault="00FF52C0"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 xml:space="preserve">Se cuenta con </w:t>
            </w:r>
            <w:r w:rsidR="00212F16" w:rsidRPr="003A7F7A">
              <w:rPr>
                <w:rFonts w:ascii="Arial Narrow" w:hAnsi="Arial Narrow" w:cstheme="minorHAnsi"/>
                <w:lang w:val="es-MX"/>
              </w:rPr>
              <w:t xml:space="preserve">la experiencia de la pandemia para trabajo remoto desde casa como plan de continuidad ante la interrupción del servicio o de la operación por casusas externas: servicios públicos, </w:t>
            </w:r>
            <w:r w:rsidR="003A7F7A" w:rsidRPr="003A7F7A">
              <w:rPr>
                <w:rFonts w:ascii="Arial Narrow" w:hAnsi="Arial Narrow" w:cstheme="minorHAnsi"/>
                <w:lang w:val="es-MX"/>
              </w:rPr>
              <w:t>protestas, pandemias etc.</w:t>
            </w:r>
          </w:p>
        </w:tc>
        <w:tc>
          <w:tcPr>
            <w:tcW w:w="5103" w:type="dxa"/>
          </w:tcPr>
          <w:p w14:paraId="607508C2" w14:textId="14726E38" w:rsidR="00FF52C0" w:rsidRPr="003A7F7A" w:rsidRDefault="003A7F7A" w:rsidP="00574610">
            <w:pPr>
              <w:tabs>
                <w:tab w:val="left" w:pos="1939"/>
                <w:tab w:val="left" w:pos="3312"/>
                <w:tab w:val="left" w:pos="4450"/>
                <w:tab w:val="left" w:pos="5587"/>
                <w:tab w:val="left" w:pos="6456"/>
              </w:tabs>
              <w:jc w:val="both"/>
              <w:rPr>
                <w:rFonts w:ascii="Arial Narrow" w:hAnsi="Arial Narrow" w:cstheme="minorHAnsi"/>
                <w:lang w:val="es-MX"/>
              </w:rPr>
            </w:pPr>
            <w:r w:rsidRPr="003A7F7A">
              <w:rPr>
                <w:rFonts w:ascii="Arial Narrow" w:hAnsi="Arial Narrow" w:cstheme="minorHAnsi"/>
                <w:lang w:val="es-MX"/>
              </w:rPr>
              <w:t>No se cuenta con una programación de vacaciones y sistemas de supernumerarios o respaldos ante la ausencia de personal clave.</w:t>
            </w:r>
          </w:p>
        </w:tc>
      </w:tr>
    </w:tbl>
    <w:p w14:paraId="78F9AEE1" w14:textId="77777777" w:rsidR="003A7F7A" w:rsidRPr="003A7F7A" w:rsidRDefault="003A7F7A" w:rsidP="003A7F7A">
      <w:pPr>
        <w:tabs>
          <w:tab w:val="left" w:pos="1939"/>
          <w:tab w:val="left" w:pos="3312"/>
          <w:tab w:val="left" w:pos="4450"/>
          <w:tab w:val="left" w:pos="5587"/>
          <w:tab w:val="left" w:pos="6456"/>
        </w:tabs>
        <w:rPr>
          <w:rFonts w:ascii="Arial Narrow" w:hAnsi="Arial Narrow" w:cstheme="minorHAnsi"/>
          <w:lang w:val="es-MX"/>
        </w:rPr>
      </w:pPr>
    </w:p>
    <w:p w14:paraId="1DB6ECE5" w14:textId="0997AF46" w:rsidR="003A7F7A" w:rsidRPr="003A7F7A" w:rsidRDefault="003A7F7A" w:rsidP="003A7F7A">
      <w:pPr>
        <w:pStyle w:val="Prrafodelista"/>
        <w:numPr>
          <w:ilvl w:val="1"/>
          <w:numId w:val="29"/>
        </w:numPr>
        <w:shd w:val="clear" w:color="auto" w:fill="DBE5F1" w:themeFill="accent1" w:themeFillTint="33"/>
        <w:rPr>
          <w:rFonts w:ascii="Arial Narrow" w:hAnsi="Arial Narrow" w:cstheme="minorHAnsi"/>
          <w:b/>
          <w:sz w:val="24"/>
          <w:szCs w:val="24"/>
        </w:rPr>
      </w:pPr>
      <w:r w:rsidRPr="003A7F7A">
        <w:rPr>
          <w:rFonts w:ascii="Arial Narrow" w:hAnsi="Arial Narrow" w:cstheme="minorHAnsi"/>
          <w:b/>
          <w:sz w:val="24"/>
          <w:szCs w:val="24"/>
        </w:rPr>
        <w:t>SAR</w:t>
      </w:r>
      <w:r w:rsidRPr="003A7F7A">
        <w:rPr>
          <w:rFonts w:ascii="Arial Narrow" w:hAnsi="Arial Narrow" w:cstheme="minorHAnsi"/>
          <w:b/>
          <w:sz w:val="24"/>
          <w:szCs w:val="24"/>
        </w:rPr>
        <w:t>M</w:t>
      </w:r>
    </w:p>
    <w:p w14:paraId="0DAACA1D" w14:textId="77777777" w:rsidR="003A7F7A" w:rsidRPr="003A7F7A" w:rsidRDefault="003A7F7A" w:rsidP="003A7F7A">
      <w:pPr>
        <w:tabs>
          <w:tab w:val="left" w:pos="1939"/>
          <w:tab w:val="left" w:pos="3312"/>
          <w:tab w:val="left" w:pos="4450"/>
          <w:tab w:val="left" w:pos="5587"/>
          <w:tab w:val="left" w:pos="6456"/>
        </w:tabs>
        <w:rPr>
          <w:rFonts w:ascii="Arial Narrow" w:hAnsi="Arial Narrow" w:cstheme="minorHAnsi"/>
          <w:lang w:val="es-MX"/>
        </w:rPr>
      </w:pPr>
    </w:p>
    <w:tbl>
      <w:tblPr>
        <w:tblStyle w:val="Tablaconcuadrcula"/>
        <w:tblW w:w="10485" w:type="dxa"/>
        <w:tblLook w:val="04A0" w:firstRow="1" w:lastRow="0" w:firstColumn="1" w:lastColumn="0" w:noHBand="0" w:noVBand="1"/>
      </w:tblPr>
      <w:tblGrid>
        <w:gridCol w:w="5382"/>
        <w:gridCol w:w="5103"/>
      </w:tblGrid>
      <w:tr w:rsidR="003A7F7A" w:rsidRPr="003A7F7A" w14:paraId="71891090" w14:textId="77777777" w:rsidTr="00574610">
        <w:trPr>
          <w:tblHeader/>
        </w:trPr>
        <w:tc>
          <w:tcPr>
            <w:tcW w:w="5382" w:type="dxa"/>
            <w:shd w:val="clear" w:color="auto" w:fill="F2DBDB" w:themeFill="accent2" w:themeFillTint="33"/>
          </w:tcPr>
          <w:p w14:paraId="6C18617F" w14:textId="77777777" w:rsidR="003A7F7A" w:rsidRPr="003A7F7A" w:rsidRDefault="003A7F7A" w:rsidP="00574610">
            <w:pPr>
              <w:tabs>
                <w:tab w:val="left" w:pos="1939"/>
                <w:tab w:val="left" w:pos="3312"/>
                <w:tab w:val="left" w:pos="4450"/>
                <w:tab w:val="left" w:pos="5587"/>
                <w:tab w:val="left" w:pos="6456"/>
              </w:tabs>
              <w:rPr>
                <w:rFonts w:ascii="Arial Narrow" w:hAnsi="Arial Narrow" w:cstheme="minorHAnsi"/>
                <w:b/>
                <w:bCs/>
                <w:lang w:val="es-MX"/>
              </w:rPr>
            </w:pPr>
            <w:r w:rsidRPr="003A7F7A">
              <w:rPr>
                <w:rFonts w:ascii="Arial Narrow" w:hAnsi="Arial Narrow" w:cstheme="minorHAnsi"/>
                <w:b/>
                <w:bCs/>
                <w:lang w:val="es-MX"/>
              </w:rPr>
              <w:t>FORTALEZAS</w:t>
            </w:r>
          </w:p>
        </w:tc>
        <w:tc>
          <w:tcPr>
            <w:tcW w:w="5103" w:type="dxa"/>
            <w:shd w:val="clear" w:color="auto" w:fill="F2DBDB" w:themeFill="accent2" w:themeFillTint="33"/>
          </w:tcPr>
          <w:p w14:paraId="7E61305B" w14:textId="77777777" w:rsidR="003A7F7A" w:rsidRPr="003A7F7A" w:rsidRDefault="003A7F7A" w:rsidP="00574610">
            <w:pPr>
              <w:tabs>
                <w:tab w:val="left" w:pos="1939"/>
                <w:tab w:val="left" w:pos="3312"/>
                <w:tab w:val="left" w:pos="4450"/>
                <w:tab w:val="left" w:pos="5587"/>
                <w:tab w:val="left" w:pos="6456"/>
              </w:tabs>
              <w:rPr>
                <w:rFonts w:ascii="Arial Narrow" w:hAnsi="Arial Narrow" w:cstheme="minorHAnsi"/>
                <w:b/>
                <w:bCs/>
                <w:lang w:val="es-MX"/>
              </w:rPr>
            </w:pPr>
            <w:r w:rsidRPr="003A7F7A">
              <w:rPr>
                <w:rFonts w:ascii="Arial Narrow" w:hAnsi="Arial Narrow" w:cstheme="minorHAnsi"/>
                <w:b/>
                <w:bCs/>
                <w:lang w:val="es-MX"/>
              </w:rPr>
              <w:t>OPORTUNIDADES DE MEJORA</w:t>
            </w:r>
          </w:p>
        </w:tc>
      </w:tr>
      <w:tr w:rsidR="003A7F7A" w:rsidRPr="003A7F7A" w14:paraId="20ADF65F" w14:textId="77777777" w:rsidTr="00574610">
        <w:tc>
          <w:tcPr>
            <w:tcW w:w="5382" w:type="dxa"/>
          </w:tcPr>
          <w:p w14:paraId="324D47BE" w14:textId="33AB78CB" w:rsidR="003A7F7A" w:rsidRPr="003A7F7A" w:rsidRDefault="003A7F7A" w:rsidP="00574610">
            <w:pPr>
              <w:tabs>
                <w:tab w:val="left" w:pos="1939"/>
                <w:tab w:val="left" w:pos="3312"/>
                <w:tab w:val="left" w:pos="4450"/>
                <w:tab w:val="left" w:pos="5587"/>
                <w:tab w:val="left" w:pos="6456"/>
              </w:tabs>
              <w:jc w:val="both"/>
              <w:rPr>
                <w:rFonts w:ascii="Arial Narrow" w:hAnsi="Arial Narrow" w:cstheme="minorHAnsi"/>
                <w:lang w:val="es-MX"/>
              </w:rPr>
            </w:pPr>
            <w:r>
              <w:rPr>
                <w:rFonts w:ascii="Arial Narrow" w:hAnsi="Arial Narrow" w:cstheme="minorHAnsi"/>
                <w:lang w:val="es-MX"/>
              </w:rPr>
              <w:t xml:space="preserve">La entidad presenta </w:t>
            </w:r>
            <w:r w:rsidR="00317C5A">
              <w:rPr>
                <w:rFonts w:ascii="Arial Narrow" w:hAnsi="Arial Narrow" w:cstheme="minorHAnsi"/>
                <w:lang w:val="es-MX"/>
              </w:rPr>
              <w:t xml:space="preserve">baja exposición al riesgo de tasa de interés y cambiario </w:t>
            </w:r>
          </w:p>
        </w:tc>
        <w:tc>
          <w:tcPr>
            <w:tcW w:w="5103" w:type="dxa"/>
          </w:tcPr>
          <w:p w14:paraId="59C61F5C" w14:textId="1E1A4ECB" w:rsidR="003A7F7A" w:rsidRPr="003A7F7A" w:rsidRDefault="009D743B" w:rsidP="00574610">
            <w:pPr>
              <w:tabs>
                <w:tab w:val="left" w:pos="1939"/>
                <w:tab w:val="left" w:pos="3312"/>
                <w:tab w:val="left" w:pos="4450"/>
                <w:tab w:val="left" w:pos="5587"/>
                <w:tab w:val="left" w:pos="6456"/>
              </w:tabs>
              <w:jc w:val="both"/>
              <w:rPr>
                <w:rFonts w:ascii="Arial Narrow" w:hAnsi="Arial Narrow" w:cstheme="minorHAnsi"/>
                <w:lang w:val="es-MX"/>
              </w:rPr>
            </w:pPr>
            <w:r>
              <w:rPr>
                <w:rFonts w:ascii="Arial Narrow" w:hAnsi="Arial Narrow" w:cstheme="minorHAnsi"/>
                <w:lang w:val="es-MX"/>
              </w:rPr>
              <w:t>No se cuenta con matriz SARM</w:t>
            </w:r>
          </w:p>
        </w:tc>
      </w:tr>
      <w:tr w:rsidR="003A7F7A" w:rsidRPr="003A7F7A" w14:paraId="07C76E82" w14:textId="77777777" w:rsidTr="00574610">
        <w:tc>
          <w:tcPr>
            <w:tcW w:w="5382" w:type="dxa"/>
          </w:tcPr>
          <w:p w14:paraId="4CD16E35" w14:textId="2E1DC226" w:rsidR="00317C5A" w:rsidRPr="003A7F7A" w:rsidRDefault="00317C5A" w:rsidP="00574610">
            <w:pPr>
              <w:tabs>
                <w:tab w:val="left" w:pos="1939"/>
                <w:tab w:val="left" w:pos="3312"/>
                <w:tab w:val="left" w:pos="4450"/>
                <w:tab w:val="left" w:pos="5587"/>
                <w:tab w:val="left" w:pos="6456"/>
              </w:tabs>
              <w:jc w:val="both"/>
              <w:rPr>
                <w:rFonts w:ascii="Arial Narrow" w:hAnsi="Arial Narrow" w:cstheme="minorHAnsi"/>
                <w:lang w:val="es-MX"/>
              </w:rPr>
            </w:pPr>
            <w:r>
              <w:rPr>
                <w:rFonts w:ascii="Arial Narrow" w:hAnsi="Arial Narrow" w:cstheme="minorHAnsi"/>
                <w:lang w:val="es-MX"/>
              </w:rPr>
              <w:t>La entidad presenta bajo endeudamiento bancario</w:t>
            </w:r>
          </w:p>
        </w:tc>
        <w:tc>
          <w:tcPr>
            <w:tcW w:w="5103" w:type="dxa"/>
          </w:tcPr>
          <w:p w14:paraId="197DBCF9" w14:textId="5C0C6BCD" w:rsidR="003A7F7A" w:rsidRPr="003A7F7A" w:rsidRDefault="009D743B" w:rsidP="00574610">
            <w:pPr>
              <w:tabs>
                <w:tab w:val="left" w:pos="1939"/>
                <w:tab w:val="left" w:pos="3312"/>
                <w:tab w:val="left" w:pos="4450"/>
                <w:tab w:val="left" w:pos="5587"/>
                <w:tab w:val="left" w:pos="6456"/>
              </w:tabs>
              <w:jc w:val="both"/>
              <w:rPr>
                <w:rFonts w:ascii="Arial Narrow" w:hAnsi="Arial Narrow" w:cstheme="minorHAnsi"/>
                <w:lang w:val="es-MX"/>
              </w:rPr>
            </w:pPr>
            <w:r>
              <w:rPr>
                <w:rFonts w:ascii="Arial Narrow" w:hAnsi="Arial Narrow" w:cstheme="minorHAnsi"/>
                <w:lang w:val="es-MX"/>
              </w:rPr>
              <w:t>No se han definido indicadores, limites, apetitos, capacidades, tolerancias para el riesgo de mercado</w:t>
            </w:r>
          </w:p>
        </w:tc>
      </w:tr>
      <w:tr w:rsidR="003A7F7A" w:rsidRPr="003A7F7A" w14:paraId="0B215600" w14:textId="77777777" w:rsidTr="00574610">
        <w:tc>
          <w:tcPr>
            <w:tcW w:w="5382" w:type="dxa"/>
          </w:tcPr>
          <w:p w14:paraId="08E720BC" w14:textId="70A20752" w:rsidR="003A7F7A" w:rsidRPr="003A7F7A" w:rsidRDefault="00317C5A" w:rsidP="00574610">
            <w:pPr>
              <w:tabs>
                <w:tab w:val="left" w:pos="1939"/>
                <w:tab w:val="left" w:pos="3312"/>
                <w:tab w:val="left" w:pos="4450"/>
                <w:tab w:val="left" w:pos="5587"/>
                <w:tab w:val="left" w:pos="6456"/>
              </w:tabs>
              <w:jc w:val="both"/>
              <w:rPr>
                <w:rFonts w:ascii="Arial Narrow" w:hAnsi="Arial Narrow" w:cstheme="minorHAnsi"/>
                <w:lang w:val="es-MX"/>
              </w:rPr>
            </w:pPr>
            <w:r>
              <w:rPr>
                <w:rFonts w:ascii="Arial Narrow" w:hAnsi="Arial Narrow" w:cstheme="minorHAnsi"/>
                <w:lang w:val="es-MX"/>
              </w:rPr>
              <w:t xml:space="preserve">La entidad presenta bajo apalancamiento con </w:t>
            </w:r>
            <w:r w:rsidR="00305ABF">
              <w:rPr>
                <w:rFonts w:ascii="Arial Narrow" w:hAnsi="Arial Narrow" w:cstheme="minorHAnsi"/>
                <w:lang w:val="es-MX"/>
              </w:rPr>
              <w:t>pasivos sensibles a la tasa de interés</w:t>
            </w:r>
          </w:p>
        </w:tc>
        <w:tc>
          <w:tcPr>
            <w:tcW w:w="5103" w:type="dxa"/>
          </w:tcPr>
          <w:p w14:paraId="25DF85EB" w14:textId="2B789729" w:rsidR="003A7F7A" w:rsidRPr="003A7F7A" w:rsidRDefault="009D743B" w:rsidP="00574610">
            <w:pPr>
              <w:tabs>
                <w:tab w:val="left" w:pos="1939"/>
                <w:tab w:val="left" w:pos="3312"/>
                <w:tab w:val="left" w:pos="4450"/>
                <w:tab w:val="left" w:pos="5587"/>
                <w:tab w:val="left" w:pos="6456"/>
              </w:tabs>
              <w:jc w:val="both"/>
              <w:rPr>
                <w:rFonts w:ascii="Arial Narrow" w:hAnsi="Arial Narrow" w:cstheme="minorHAnsi"/>
                <w:lang w:val="es-MX"/>
              </w:rPr>
            </w:pPr>
            <w:r>
              <w:rPr>
                <w:rFonts w:ascii="Arial Narrow" w:hAnsi="Arial Narrow" w:cstheme="minorHAnsi"/>
                <w:lang w:val="es-MX"/>
              </w:rPr>
              <w:t>No se tienen definidos límites en materia de inversiones y manejo de excedentes de tesorería por tipo de instrumento, plazo y emisor</w:t>
            </w:r>
          </w:p>
        </w:tc>
      </w:tr>
      <w:tr w:rsidR="003A7F7A" w:rsidRPr="003A7F7A" w14:paraId="0379459C" w14:textId="77777777" w:rsidTr="00574610">
        <w:tc>
          <w:tcPr>
            <w:tcW w:w="5382" w:type="dxa"/>
          </w:tcPr>
          <w:p w14:paraId="18ECF85F" w14:textId="1EE12B32" w:rsidR="003A7F7A" w:rsidRPr="003A7F7A" w:rsidRDefault="00305ABF" w:rsidP="00574610">
            <w:pPr>
              <w:tabs>
                <w:tab w:val="left" w:pos="1939"/>
                <w:tab w:val="left" w:pos="3312"/>
                <w:tab w:val="left" w:pos="4450"/>
                <w:tab w:val="left" w:pos="5587"/>
                <w:tab w:val="left" w:pos="6456"/>
              </w:tabs>
              <w:jc w:val="both"/>
              <w:rPr>
                <w:rFonts w:ascii="Arial Narrow" w:hAnsi="Arial Narrow" w:cstheme="minorHAnsi"/>
                <w:lang w:val="es-MX"/>
              </w:rPr>
            </w:pPr>
            <w:r>
              <w:rPr>
                <w:rFonts w:ascii="Arial Narrow" w:hAnsi="Arial Narrow" w:cstheme="minorHAnsi"/>
                <w:lang w:val="es-MX"/>
              </w:rPr>
              <w:t>El margen financiero de intermediación es superior al 80%</w:t>
            </w:r>
          </w:p>
        </w:tc>
        <w:tc>
          <w:tcPr>
            <w:tcW w:w="5103" w:type="dxa"/>
          </w:tcPr>
          <w:p w14:paraId="56011B18" w14:textId="70B96C73" w:rsidR="003A7F7A" w:rsidRPr="003A7F7A" w:rsidRDefault="00792268" w:rsidP="00574610">
            <w:pPr>
              <w:tabs>
                <w:tab w:val="left" w:pos="1939"/>
                <w:tab w:val="left" w:pos="3312"/>
                <w:tab w:val="left" w:pos="4450"/>
                <w:tab w:val="left" w:pos="5587"/>
                <w:tab w:val="left" w:pos="6456"/>
              </w:tabs>
              <w:jc w:val="both"/>
              <w:rPr>
                <w:rFonts w:ascii="Arial Narrow" w:hAnsi="Arial Narrow" w:cstheme="minorHAnsi"/>
                <w:lang w:val="es-MX"/>
              </w:rPr>
            </w:pPr>
            <w:r>
              <w:rPr>
                <w:rFonts w:ascii="Arial Narrow" w:hAnsi="Arial Narrow" w:cstheme="minorHAnsi"/>
                <w:lang w:val="es-MX"/>
              </w:rPr>
              <w:t>No se monitorean periódicamente las tasas del mercado frente a la rentabilidad de las inversiones, la cartera y el costo del apalancamiento</w:t>
            </w:r>
          </w:p>
        </w:tc>
      </w:tr>
      <w:tr w:rsidR="003A7F7A" w:rsidRPr="003A7F7A" w14:paraId="11B92658" w14:textId="77777777" w:rsidTr="00574610">
        <w:tc>
          <w:tcPr>
            <w:tcW w:w="5382" w:type="dxa"/>
          </w:tcPr>
          <w:p w14:paraId="5E7015A3" w14:textId="6AB5768A" w:rsidR="003A7F7A" w:rsidRPr="003A7F7A" w:rsidRDefault="00305ABF" w:rsidP="00574610">
            <w:pPr>
              <w:tabs>
                <w:tab w:val="left" w:pos="1939"/>
                <w:tab w:val="left" w:pos="3312"/>
                <w:tab w:val="left" w:pos="4450"/>
                <w:tab w:val="left" w:pos="5587"/>
                <w:tab w:val="left" w:pos="6456"/>
              </w:tabs>
              <w:jc w:val="both"/>
              <w:rPr>
                <w:rFonts w:ascii="Arial Narrow" w:hAnsi="Arial Narrow" w:cstheme="minorHAnsi"/>
                <w:lang w:val="es-MX"/>
              </w:rPr>
            </w:pPr>
            <w:r>
              <w:rPr>
                <w:rFonts w:ascii="Arial Narrow" w:hAnsi="Arial Narrow" w:cstheme="minorHAnsi"/>
                <w:lang w:val="es-MX"/>
              </w:rPr>
              <w:t>Las tasas de interés son fijadas por el órgano de administración de manera clara y objetiva tanto para la cartera como para las captaciones y se publican en términos efectivos anuales tanto en las oficinas como en la página WEB para conocimiento de todos los asociados y se aplican sin privilegios por igual a todos y en especial a las partes relacionadas</w:t>
            </w:r>
          </w:p>
        </w:tc>
        <w:tc>
          <w:tcPr>
            <w:tcW w:w="5103" w:type="dxa"/>
          </w:tcPr>
          <w:p w14:paraId="0CFAEF40" w14:textId="60FBC360" w:rsidR="003A7F7A" w:rsidRPr="003A7F7A" w:rsidRDefault="00F17282" w:rsidP="00574610">
            <w:pPr>
              <w:tabs>
                <w:tab w:val="left" w:pos="1939"/>
                <w:tab w:val="left" w:pos="3312"/>
                <w:tab w:val="left" w:pos="4450"/>
                <w:tab w:val="left" w:pos="5587"/>
                <w:tab w:val="left" w:pos="6456"/>
              </w:tabs>
              <w:jc w:val="both"/>
              <w:rPr>
                <w:rFonts w:ascii="Arial Narrow" w:hAnsi="Arial Narrow" w:cstheme="minorHAnsi"/>
                <w:lang w:val="es-MX"/>
              </w:rPr>
            </w:pPr>
            <w:r>
              <w:rPr>
                <w:rFonts w:ascii="Arial Narrow" w:hAnsi="Arial Narrow" w:cstheme="minorHAnsi"/>
                <w:lang w:val="es-MX"/>
              </w:rPr>
              <w:t>No se evalúan las inversiones de patrimonio que no cotizan en bolsa para establecer si es necesario constituir un deterioro.</w:t>
            </w:r>
          </w:p>
        </w:tc>
      </w:tr>
      <w:tr w:rsidR="003A7F7A" w:rsidRPr="003A7F7A" w14:paraId="019A278E" w14:textId="77777777" w:rsidTr="00574610">
        <w:tc>
          <w:tcPr>
            <w:tcW w:w="5382" w:type="dxa"/>
          </w:tcPr>
          <w:p w14:paraId="0700CB60" w14:textId="616574F9" w:rsidR="003A7F7A" w:rsidRPr="003A7F7A" w:rsidRDefault="00700DC5" w:rsidP="00574610">
            <w:pPr>
              <w:tabs>
                <w:tab w:val="left" w:pos="1939"/>
                <w:tab w:val="left" w:pos="3312"/>
                <w:tab w:val="left" w:pos="4450"/>
                <w:tab w:val="left" w:pos="5587"/>
                <w:tab w:val="left" w:pos="6456"/>
              </w:tabs>
              <w:jc w:val="both"/>
              <w:rPr>
                <w:rFonts w:ascii="Arial Narrow" w:hAnsi="Arial Narrow" w:cstheme="minorHAnsi"/>
                <w:lang w:val="es-MX"/>
              </w:rPr>
            </w:pPr>
            <w:r>
              <w:rPr>
                <w:rFonts w:ascii="Arial Narrow" w:hAnsi="Arial Narrow" w:cstheme="minorHAnsi"/>
                <w:lang w:val="es-MX"/>
              </w:rPr>
              <w:t>Las atribuciones para inversiones de patrimonio son del órgano de administración</w:t>
            </w:r>
          </w:p>
        </w:tc>
        <w:tc>
          <w:tcPr>
            <w:tcW w:w="5103" w:type="dxa"/>
          </w:tcPr>
          <w:p w14:paraId="4486C757" w14:textId="4DAC0C67" w:rsidR="003A7F7A" w:rsidRPr="003A7F7A" w:rsidRDefault="00F17282" w:rsidP="00574610">
            <w:pPr>
              <w:tabs>
                <w:tab w:val="left" w:pos="1939"/>
                <w:tab w:val="left" w:pos="3312"/>
                <w:tab w:val="left" w:pos="4450"/>
                <w:tab w:val="left" w:pos="5587"/>
                <w:tab w:val="left" w:pos="6456"/>
              </w:tabs>
              <w:jc w:val="both"/>
              <w:rPr>
                <w:rFonts w:ascii="Arial Narrow" w:hAnsi="Arial Narrow" w:cstheme="minorHAnsi"/>
                <w:lang w:val="es-MX"/>
              </w:rPr>
            </w:pPr>
            <w:r>
              <w:rPr>
                <w:rFonts w:ascii="Arial Narrow" w:hAnsi="Arial Narrow" w:cstheme="minorHAnsi"/>
                <w:lang w:val="es-MX"/>
              </w:rPr>
              <w:t>No se mide el riesgo de tasa de interés</w:t>
            </w:r>
          </w:p>
        </w:tc>
      </w:tr>
      <w:tr w:rsidR="003A7F7A" w:rsidRPr="003A7F7A" w14:paraId="43026CAC" w14:textId="77777777" w:rsidTr="00574610">
        <w:tc>
          <w:tcPr>
            <w:tcW w:w="5382" w:type="dxa"/>
          </w:tcPr>
          <w:p w14:paraId="11EC28FD" w14:textId="2A750E2E" w:rsidR="003A7F7A" w:rsidRPr="003A7F7A" w:rsidRDefault="00700DC5" w:rsidP="00574610">
            <w:pPr>
              <w:tabs>
                <w:tab w:val="left" w:pos="1939"/>
                <w:tab w:val="left" w:pos="3312"/>
                <w:tab w:val="left" w:pos="4450"/>
                <w:tab w:val="left" w:pos="5587"/>
                <w:tab w:val="left" w:pos="6456"/>
              </w:tabs>
              <w:jc w:val="both"/>
              <w:rPr>
                <w:rFonts w:ascii="Arial Narrow" w:hAnsi="Arial Narrow" w:cstheme="minorHAnsi"/>
                <w:lang w:val="es-MX"/>
              </w:rPr>
            </w:pPr>
            <w:r>
              <w:rPr>
                <w:rFonts w:ascii="Arial Narrow" w:hAnsi="Arial Narrow" w:cstheme="minorHAnsi"/>
                <w:lang w:val="es-MX"/>
              </w:rPr>
              <w:t>Las inversiones de capital y la propiedad planta y equipo más los intangibles son inferiores al valor del patrimonio sin aportes sociales NO amortizados.</w:t>
            </w:r>
          </w:p>
        </w:tc>
        <w:tc>
          <w:tcPr>
            <w:tcW w:w="5103" w:type="dxa"/>
          </w:tcPr>
          <w:p w14:paraId="2BED2071" w14:textId="7721EAAB" w:rsidR="003A7F7A" w:rsidRPr="003A7F7A" w:rsidRDefault="003A7F7A" w:rsidP="00574610">
            <w:pPr>
              <w:tabs>
                <w:tab w:val="left" w:pos="1939"/>
                <w:tab w:val="left" w:pos="3312"/>
                <w:tab w:val="left" w:pos="4450"/>
                <w:tab w:val="left" w:pos="5587"/>
                <w:tab w:val="left" w:pos="6456"/>
              </w:tabs>
              <w:jc w:val="both"/>
              <w:rPr>
                <w:rFonts w:ascii="Arial Narrow" w:hAnsi="Arial Narrow" w:cstheme="minorHAnsi"/>
                <w:lang w:val="es-MX"/>
              </w:rPr>
            </w:pPr>
          </w:p>
        </w:tc>
      </w:tr>
      <w:tr w:rsidR="003A7F7A" w:rsidRPr="003A7F7A" w14:paraId="11A6AA3B" w14:textId="77777777" w:rsidTr="00574610">
        <w:tc>
          <w:tcPr>
            <w:tcW w:w="5382" w:type="dxa"/>
          </w:tcPr>
          <w:p w14:paraId="4F0FEDF8" w14:textId="5CC41446" w:rsidR="003A7F7A" w:rsidRPr="003A7F7A" w:rsidRDefault="004B6D3F" w:rsidP="00574610">
            <w:pPr>
              <w:tabs>
                <w:tab w:val="left" w:pos="1939"/>
                <w:tab w:val="left" w:pos="3312"/>
                <w:tab w:val="left" w:pos="4450"/>
                <w:tab w:val="left" w:pos="5587"/>
                <w:tab w:val="left" w:pos="6456"/>
              </w:tabs>
              <w:jc w:val="both"/>
              <w:rPr>
                <w:rFonts w:ascii="Arial Narrow" w:hAnsi="Arial Narrow" w:cstheme="minorHAnsi"/>
                <w:lang w:val="es-MX"/>
              </w:rPr>
            </w:pPr>
            <w:r>
              <w:rPr>
                <w:rFonts w:ascii="Arial Narrow" w:hAnsi="Arial Narrow" w:cstheme="minorHAnsi"/>
                <w:lang w:val="es-MX"/>
              </w:rPr>
              <w:t>Los excedentes de tesorería y fondo de liquidez se manejan a corto plazo en efectivo y equivalentes.</w:t>
            </w:r>
          </w:p>
        </w:tc>
        <w:tc>
          <w:tcPr>
            <w:tcW w:w="5103" w:type="dxa"/>
          </w:tcPr>
          <w:p w14:paraId="31291F68" w14:textId="5BE56BAD" w:rsidR="003A7F7A" w:rsidRPr="003A7F7A" w:rsidRDefault="003A7F7A" w:rsidP="00574610">
            <w:pPr>
              <w:tabs>
                <w:tab w:val="left" w:pos="1939"/>
                <w:tab w:val="left" w:pos="3312"/>
                <w:tab w:val="left" w:pos="4450"/>
                <w:tab w:val="left" w:pos="5587"/>
                <w:tab w:val="left" w:pos="6456"/>
              </w:tabs>
              <w:jc w:val="both"/>
              <w:rPr>
                <w:rFonts w:ascii="Arial Narrow" w:hAnsi="Arial Narrow" w:cstheme="minorHAnsi"/>
                <w:lang w:val="es-MX"/>
              </w:rPr>
            </w:pPr>
          </w:p>
        </w:tc>
      </w:tr>
    </w:tbl>
    <w:p w14:paraId="46111C70" w14:textId="77777777" w:rsidR="00247F58" w:rsidRPr="003A7F7A" w:rsidRDefault="00247F58" w:rsidP="00247F58">
      <w:pPr>
        <w:tabs>
          <w:tab w:val="left" w:pos="1939"/>
          <w:tab w:val="left" w:pos="3312"/>
          <w:tab w:val="left" w:pos="4450"/>
          <w:tab w:val="left" w:pos="5587"/>
          <w:tab w:val="left" w:pos="6456"/>
        </w:tabs>
        <w:ind w:left="504"/>
        <w:rPr>
          <w:rFonts w:ascii="Arial Narrow" w:hAnsi="Arial Narrow"/>
          <w:b/>
        </w:rPr>
      </w:pPr>
    </w:p>
    <w:p w14:paraId="499A1366" w14:textId="21236DC4" w:rsidR="00311482" w:rsidRPr="003A7F7A" w:rsidRDefault="00770686" w:rsidP="003A7F7A">
      <w:pPr>
        <w:pStyle w:val="Prrafodelista"/>
        <w:numPr>
          <w:ilvl w:val="0"/>
          <w:numId w:val="29"/>
        </w:numPr>
        <w:shd w:val="clear" w:color="auto" w:fill="DBE5F1" w:themeFill="accent1" w:themeFillTint="33"/>
        <w:rPr>
          <w:rFonts w:ascii="Arial Narrow" w:hAnsi="Arial Narrow" w:cstheme="minorHAnsi"/>
          <w:b/>
          <w:sz w:val="24"/>
          <w:szCs w:val="24"/>
        </w:rPr>
      </w:pPr>
      <w:r>
        <w:rPr>
          <w:rFonts w:ascii="Arial Narrow" w:hAnsi="Arial Narrow" w:cstheme="minorHAnsi"/>
          <w:b/>
          <w:sz w:val="24"/>
          <w:szCs w:val="24"/>
        </w:rPr>
        <w:t>CONCLUSIONES</w:t>
      </w:r>
      <w:r w:rsidR="00F91534">
        <w:rPr>
          <w:rFonts w:ascii="Arial Narrow" w:hAnsi="Arial Narrow" w:cstheme="minorHAnsi"/>
          <w:b/>
          <w:sz w:val="24"/>
          <w:szCs w:val="24"/>
        </w:rPr>
        <w:t xml:space="preserve"> Y RECOMENDACIONES</w:t>
      </w:r>
    </w:p>
    <w:p w14:paraId="36E70B9E" w14:textId="77777777" w:rsidR="00311482" w:rsidRPr="003A7F7A" w:rsidRDefault="00311482" w:rsidP="006E50B0">
      <w:pPr>
        <w:tabs>
          <w:tab w:val="left" w:pos="1939"/>
          <w:tab w:val="left" w:pos="3312"/>
          <w:tab w:val="left" w:pos="4450"/>
          <w:tab w:val="left" w:pos="5587"/>
          <w:tab w:val="left" w:pos="6456"/>
        </w:tabs>
        <w:rPr>
          <w:rFonts w:ascii="Arial Narrow" w:hAnsi="Arial Narrow"/>
          <w:b/>
        </w:rPr>
      </w:pPr>
    </w:p>
    <w:p w14:paraId="4A875ADB" w14:textId="2A293797" w:rsidR="0074398C" w:rsidRPr="003A7F7A" w:rsidRDefault="00770686" w:rsidP="00E57229">
      <w:pPr>
        <w:tabs>
          <w:tab w:val="left" w:pos="1939"/>
          <w:tab w:val="left" w:pos="3312"/>
          <w:tab w:val="left" w:pos="4450"/>
          <w:tab w:val="left" w:pos="5587"/>
          <w:tab w:val="left" w:pos="6456"/>
        </w:tabs>
        <w:jc w:val="both"/>
        <w:rPr>
          <w:rFonts w:ascii="Arial Narrow" w:hAnsi="Arial Narrow"/>
          <w:bCs/>
        </w:rPr>
      </w:pPr>
      <w:r>
        <w:rPr>
          <w:rFonts w:ascii="Arial Narrow" w:hAnsi="Arial Narrow"/>
          <w:bCs/>
        </w:rPr>
        <w:t xml:space="preserve">A pesar de los avances evidentes en la implementación del SIAR especialmente en SARC, SARL Y SARLAFT se requiere mejorar algunos aspectos de </w:t>
      </w:r>
      <w:proofErr w:type="gramStart"/>
      <w:r>
        <w:rPr>
          <w:rFonts w:ascii="Arial Narrow" w:hAnsi="Arial Narrow"/>
          <w:bCs/>
        </w:rPr>
        <w:t>éstos</w:t>
      </w:r>
      <w:proofErr w:type="gramEnd"/>
      <w:r>
        <w:rPr>
          <w:rFonts w:ascii="Arial Narrow" w:hAnsi="Arial Narrow"/>
          <w:bCs/>
        </w:rPr>
        <w:t xml:space="preserve"> riesgos y definir algunas políticas, limites y mecanismos de identificación, evaluación, medición, control, monitoreo y mitigación del SARM y SARO.</w:t>
      </w:r>
    </w:p>
    <w:p w14:paraId="4BA703B4" w14:textId="6145EC2D" w:rsidR="0074398C" w:rsidRPr="003A7F7A" w:rsidRDefault="0074398C" w:rsidP="00E57229">
      <w:pPr>
        <w:tabs>
          <w:tab w:val="left" w:pos="1939"/>
          <w:tab w:val="left" w:pos="3312"/>
          <w:tab w:val="left" w:pos="4450"/>
          <w:tab w:val="left" w:pos="5587"/>
          <w:tab w:val="left" w:pos="6456"/>
        </w:tabs>
        <w:jc w:val="both"/>
        <w:rPr>
          <w:rFonts w:ascii="Arial Narrow" w:hAnsi="Arial Narrow"/>
          <w:bCs/>
        </w:rPr>
      </w:pPr>
    </w:p>
    <w:p w14:paraId="528267BE" w14:textId="79F21E9F" w:rsidR="0074398C" w:rsidRPr="003A7F7A" w:rsidRDefault="0074398C" w:rsidP="00E57229">
      <w:pPr>
        <w:tabs>
          <w:tab w:val="left" w:pos="1939"/>
          <w:tab w:val="left" w:pos="3312"/>
          <w:tab w:val="left" w:pos="4450"/>
          <w:tab w:val="left" w:pos="5587"/>
          <w:tab w:val="left" w:pos="6456"/>
        </w:tabs>
        <w:jc w:val="both"/>
        <w:rPr>
          <w:rFonts w:ascii="Arial Narrow" w:hAnsi="Arial Narrow"/>
          <w:bCs/>
        </w:rPr>
      </w:pPr>
      <w:r w:rsidRPr="003A7F7A">
        <w:rPr>
          <w:rFonts w:ascii="Arial Narrow" w:hAnsi="Arial Narrow"/>
          <w:bCs/>
        </w:rPr>
        <w:t xml:space="preserve">Se recomienda continuar fortaleciendo el capital institucional para apalancar el crecimiento de largo plazo y mejorar la capacidad de generación de excedentes que tiene la entidad, cubrir sus riesgos de crédito e insolvencia ya a la vez disponer de mayor liquidez a </w:t>
      </w:r>
      <w:proofErr w:type="gramStart"/>
      <w:r w:rsidRPr="003A7F7A">
        <w:rPr>
          <w:rFonts w:ascii="Arial Narrow" w:hAnsi="Arial Narrow"/>
          <w:bCs/>
        </w:rPr>
        <w:t>cero costo</w:t>
      </w:r>
      <w:proofErr w:type="gramEnd"/>
      <w:r w:rsidRPr="003A7F7A">
        <w:rPr>
          <w:rFonts w:ascii="Arial Narrow" w:hAnsi="Arial Narrow"/>
          <w:bCs/>
        </w:rPr>
        <w:t xml:space="preserve"> disminuyendo no solo el riesgo de liquidez, sino también el de mercado.</w:t>
      </w:r>
    </w:p>
    <w:p w14:paraId="2781DF25" w14:textId="77777777" w:rsidR="00311482" w:rsidRPr="003A7F7A" w:rsidRDefault="00311482" w:rsidP="00247F58">
      <w:pPr>
        <w:tabs>
          <w:tab w:val="left" w:pos="1939"/>
          <w:tab w:val="left" w:pos="3312"/>
          <w:tab w:val="left" w:pos="4450"/>
          <w:tab w:val="left" w:pos="5587"/>
          <w:tab w:val="left" w:pos="6456"/>
        </w:tabs>
        <w:ind w:left="66"/>
        <w:jc w:val="both"/>
        <w:rPr>
          <w:rFonts w:ascii="Arial Narrow" w:hAnsi="Arial Narrow"/>
          <w:bCs/>
        </w:rPr>
      </w:pPr>
    </w:p>
    <w:p w14:paraId="22E275DA" w14:textId="5C32E62D" w:rsidR="00FA60A0" w:rsidRDefault="00E57229" w:rsidP="00E57229">
      <w:pPr>
        <w:tabs>
          <w:tab w:val="left" w:pos="1939"/>
          <w:tab w:val="left" w:pos="3312"/>
          <w:tab w:val="left" w:pos="4450"/>
          <w:tab w:val="left" w:pos="5587"/>
          <w:tab w:val="left" w:pos="6456"/>
        </w:tabs>
        <w:jc w:val="both"/>
        <w:rPr>
          <w:rFonts w:ascii="Arial Narrow" w:hAnsi="Arial Narrow" w:cs="Calibri"/>
          <w:color w:val="000000" w:themeColor="text1"/>
        </w:rPr>
      </w:pPr>
      <w:r w:rsidRPr="003A7F7A">
        <w:rPr>
          <w:rFonts w:ascii="Arial Narrow" w:hAnsi="Arial Narrow"/>
          <w:bCs/>
        </w:rPr>
        <w:t>E</w:t>
      </w:r>
      <w:r w:rsidR="00311482" w:rsidRPr="003A7F7A">
        <w:rPr>
          <w:rFonts w:ascii="Arial Narrow" w:hAnsi="Arial Narrow"/>
          <w:bCs/>
        </w:rPr>
        <w:t>s de esperarse que las tasas de interés, la inflación y el desempleo se incrementen en los próximos meses como ya empieza a observarse</w:t>
      </w:r>
      <w:r w:rsidRPr="003A7F7A">
        <w:rPr>
          <w:rFonts w:ascii="Arial Narrow" w:hAnsi="Arial Narrow"/>
          <w:bCs/>
        </w:rPr>
        <w:t xml:space="preserve"> sin embargo </w:t>
      </w:r>
      <w:r w:rsidR="00DD455E" w:rsidRPr="003A7F7A">
        <w:rPr>
          <w:rFonts w:ascii="Arial Narrow" w:hAnsi="Arial Narrow" w:cs="Calibri"/>
          <w:color w:val="000000" w:themeColor="text1"/>
        </w:rPr>
        <w:t>la competencia por el crédito de libranza y vivienda va a ser fuerte ya no solo con la Banca, sino con las Cajas de Compensación Familiar y FINTECH</w:t>
      </w:r>
      <w:r w:rsidR="003B69BC" w:rsidRPr="003A7F7A">
        <w:rPr>
          <w:rFonts w:ascii="Arial Narrow" w:hAnsi="Arial Narrow" w:cs="Calibri"/>
          <w:color w:val="000000" w:themeColor="text1"/>
        </w:rPr>
        <w:t xml:space="preserve"> por lo que </w:t>
      </w:r>
      <w:r w:rsidR="00770686">
        <w:rPr>
          <w:rFonts w:ascii="Arial Narrow" w:hAnsi="Arial Narrow" w:cs="Calibri"/>
          <w:color w:val="000000" w:themeColor="text1"/>
        </w:rPr>
        <w:t>la entidad</w:t>
      </w:r>
      <w:r w:rsidR="003B69BC" w:rsidRPr="003A7F7A">
        <w:rPr>
          <w:rFonts w:ascii="Arial Narrow" w:hAnsi="Arial Narrow" w:cs="Calibri"/>
          <w:color w:val="000000" w:themeColor="text1"/>
        </w:rPr>
        <w:t xml:space="preserve"> debe desarrollar estrategias y promociones (campañas) que mitiguen el riesgo de disminución de la cartera</w:t>
      </w:r>
      <w:r w:rsidR="00DD455E" w:rsidRPr="003A7F7A">
        <w:rPr>
          <w:rFonts w:ascii="Arial Narrow" w:hAnsi="Arial Narrow" w:cs="Calibri"/>
          <w:color w:val="000000" w:themeColor="text1"/>
        </w:rPr>
        <w:t xml:space="preserve">.  </w:t>
      </w:r>
    </w:p>
    <w:p w14:paraId="6BCEADE0" w14:textId="77777777" w:rsidR="00770686" w:rsidRDefault="00770686" w:rsidP="00E57229">
      <w:pPr>
        <w:tabs>
          <w:tab w:val="left" w:pos="1939"/>
          <w:tab w:val="left" w:pos="3312"/>
          <w:tab w:val="left" w:pos="4450"/>
          <w:tab w:val="left" w:pos="5587"/>
          <w:tab w:val="left" w:pos="6456"/>
        </w:tabs>
        <w:jc w:val="both"/>
        <w:rPr>
          <w:rFonts w:ascii="Arial Narrow" w:hAnsi="Arial Narrow" w:cs="Calibri"/>
          <w:color w:val="000000" w:themeColor="text1"/>
        </w:rPr>
      </w:pPr>
    </w:p>
    <w:p w14:paraId="2E904FC2" w14:textId="7529797B" w:rsidR="00770686" w:rsidRPr="003A7F7A" w:rsidRDefault="00770686" w:rsidP="00E57229">
      <w:pPr>
        <w:tabs>
          <w:tab w:val="left" w:pos="1939"/>
          <w:tab w:val="left" w:pos="3312"/>
          <w:tab w:val="left" w:pos="4450"/>
          <w:tab w:val="left" w:pos="5587"/>
          <w:tab w:val="left" w:pos="6456"/>
        </w:tabs>
        <w:jc w:val="both"/>
        <w:rPr>
          <w:rFonts w:ascii="Arial Narrow" w:hAnsi="Arial Narrow" w:cs="Calibri"/>
          <w:color w:val="000000" w:themeColor="text1"/>
        </w:rPr>
      </w:pPr>
      <w:r>
        <w:rPr>
          <w:rFonts w:ascii="Arial Narrow" w:hAnsi="Arial Narrow" w:cs="Calibri"/>
          <w:color w:val="000000" w:themeColor="text1"/>
        </w:rPr>
        <w:t>Se debe capacitar y entrenar en todo lo relacionado con riesgos a los empleados, directivos y comités.</w:t>
      </w:r>
    </w:p>
    <w:p w14:paraId="755AA9FF" w14:textId="32388211" w:rsidR="00DD455E" w:rsidRPr="003A7F7A" w:rsidRDefault="00DD455E" w:rsidP="006E50B0">
      <w:pPr>
        <w:jc w:val="both"/>
        <w:rPr>
          <w:rFonts w:ascii="Arial Narrow" w:hAnsi="Arial Narrow" w:cs="Calibri"/>
          <w:color w:val="000000" w:themeColor="text1"/>
        </w:rPr>
      </w:pPr>
    </w:p>
    <w:p w14:paraId="43EC3A56" w14:textId="10E850C7" w:rsidR="00C22F66" w:rsidRPr="003A7F7A" w:rsidRDefault="00C22F66" w:rsidP="006E50B0">
      <w:pPr>
        <w:jc w:val="both"/>
        <w:rPr>
          <w:rFonts w:ascii="Arial Narrow" w:hAnsi="Arial Narrow"/>
          <w:color w:val="000000" w:themeColor="text1"/>
        </w:rPr>
      </w:pPr>
    </w:p>
    <w:p w14:paraId="3B6FAF65" w14:textId="77777777" w:rsidR="004A0BD6" w:rsidRPr="003A7F7A" w:rsidRDefault="004A0BD6" w:rsidP="006E50B0">
      <w:pPr>
        <w:jc w:val="both"/>
        <w:rPr>
          <w:rFonts w:ascii="Arial Narrow" w:hAnsi="Arial Narrow"/>
          <w:color w:val="000000" w:themeColor="text1"/>
        </w:rPr>
      </w:pPr>
    </w:p>
    <w:p w14:paraId="5886DDC4" w14:textId="77777777" w:rsidR="00C22F66" w:rsidRPr="003A7F7A" w:rsidRDefault="00C22F66" w:rsidP="006E50B0">
      <w:pPr>
        <w:jc w:val="both"/>
        <w:rPr>
          <w:rFonts w:ascii="Arial Narrow" w:hAnsi="Arial Narrow"/>
          <w:color w:val="000000" w:themeColor="text1"/>
        </w:rPr>
      </w:pPr>
    </w:p>
    <w:p w14:paraId="7D2C47E7" w14:textId="7A2C646E" w:rsidR="008774F5" w:rsidRDefault="00F91534" w:rsidP="006E50B0">
      <w:pPr>
        <w:rPr>
          <w:rFonts w:ascii="Arial Narrow" w:hAnsi="Arial Narrow"/>
          <w:color w:val="000000" w:themeColor="text1"/>
        </w:rPr>
      </w:pPr>
      <w:r>
        <w:rPr>
          <w:rFonts w:ascii="Arial Narrow" w:hAnsi="Arial Narrow"/>
          <w:color w:val="000000" w:themeColor="text1"/>
        </w:rPr>
        <w:t>REVISOR FISCAL</w:t>
      </w:r>
    </w:p>
    <w:p w14:paraId="254CBCA8" w14:textId="46922763" w:rsidR="00F91534" w:rsidRPr="003A7F7A" w:rsidRDefault="00F91534" w:rsidP="006E50B0">
      <w:pPr>
        <w:rPr>
          <w:rFonts w:ascii="Arial Narrow" w:eastAsia="Calibri" w:hAnsi="Arial Narrow"/>
          <w:color w:val="000000" w:themeColor="text1"/>
          <w:lang w:eastAsia="en-US"/>
        </w:rPr>
      </w:pPr>
      <w:r>
        <w:rPr>
          <w:rFonts w:ascii="Arial Narrow" w:hAnsi="Arial Narrow"/>
          <w:color w:val="000000" w:themeColor="text1"/>
        </w:rPr>
        <w:t>TP ____</w:t>
      </w:r>
    </w:p>
    <w:sectPr w:rsidR="00F91534" w:rsidRPr="003A7F7A" w:rsidSect="0048026D">
      <w:headerReference w:type="default" r:id="rId8"/>
      <w:footerReference w:type="default" r:id="rId9"/>
      <w:pgSz w:w="12240" w:h="15840" w:code="1"/>
      <w:pgMar w:top="1440" w:right="90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FEAEA3" w14:textId="77777777" w:rsidR="002F7FAD" w:rsidRDefault="002F7FAD" w:rsidP="00121095">
      <w:r>
        <w:separator/>
      </w:r>
    </w:p>
  </w:endnote>
  <w:endnote w:type="continuationSeparator" w:id="0">
    <w:p w14:paraId="72B6349B" w14:textId="77777777" w:rsidR="002F7FAD" w:rsidRDefault="002F7FAD" w:rsidP="001210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11285748"/>
      <w:docPartObj>
        <w:docPartGallery w:val="Page Numbers (Bottom of Page)"/>
        <w:docPartUnique/>
      </w:docPartObj>
    </w:sdtPr>
    <w:sdtEndPr/>
    <w:sdtContent>
      <w:sdt>
        <w:sdtPr>
          <w:id w:val="-1769616900"/>
          <w:docPartObj>
            <w:docPartGallery w:val="Page Numbers (Top of Page)"/>
            <w:docPartUnique/>
          </w:docPartObj>
        </w:sdtPr>
        <w:sdtEndPr/>
        <w:sdtContent>
          <w:p w14:paraId="382FA066" w14:textId="45FE33A0" w:rsidR="00554A30" w:rsidRDefault="00554A30">
            <w:pPr>
              <w:pStyle w:val="Piedepgina"/>
              <w:jc w:val="right"/>
            </w:pPr>
            <w:r>
              <w:t xml:space="preserve">Página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2C3A5CFE" w14:textId="77777777" w:rsidR="00554A30" w:rsidRDefault="00554A3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245A7E" w14:textId="77777777" w:rsidR="002F7FAD" w:rsidRDefault="002F7FAD" w:rsidP="00121095">
      <w:r>
        <w:separator/>
      </w:r>
    </w:p>
  </w:footnote>
  <w:footnote w:type="continuationSeparator" w:id="0">
    <w:p w14:paraId="17580472" w14:textId="77777777" w:rsidR="002F7FAD" w:rsidRDefault="002F7FAD" w:rsidP="001210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A14292" w14:textId="3EC53154" w:rsidR="002F7FAD" w:rsidRPr="00554A30" w:rsidRDefault="002F7FAD" w:rsidP="00554A30">
    <w:pPr>
      <w:pStyle w:val="Encabezado"/>
      <w:tabs>
        <w:tab w:val="left" w:pos="2668"/>
      </w:tabs>
      <w:jc w:val="left"/>
      <w:rPr>
        <w:rFonts w:ascii="Arial Narrow" w:hAnsi="Arial Narrow"/>
        <w:b/>
        <w:bCs/>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E41F1"/>
    <w:multiLevelType w:val="hybridMultilevel"/>
    <w:tmpl w:val="498CE9B6"/>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2691CE5"/>
    <w:multiLevelType w:val="multilevel"/>
    <w:tmpl w:val="B0A2E626"/>
    <w:lvl w:ilvl="0">
      <w:start w:val="2"/>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03BA2A85"/>
    <w:multiLevelType w:val="multilevel"/>
    <w:tmpl w:val="EB12CBB2"/>
    <w:lvl w:ilvl="0">
      <w:start w:val="2"/>
      <w:numFmt w:val="decimal"/>
      <w:lvlText w:val="%1."/>
      <w:lvlJc w:val="left"/>
      <w:pPr>
        <w:ind w:left="504" w:hanging="504"/>
      </w:pPr>
      <w:rPr>
        <w:rFonts w:hint="default"/>
      </w:rPr>
    </w:lvl>
    <w:lvl w:ilvl="1">
      <w:start w:val="2"/>
      <w:numFmt w:val="decimal"/>
      <w:lvlText w:val="%1.%2."/>
      <w:lvlJc w:val="left"/>
      <w:pPr>
        <w:ind w:left="504" w:hanging="50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9EC467C"/>
    <w:multiLevelType w:val="hybridMultilevel"/>
    <w:tmpl w:val="A4A02B90"/>
    <w:lvl w:ilvl="0" w:tplc="33165AE8">
      <w:numFmt w:val="bullet"/>
      <w:lvlText w:val="-"/>
      <w:lvlJc w:val="left"/>
      <w:pPr>
        <w:ind w:left="3192" w:hanging="360"/>
      </w:pPr>
      <w:rPr>
        <w:rFonts w:ascii="Calibri" w:eastAsia="Calibri" w:hAnsi="Calibri"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3D04B23"/>
    <w:multiLevelType w:val="hybridMultilevel"/>
    <w:tmpl w:val="2430CA98"/>
    <w:lvl w:ilvl="0" w:tplc="FFFFFFFF">
      <w:start w:val="1"/>
      <w:numFmt w:val="decimal"/>
      <w:lvlText w:val="%1."/>
      <w:lvlJc w:val="left"/>
      <w:pPr>
        <w:ind w:left="720" w:hanging="360"/>
      </w:pPr>
      <w:rPr>
        <w:rFonts w:cs="Times New Roma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41D3FA7"/>
    <w:multiLevelType w:val="multilevel"/>
    <w:tmpl w:val="212290CC"/>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143269AB"/>
    <w:multiLevelType w:val="multilevel"/>
    <w:tmpl w:val="49E2C310"/>
    <w:lvl w:ilvl="0">
      <w:start w:val="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45A74A6"/>
    <w:multiLevelType w:val="multilevel"/>
    <w:tmpl w:val="B0A2E626"/>
    <w:lvl w:ilvl="0">
      <w:start w:val="2"/>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15:restartNumberingAfterBreak="0">
    <w:nsid w:val="167C42D0"/>
    <w:multiLevelType w:val="multilevel"/>
    <w:tmpl w:val="212290CC"/>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1A501D34"/>
    <w:multiLevelType w:val="multilevel"/>
    <w:tmpl w:val="212290CC"/>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1FD97D79"/>
    <w:multiLevelType w:val="hybridMultilevel"/>
    <w:tmpl w:val="A38479B6"/>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24D77EE2"/>
    <w:multiLevelType w:val="hybridMultilevel"/>
    <w:tmpl w:val="E10E5D1E"/>
    <w:lvl w:ilvl="0" w:tplc="33165AE8">
      <w:numFmt w:val="bullet"/>
      <w:lvlText w:val="-"/>
      <w:lvlJc w:val="left"/>
      <w:pPr>
        <w:ind w:left="3192" w:hanging="360"/>
      </w:pPr>
      <w:rPr>
        <w:rFonts w:ascii="Calibri" w:eastAsia="Calibri" w:hAnsi="Calibri" w:cs="Times New Roman" w:hint="default"/>
      </w:rPr>
    </w:lvl>
    <w:lvl w:ilvl="1" w:tplc="0C0A0003" w:tentative="1">
      <w:start w:val="1"/>
      <w:numFmt w:val="bullet"/>
      <w:lvlText w:val="o"/>
      <w:lvlJc w:val="left"/>
      <w:pPr>
        <w:ind w:left="3912" w:hanging="360"/>
      </w:pPr>
      <w:rPr>
        <w:rFonts w:ascii="Courier New" w:hAnsi="Courier New" w:cs="Courier New" w:hint="default"/>
      </w:rPr>
    </w:lvl>
    <w:lvl w:ilvl="2" w:tplc="0C0A0005" w:tentative="1">
      <w:start w:val="1"/>
      <w:numFmt w:val="bullet"/>
      <w:lvlText w:val=""/>
      <w:lvlJc w:val="left"/>
      <w:pPr>
        <w:ind w:left="4632" w:hanging="360"/>
      </w:pPr>
      <w:rPr>
        <w:rFonts w:ascii="Wingdings" w:hAnsi="Wingdings" w:hint="default"/>
      </w:rPr>
    </w:lvl>
    <w:lvl w:ilvl="3" w:tplc="0C0A0001" w:tentative="1">
      <w:start w:val="1"/>
      <w:numFmt w:val="bullet"/>
      <w:lvlText w:val=""/>
      <w:lvlJc w:val="left"/>
      <w:pPr>
        <w:ind w:left="5352" w:hanging="360"/>
      </w:pPr>
      <w:rPr>
        <w:rFonts w:ascii="Symbol" w:hAnsi="Symbol" w:hint="default"/>
      </w:rPr>
    </w:lvl>
    <w:lvl w:ilvl="4" w:tplc="0C0A0003" w:tentative="1">
      <w:start w:val="1"/>
      <w:numFmt w:val="bullet"/>
      <w:lvlText w:val="o"/>
      <w:lvlJc w:val="left"/>
      <w:pPr>
        <w:ind w:left="6072" w:hanging="360"/>
      </w:pPr>
      <w:rPr>
        <w:rFonts w:ascii="Courier New" w:hAnsi="Courier New" w:cs="Courier New" w:hint="default"/>
      </w:rPr>
    </w:lvl>
    <w:lvl w:ilvl="5" w:tplc="0C0A0005" w:tentative="1">
      <w:start w:val="1"/>
      <w:numFmt w:val="bullet"/>
      <w:lvlText w:val=""/>
      <w:lvlJc w:val="left"/>
      <w:pPr>
        <w:ind w:left="6792" w:hanging="360"/>
      </w:pPr>
      <w:rPr>
        <w:rFonts w:ascii="Wingdings" w:hAnsi="Wingdings" w:hint="default"/>
      </w:rPr>
    </w:lvl>
    <w:lvl w:ilvl="6" w:tplc="0C0A0001" w:tentative="1">
      <w:start w:val="1"/>
      <w:numFmt w:val="bullet"/>
      <w:lvlText w:val=""/>
      <w:lvlJc w:val="left"/>
      <w:pPr>
        <w:ind w:left="7512" w:hanging="360"/>
      </w:pPr>
      <w:rPr>
        <w:rFonts w:ascii="Symbol" w:hAnsi="Symbol" w:hint="default"/>
      </w:rPr>
    </w:lvl>
    <w:lvl w:ilvl="7" w:tplc="0C0A0003" w:tentative="1">
      <w:start w:val="1"/>
      <w:numFmt w:val="bullet"/>
      <w:lvlText w:val="o"/>
      <w:lvlJc w:val="left"/>
      <w:pPr>
        <w:ind w:left="8232" w:hanging="360"/>
      </w:pPr>
      <w:rPr>
        <w:rFonts w:ascii="Courier New" w:hAnsi="Courier New" w:cs="Courier New" w:hint="default"/>
      </w:rPr>
    </w:lvl>
    <w:lvl w:ilvl="8" w:tplc="0C0A0005" w:tentative="1">
      <w:start w:val="1"/>
      <w:numFmt w:val="bullet"/>
      <w:lvlText w:val=""/>
      <w:lvlJc w:val="left"/>
      <w:pPr>
        <w:ind w:left="8952" w:hanging="360"/>
      </w:pPr>
      <w:rPr>
        <w:rFonts w:ascii="Wingdings" w:hAnsi="Wingdings" w:hint="default"/>
      </w:rPr>
    </w:lvl>
  </w:abstractNum>
  <w:abstractNum w:abstractNumId="12" w15:restartNumberingAfterBreak="0">
    <w:nsid w:val="272F6D3D"/>
    <w:multiLevelType w:val="hybridMultilevel"/>
    <w:tmpl w:val="8FD8C156"/>
    <w:lvl w:ilvl="0" w:tplc="3140D1DC">
      <w:start w:val="1"/>
      <w:numFmt w:val="lowerLetter"/>
      <w:lvlText w:val="%1)"/>
      <w:lvlJc w:val="left"/>
      <w:pPr>
        <w:ind w:left="720" w:hanging="360"/>
      </w:pPr>
      <w:rPr>
        <w:rFonts w:hint="default"/>
        <w:b/>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277C01AD"/>
    <w:multiLevelType w:val="hybridMultilevel"/>
    <w:tmpl w:val="0B3419D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89C1D1D"/>
    <w:multiLevelType w:val="hybridMultilevel"/>
    <w:tmpl w:val="3240077A"/>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28DC4CA7"/>
    <w:multiLevelType w:val="hybridMultilevel"/>
    <w:tmpl w:val="CA1041DC"/>
    <w:lvl w:ilvl="0" w:tplc="25EAD256">
      <w:start w:val="1"/>
      <w:numFmt w:val="bullet"/>
      <w:lvlText w:val="•"/>
      <w:lvlJc w:val="left"/>
      <w:pPr>
        <w:tabs>
          <w:tab w:val="num" w:pos="360"/>
        </w:tabs>
        <w:ind w:left="360" w:hanging="360"/>
      </w:pPr>
      <w:rPr>
        <w:rFonts w:ascii="Times New Roman" w:hAnsi="Times New Roman"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6" w15:restartNumberingAfterBreak="0">
    <w:nsid w:val="2A570C54"/>
    <w:multiLevelType w:val="hybridMultilevel"/>
    <w:tmpl w:val="4C42040A"/>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2BFC25C9"/>
    <w:multiLevelType w:val="multilevel"/>
    <w:tmpl w:val="212290CC"/>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2D1D7624"/>
    <w:multiLevelType w:val="hybridMultilevel"/>
    <w:tmpl w:val="EF2E5300"/>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300578D7"/>
    <w:multiLevelType w:val="hybridMultilevel"/>
    <w:tmpl w:val="0CC657BC"/>
    <w:lvl w:ilvl="0" w:tplc="240A0017">
      <w:start w:val="7"/>
      <w:numFmt w:val="lowerLetter"/>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3164775B"/>
    <w:multiLevelType w:val="hybridMultilevel"/>
    <w:tmpl w:val="4BCE72E2"/>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41BE69EC"/>
    <w:multiLevelType w:val="multilevel"/>
    <w:tmpl w:val="212290CC"/>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4BC179D2"/>
    <w:multiLevelType w:val="hybridMultilevel"/>
    <w:tmpl w:val="5AC0FB4A"/>
    <w:lvl w:ilvl="0" w:tplc="33165AE8">
      <w:numFmt w:val="bullet"/>
      <w:lvlText w:val="-"/>
      <w:lvlJc w:val="left"/>
      <w:pPr>
        <w:ind w:left="360" w:hanging="360"/>
      </w:pPr>
      <w:rPr>
        <w:rFonts w:ascii="Calibri" w:eastAsia="Calibri" w:hAnsi="Calibri" w:cs="Times New Roman" w:hint="default"/>
      </w:rPr>
    </w:lvl>
    <w:lvl w:ilvl="1" w:tplc="240A0003" w:tentative="1">
      <w:start w:val="1"/>
      <w:numFmt w:val="bullet"/>
      <w:lvlText w:val="o"/>
      <w:lvlJc w:val="left"/>
      <w:pPr>
        <w:ind w:left="-1392" w:hanging="360"/>
      </w:pPr>
      <w:rPr>
        <w:rFonts w:ascii="Courier New" w:hAnsi="Courier New" w:cs="Courier New" w:hint="default"/>
      </w:rPr>
    </w:lvl>
    <w:lvl w:ilvl="2" w:tplc="240A0005" w:tentative="1">
      <w:start w:val="1"/>
      <w:numFmt w:val="bullet"/>
      <w:lvlText w:val=""/>
      <w:lvlJc w:val="left"/>
      <w:pPr>
        <w:ind w:left="-672" w:hanging="360"/>
      </w:pPr>
      <w:rPr>
        <w:rFonts w:ascii="Wingdings" w:hAnsi="Wingdings" w:hint="default"/>
      </w:rPr>
    </w:lvl>
    <w:lvl w:ilvl="3" w:tplc="240A0001" w:tentative="1">
      <w:start w:val="1"/>
      <w:numFmt w:val="bullet"/>
      <w:lvlText w:val=""/>
      <w:lvlJc w:val="left"/>
      <w:pPr>
        <w:ind w:left="48" w:hanging="360"/>
      </w:pPr>
      <w:rPr>
        <w:rFonts w:ascii="Symbol" w:hAnsi="Symbol" w:hint="default"/>
      </w:rPr>
    </w:lvl>
    <w:lvl w:ilvl="4" w:tplc="240A0003" w:tentative="1">
      <w:start w:val="1"/>
      <w:numFmt w:val="bullet"/>
      <w:lvlText w:val="o"/>
      <w:lvlJc w:val="left"/>
      <w:pPr>
        <w:ind w:left="768" w:hanging="360"/>
      </w:pPr>
      <w:rPr>
        <w:rFonts w:ascii="Courier New" w:hAnsi="Courier New" w:cs="Courier New" w:hint="default"/>
      </w:rPr>
    </w:lvl>
    <w:lvl w:ilvl="5" w:tplc="240A0005" w:tentative="1">
      <w:start w:val="1"/>
      <w:numFmt w:val="bullet"/>
      <w:lvlText w:val=""/>
      <w:lvlJc w:val="left"/>
      <w:pPr>
        <w:ind w:left="1488" w:hanging="360"/>
      </w:pPr>
      <w:rPr>
        <w:rFonts w:ascii="Wingdings" w:hAnsi="Wingdings" w:hint="default"/>
      </w:rPr>
    </w:lvl>
    <w:lvl w:ilvl="6" w:tplc="240A0001" w:tentative="1">
      <w:start w:val="1"/>
      <w:numFmt w:val="bullet"/>
      <w:lvlText w:val=""/>
      <w:lvlJc w:val="left"/>
      <w:pPr>
        <w:ind w:left="2208" w:hanging="360"/>
      </w:pPr>
      <w:rPr>
        <w:rFonts w:ascii="Symbol" w:hAnsi="Symbol" w:hint="default"/>
      </w:rPr>
    </w:lvl>
    <w:lvl w:ilvl="7" w:tplc="240A0003" w:tentative="1">
      <w:start w:val="1"/>
      <w:numFmt w:val="bullet"/>
      <w:lvlText w:val="o"/>
      <w:lvlJc w:val="left"/>
      <w:pPr>
        <w:ind w:left="2928" w:hanging="360"/>
      </w:pPr>
      <w:rPr>
        <w:rFonts w:ascii="Courier New" w:hAnsi="Courier New" w:cs="Courier New" w:hint="default"/>
      </w:rPr>
    </w:lvl>
    <w:lvl w:ilvl="8" w:tplc="240A0005" w:tentative="1">
      <w:start w:val="1"/>
      <w:numFmt w:val="bullet"/>
      <w:lvlText w:val=""/>
      <w:lvlJc w:val="left"/>
      <w:pPr>
        <w:ind w:left="3648" w:hanging="360"/>
      </w:pPr>
      <w:rPr>
        <w:rFonts w:ascii="Wingdings" w:hAnsi="Wingdings" w:hint="default"/>
      </w:rPr>
    </w:lvl>
  </w:abstractNum>
  <w:abstractNum w:abstractNumId="23" w15:restartNumberingAfterBreak="0">
    <w:nsid w:val="520D0BC5"/>
    <w:multiLevelType w:val="hybridMultilevel"/>
    <w:tmpl w:val="8BF26F0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4" w15:restartNumberingAfterBreak="0">
    <w:nsid w:val="541A2E70"/>
    <w:multiLevelType w:val="hybridMultilevel"/>
    <w:tmpl w:val="611867DE"/>
    <w:lvl w:ilvl="0" w:tplc="33165AE8">
      <w:numFmt w:val="bullet"/>
      <w:lvlText w:val="-"/>
      <w:lvlJc w:val="left"/>
      <w:pPr>
        <w:ind w:left="3192" w:hanging="360"/>
      </w:pPr>
      <w:rPr>
        <w:rFonts w:ascii="Calibri" w:eastAsia="Calibri" w:hAnsi="Calibri"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5DCB7271"/>
    <w:multiLevelType w:val="hybridMultilevel"/>
    <w:tmpl w:val="A96C2974"/>
    <w:lvl w:ilvl="0" w:tplc="240A0017">
      <w:start w:val="1"/>
      <w:numFmt w:val="low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26" w15:restartNumberingAfterBreak="0">
    <w:nsid w:val="5E70458F"/>
    <w:multiLevelType w:val="multilevel"/>
    <w:tmpl w:val="212290CC"/>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688E57BA"/>
    <w:multiLevelType w:val="multilevel"/>
    <w:tmpl w:val="924A8760"/>
    <w:lvl w:ilvl="0">
      <w:start w:val="2"/>
      <w:numFmt w:val="decimal"/>
      <w:lvlText w:val="%1."/>
      <w:lvlJc w:val="left"/>
      <w:pPr>
        <w:ind w:left="504" w:hanging="504"/>
      </w:pPr>
      <w:rPr>
        <w:rFonts w:hint="default"/>
      </w:rPr>
    </w:lvl>
    <w:lvl w:ilvl="1">
      <w:start w:val="2"/>
      <w:numFmt w:val="decimal"/>
      <w:lvlText w:val="%1.%2."/>
      <w:lvlJc w:val="left"/>
      <w:pPr>
        <w:ind w:left="504" w:hanging="50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6BA30DC8"/>
    <w:multiLevelType w:val="hybridMultilevel"/>
    <w:tmpl w:val="EB7206E0"/>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29" w15:restartNumberingAfterBreak="0">
    <w:nsid w:val="70F71484"/>
    <w:multiLevelType w:val="hybridMultilevel"/>
    <w:tmpl w:val="2348E7D0"/>
    <w:lvl w:ilvl="0" w:tplc="2B165C94">
      <w:start w:val="3"/>
      <w:numFmt w:val="upperLetter"/>
      <w:lvlText w:val="%1)"/>
      <w:lvlJc w:val="left"/>
      <w:pPr>
        <w:ind w:left="720" w:hanging="360"/>
      </w:pPr>
      <w:rPr>
        <w:rFonts w:hint="default"/>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 w15:restartNumberingAfterBreak="0">
    <w:nsid w:val="78C27CC5"/>
    <w:multiLevelType w:val="multilevel"/>
    <w:tmpl w:val="F0B02096"/>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1" w15:restartNumberingAfterBreak="0">
    <w:nsid w:val="7AB659B2"/>
    <w:multiLevelType w:val="multilevel"/>
    <w:tmpl w:val="B8ECA5A0"/>
    <w:lvl w:ilvl="0">
      <w:start w:val="2"/>
      <w:numFmt w:val="decimal"/>
      <w:lvlText w:val="%1."/>
      <w:lvlJc w:val="left"/>
      <w:pPr>
        <w:ind w:left="504" w:hanging="504"/>
      </w:pPr>
      <w:rPr>
        <w:rFonts w:hint="default"/>
      </w:rPr>
    </w:lvl>
    <w:lvl w:ilvl="1">
      <w:start w:val="1"/>
      <w:numFmt w:val="decimal"/>
      <w:lvlText w:val="%1.%2."/>
      <w:lvlJc w:val="left"/>
      <w:pPr>
        <w:ind w:left="504" w:hanging="504"/>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7AB66590"/>
    <w:multiLevelType w:val="hybridMultilevel"/>
    <w:tmpl w:val="00727AA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7ADA52F8"/>
    <w:multiLevelType w:val="hybridMultilevel"/>
    <w:tmpl w:val="D3EEFC6C"/>
    <w:lvl w:ilvl="0" w:tplc="13C2398A">
      <w:start w:val="7"/>
      <w:numFmt w:val="bullet"/>
      <w:lvlText w:val="-"/>
      <w:lvlJc w:val="left"/>
      <w:pPr>
        <w:ind w:left="720" w:hanging="360"/>
      </w:pPr>
      <w:rPr>
        <w:rFonts w:ascii="Arial Narrow" w:eastAsia="Times New Roman" w:hAnsi="Arial Narrow"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7F302081"/>
    <w:multiLevelType w:val="hybridMultilevel"/>
    <w:tmpl w:val="9F5E54A2"/>
    <w:lvl w:ilvl="0" w:tplc="25EAD256">
      <w:start w:val="1"/>
      <w:numFmt w:val="bullet"/>
      <w:lvlText w:val="•"/>
      <w:lvlJc w:val="left"/>
      <w:pPr>
        <w:tabs>
          <w:tab w:val="num" w:pos="720"/>
        </w:tabs>
        <w:ind w:left="720" w:hanging="360"/>
      </w:pPr>
      <w:rPr>
        <w:rFonts w:ascii="Times New Roman" w:hAnsi="Times New Roman" w:hint="default"/>
      </w:rPr>
    </w:lvl>
    <w:lvl w:ilvl="1" w:tplc="DD3CF610">
      <w:numFmt w:val="none"/>
      <w:lvlText w:val=""/>
      <w:lvlJc w:val="left"/>
      <w:pPr>
        <w:tabs>
          <w:tab w:val="num" w:pos="360"/>
        </w:tabs>
      </w:pPr>
    </w:lvl>
    <w:lvl w:ilvl="2" w:tplc="8C4CE78E" w:tentative="1">
      <w:start w:val="1"/>
      <w:numFmt w:val="bullet"/>
      <w:lvlText w:val="•"/>
      <w:lvlJc w:val="left"/>
      <w:pPr>
        <w:tabs>
          <w:tab w:val="num" w:pos="2160"/>
        </w:tabs>
        <w:ind w:left="2160" w:hanging="360"/>
      </w:pPr>
      <w:rPr>
        <w:rFonts w:ascii="Times New Roman" w:hAnsi="Times New Roman" w:hint="default"/>
      </w:rPr>
    </w:lvl>
    <w:lvl w:ilvl="3" w:tplc="E1BA5408" w:tentative="1">
      <w:start w:val="1"/>
      <w:numFmt w:val="bullet"/>
      <w:lvlText w:val="•"/>
      <w:lvlJc w:val="left"/>
      <w:pPr>
        <w:tabs>
          <w:tab w:val="num" w:pos="2880"/>
        </w:tabs>
        <w:ind w:left="2880" w:hanging="360"/>
      </w:pPr>
      <w:rPr>
        <w:rFonts w:ascii="Times New Roman" w:hAnsi="Times New Roman" w:hint="default"/>
      </w:rPr>
    </w:lvl>
    <w:lvl w:ilvl="4" w:tplc="12103906" w:tentative="1">
      <w:start w:val="1"/>
      <w:numFmt w:val="bullet"/>
      <w:lvlText w:val="•"/>
      <w:lvlJc w:val="left"/>
      <w:pPr>
        <w:tabs>
          <w:tab w:val="num" w:pos="3600"/>
        </w:tabs>
        <w:ind w:left="3600" w:hanging="360"/>
      </w:pPr>
      <w:rPr>
        <w:rFonts w:ascii="Times New Roman" w:hAnsi="Times New Roman" w:hint="default"/>
      </w:rPr>
    </w:lvl>
    <w:lvl w:ilvl="5" w:tplc="0DACBCDA" w:tentative="1">
      <w:start w:val="1"/>
      <w:numFmt w:val="bullet"/>
      <w:lvlText w:val="•"/>
      <w:lvlJc w:val="left"/>
      <w:pPr>
        <w:tabs>
          <w:tab w:val="num" w:pos="4320"/>
        </w:tabs>
        <w:ind w:left="4320" w:hanging="360"/>
      </w:pPr>
      <w:rPr>
        <w:rFonts w:ascii="Times New Roman" w:hAnsi="Times New Roman" w:hint="default"/>
      </w:rPr>
    </w:lvl>
    <w:lvl w:ilvl="6" w:tplc="8D9E4E02" w:tentative="1">
      <w:start w:val="1"/>
      <w:numFmt w:val="bullet"/>
      <w:lvlText w:val="•"/>
      <w:lvlJc w:val="left"/>
      <w:pPr>
        <w:tabs>
          <w:tab w:val="num" w:pos="5040"/>
        </w:tabs>
        <w:ind w:left="5040" w:hanging="360"/>
      </w:pPr>
      <w:rPr>
        <w:rFonts w:ascii="Times New Roman" w:hAnsi="Times New Roman" w:hint="default"/>
      </w:rPr>
    </w:lvl>
    <w:lvl w:ilvl="7" w:tplc="351AAB8A" w:tentative="1">
      <w:start w:val="1"/>
      <w:numFmt w:val="bullet"/>
      <w:lvlText w:val="•"/>
      <w:lvlJc w:val="left"/>
      <w:pPr>
        <w:tabs>
          <w:tab w:val="num" w:pos="5760"/>
        </w:tabs>
        <w:ind w:left="5760" w:hanging="360"/>
      </w:pPr>
      <w:rPr>
        <w:rFonts w:ascii="Times New Roman" w:hAnsi="Times New Roman" w:hint="default"/>
      </w:rPr>
    </w:lvl>
    <w:lvl w:ilvl="8" w:tplc="6B32C218" w:tentative="1">
      <w:start w:val="1"/>
      <w:numFmt w:val="bullet"/>
      <w:lvlText w:val="•"/>
      <w:lvlJc w:val="left"/>
      <w:pPr>
        <w:tabs>
          <w:tab w:val="num" w:pos="6480"/>
        </w:tabs>
        <w:ind w:left="6480" w:hanging="360"/>
      </w:pPr>
      <w:rPr>
        <w:rFonts w:ascii="Times New Roman" w:hAnsi="Times New Roman" w:hint="default"/>
      </w:rPr>
    </w:lvl>
  </w:abstractNum>
  <w:num w:numId="1">
    <w:abstractNumId w:val="16"/>
  </w:num>
  <w:num w:numId="2">
    <w:abstractNumId w:val="11"/>
  </w:num>
  <w:num w:numId="3">
    <w:abstractNumId w:val="14"/>
  </w:num>
  <w:num w:numId="4">
    <w:abstractNumId w:val="32"/>
  </w:num>
  <w:num w:numId="5">
    <w:abstractNumId w:val="7"/>
  </w:num>
  <w:num w:numId="6">
    <w:abstractNumId w:val="31"/>
  </w:num>
  <w:num w:numId="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7"/>
  </w:num>
  <w:num w:numId="9">
    <w:abstractNumId w:val="1"/>
  </w:num>
  <w:num w:numId="10">
    <w:abstractNumId w:val="13"/>
  </w:num>
  <w:num w:numId="11">
    <w:abstractNumId w:val="34"/>
  </w:num>
  <w:num w:numId="12">
    <w:abstractNumId w:val="28"/>
  </w:num>
  <w:num w:numId="13">
    <w:abstractNumId w:val="23"/>
  </w:num>
  <w:num w:numId="14">
    <w:abstractNumId w:val="15"/>
  </w:num>
  <w:num w:numId="15">
    <w:abstractNumId w:val="18"/>
  </w:num>
  <w:num w:numId="16">
    <w:abstractNumId w:val="0"/>
  </w:num>
  <w:num w:numId="17">
    <w:abstractNumId w:val="10"/>
  </w:num>
  <w:num w:numId="18">
    <w:abstractNumId w:val="2"/>
  </w:num>
  <w:num w:numId="19">
    <w:abstractNumId w:val="12"/>
  </w:num>
  <w:num w:numId="20">
    <w:abstractNumId w:val="29"/>
  </w:num>
  <w:num w:numId="21">
    <w:abstractNumId w:val="19"/>
  </w:num>
  <w:num w:numId="22">
    <w:abstractNumId w:val="22"/>
  </w:num>
  <w:num w:numId="23">
    <w:abstractNumId w:val="24"/>
  </w:num>
  <w:num w:numId="24">
    <w:abstractNumId w:val="3"/>
  </w:num>
  <w:num w:numId="25">
    <w:abstractNumId w:val="30"/>
  </w:num>
  <w:num w:numId="26">
    <w:abstractNumId w:val="33"/>
  </w:num>
  <w:num w:numId="27">
    <w:abstractNumId w:val="6"/>
  </w:num>
  <w:num w:numId="28">
    <w:abstractNumId w:val="20"/>
  </w:num>
  <w:num w:numId="29">
    <w:abstractNumId w:val="21"/>
  </w:num>
  <w:num w:numId="30">
    <w:abstractNumId w:val="4"/>
  </w:num>
  <w:num w:numId="31">
    <w:abstractNumId w:val="9"/>
  </w:num>
  <w:num w:numId="32">
    <w:abstractNumId w:val="8"/>
  </w:num>
  <w:num w:numId="33">
    <w:abstractNumId w:val="17"/>
  </w:num>
  <w:num w:numId="34">
    <w:abstractNumId w:val="5"/>
  </w:num>
  <w:num w:numId="35">
    <w:abstractNumId w:val="26"/>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proofState w:spelling="clean" w:grammar="clean"/>
  <w:defaultTabStop w:val="708"/>
  <w:hyphenationZone w:val="425"/>
  <w:drawingGridHorizontalSpacing w:val="110"/>
  <w:displayHorizontalDrawingGridEvery w:val="2"/>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2729"/>
    <w:rsid w:val="00004407"/>
    <w:rsid w:val="00004C97"/>
    <w:rsid w:val="00013A7B"/>
    <w:rsid w:val="00015C3F"/>
    <w:rsid w:val="00023153"/>
    <w:rsid w:val="000232CC"/>
    <w:rsid w:val="00025500"/>
    <w:rsid w:val="00030A3C"/>
    <w:rsid w:val="00031368"/>
    <w:rsid w:val="00031F23"/>
    <w:rsid w:val="00046774"/>
    <w:rsid w:val="000514F9"/>
    <w:rsid w:val="00053C8E"/>
    <w:rsid w:val="00056062"/>
    <w:rsid w:val="00064BE1"/>
    <w:rsid w:val="0006777B"/>
    <w:rsid w:val="00071756"/>
    <w:rsid w:val="0007332B"/>
    <w:rsid w:val="00074F89"/>
    <w:rsid w:val="00076B49"/>
    <w:rsid w:val="00077D5F"/>
    <w:rsid w:val="000847A3"/>
    <w:rsid w:val="00091347"/>
    <w:rsid w:val="0009197E"/>
    <w:rsid w:val="00097E2C"/>
    <w:rsid w:val="000A1EBE"/>
    <w:rsid w:val="000A20DF"/>
    <w:rsid w:val="000A7D42"/>
    <w:rsid w:val="000B637B"/>
    <w:rsid w:val="000B66B8"/>
    <w:rsid w:val="000B74F6"/>
    <w:rsid w:val="000C77B8"/>
    <w:rsid w:val="000D7F13"/>
    <w:rsid w:val="000E2F2D"/>
    <w:rsid w:val="000F18B9"/>
    <w:rsid w:val="000F7111"/>
    <w:rsid w:val="00100924"/>
    <w:rsid w:val="00121095"/>
    <w:rsid w:val="00126464"/>
    <w:rsid w:val="001265B1"/>
    <w:rsid w:val="00133DDF"/>
    <w:rsid w:val="0014196D"/>
    <w:rsid w:val="00141F97"/>
    <w:rsid w:val="00146411"/>
    <w:rsid w:val="001520FD"/>
    <w:rsid w:val="001526FB"/>
    <w:rsid w:val="00152EB0"/>
    <w:rsid w:val="00153397"/>
    <w:rsid w:val="00162CB2"/>
    <w:rsid w:val="0016314A"/>
    <w:rsid w:val="00164C4F"/>
    <w:rsid w:val="00166440"/>
    <w:rsid w:val="00173E95"/>
    <w:rsid w:val="001811E2"/>
    <w:rsid w:val="0018166A"/>
    <w:rsid w:val="00181E51"/>
    <w:rsid w:val="001821BF"/>
    <w:rsid w:val="00185444"/>
    <w:rsid w:val="001877F8"/>
    <w:rsid w:val="00191FBB"/>
    <w:rsid w:val="00192359"/>
    <w:rsid w:val="001941B2"/>
    <w:rsid w:val="00195A5B"/>
    <w:rsid w:val="00195D5A"/>
    <w:rsid w:val="0019701E"/>
    <w:rsid w:val="00197F46"/>
    <w:rsid w:val="001A129C"/>
    <w:rsid w:val="001A3251"/>
    <w:rsid w:val="001A4F6A"/>
    <w:rsid w:val="001A593A"/>
    <w:rsid w:val="001B5F06"/>
    <w:rsid w:val="001D1618"/>
    <w:rsid w:val="001D2439"/>
    <w:rsid w:val="001D4879"/>
    <w:rsid w:val="001D6631"/>
    <w:rsid w:val="001E2C44"/>
    <w:rsid w:val="001E5959"/>
    <w:rsid w:val="001E63BD"/>
    <w:rsid w:val="001E6911"/>
    <w:rsid w:val="001F2E25"/>
    <w:rsid w:val="001F5E6C"/>
    <w:rsid w:val="001F68AD"/>
    <w:rsid w:val="00201779"/>
    <w:rsid w:val="00204C10"/>
    <w:rsid w:val="00207FFC"/>
    <w:rsid w:val="00212F16"/>
    <w:rsid w:val="00214DA9"/>
    <w:rsid w:val="0021570B"/>
    <w:rsid w:val="002162E1"/>
    <w:rsid w:val="00221895"/>
    <w:rsid w:val="00232AAF"/>
    <w:rsid w:val="002350F9"/>
    <w:rsid w:val="00242948"/>
    <w:rsid w:val="002431A9"/>
    <w:rsid w:val="00244C8C"/>
    <w:rsid w:val="00247F58"/>
    <w:rsid w:val="002527A0"/>
    <w:rsid w:val="00252DE2"/>
    <w:rsid w:val="00255C45"/>
    <w:rsid w:val="002563D7"/>
    <w:rsid w:val="0025722B"/>
    <w:rsid w:val="002605C6"/>
    <w:rsid w:val="00260AB0"/>
    <w:rsid w:val="00260D55"/>
    <w:rsid w:val="00262586"/>
    <w:rsid w:val="00262719"/>
    <w:rsid w:val="00263091"/>
    <w:rsid w:val="00264323"/>
    <w:rsid w:val="00264710"/>
    <w:rsid w:val="00270013"/>
    <w:rsid w:val="00270402"/>
    <w:rsid w:val="002718E9"/>
    <w:rsid w:val="00275595"/>
    <w:rsid w:val="002767C6"/>
    <w:rsid w:val="00283380"/>
    <w:rsid w:val="00283473"/>
    <w:rsid w:val="00283C95"/>
    <w:rsid w:val="00284D57"/>
    <w:rsid w:val="00287489"/>
    <w:rsid w:val="00287C5D"/>
    <w:rsid w:val="00287CA9"/>
    <w:rsid w:val="00291BBE"/>
    <w:rsid w:val="00295BBA"/>
    <w:rsid w:val="002A53AA"/>
    <w:rsid w:val="002A6112"/>
    <w:rsid w:val="002A62F3"/>
    <w:rsid w:val="002A6546"/>
    <w:rsid w:val="002A7834"/>
    <w:rsid w:val="002B7F2D"/>
    <w:rsid w:val="002C4A49"/>
    <w:rsid w:val="002D0E45"/>
    <w:rsid w:val="002D2C90"/>
    <w:rsid w:val="002D5330"/>
    <w:rsid w:val="002D6ADC"/>
    <w:rsid w:val="002E09BF"/>
    <w:rsid w:val="002E0CD2"/>
    <w:rsid w:val="002F4E33"/>
    <w:rsid w:val="002F5AEF"/>
    <w:rsid w:val="002F69FD"/>
    <w:rsid w:val="002F7FAD"/>
    <w:rsid w:val="00301285"/>
    <w:rsid w:val="00303FBC"/>
    <w:rsid w:val="00305ABF"/>
    <w:rsid w:val="00306719"/>
    <w:rsid w:val="003113BB"/>
    <w:rsid w:val="00311482"/>
    <w:rsid w:val="00312BBE"/>
    <w:rsid w:val="003150DE"/>
    <w:rsid w:val="00315FB1"/>
    <w:rsid w:val="00317C5A"/>
    <w:rsid w:val="00321A5D"/>
    <w:rsid w:val="00322B58"/>
    <w:rsid w:val="00325B8C"/>
    <w:rsid w:val="00334C35"/>
    <w:rsid w:val="00335D0D"/>
    <w:rsid w:val="0033672C"/>
    <w:rsid w:val="00341112"/>
    <w:rsid w:val="00347718"/>
    <w:rsid w:val="003504A2"/>
    <w:rsid w:val="00350C35"/>
    <w:rsid w:val="003533C6"/>
    <w:rsid w:val="003533D1"/>
    <w:rsid w:val="00354A0B"/>
    <w:rsid w:val="003601AD"/>
    <w:rsid w:val="003651A2"/>
    <w:rsid w:val="0037326D"/>
    <w:rsid w:val="003736AA"/>
    <w:rsid w:val="003744C0"/>
    <w:rsid w:val="003771A1"/>
    <w:rsid w:val="0038154A"/>
    <w:rsid w:val="0038554E"/>
    <w:rsid w:val="003941E7"/>
    <w:rsid w:val="00394455"/>
    <w:rsid w:val="0039645C"/>
    <w:rsid w:val="003A4473"/>
    <w:rsid w:val="003A52C2"/>
    <w:rsid w:val="003A6BEF"/>
    <w:rsid w:val="003A7D3C"/>
    <w:rsid w:val="003A7F7A"/>
    <w:rsid w:val="003B282A"/>
    <w:rsid w:val="003B5519"/>
    <w:rsid w:val="003B6195"/>
    <w:rsid w:val="003B69BC"/>
    <w:rsid w:val="003B6C4C"/>
    <w:rsid w:val="003B7BE4"/>
    <w:rsid w:val="003C0485"/>
    <w:rsid w:val="003C1CDF"/>
    <w:rsid w:val="003C48CF"/>
    <w:rsid w:val="003C776E"/>
    <w:rsid w:val="003D3D2C"/>
    <w:rsid w:val="003F2E24"/>
    <w:rsid w:val="003F6D06"/>
    <w:rsid w:val="003F6D9D"/>
    <w:rsid w:val="003F72EE"/>
    <w:rsid w:val="0040486B"/>
    <w:rsid w:val="00404987"/>
    <w:rsid w:val="004060F9"/>
    <w:rsid w:val="00406BD5"/>
    <w:rsid w:val="00417BAF"/>
    <w:rsid w:val="00424B38"/>
    <w:rsid w:val="00435329"/>
    <w:rsid w:val="004370C6"/>
    <w:rsid w:val="004409E2"/>
    <w:rsid w:val="0044143E"/>
    <w:rsid w:val="00441444"/>
    <w:rsid w:val="00441D64"/>
    <w:rsid w:val="0045071D"/>
    <w:rsid w:val="00455699"/>
    <w:rsid w:val="004576A8"/>
    <w:rsid w:val="00463128"/>
    <w:rsid w:val="004731F8"/>
    <w:rsid w:val="00477701"/>
    <w:rsid w:val="0048026D"/>
    <w:rsid w:val="00481DBD"/>
    <w:rsid w:val="004829DB"/>
    <w:rsid w:val="00484333"/>
    <w:rsid w:val="00484414"/>
    <w:rsid w:val="00484717"/>
    <w:rsid w:val="00486D76"/>
    <w:rsid w:val="00486FA1"/>
    <w:rsid w:val="00494291"/>
    <w:rsid w:val="004A0BD6"/>
    <w:rsid w:val="004A22C2"/>
    <w:rsid w:val="004A2729"/>
    <w:rsid w:val="004B2865"/>
    <w:rsid w:val="004B489F"/>
    <w:rsid w:val="004B6D3F"/>
    <w:rsid w:val="004B705D"/>
    <w:rsid w:val="004B76ED"/>
    <w:rsid w:val="004C5565"/>
    <w:rsid w:val="004D2DBE"/>
    <w:rsid w:val="004D31C7"/>
    <w:rsid w:val="004D4D65"/>
    <w:rsid w:val="004D7A31"/>
    <w:rsid w:val="004E2DBD"/>
    <w:rsid w:val="004E4FDE"/>
    <w:rsid w:val="004E63E6"/>
    <w:rsid w:val="004E78A9"/>
    <w:rsid w:val="004F1D4F"/>
    <w:rsid w:val="004F43CB"/>
    <w:rsid w:val="004F458C"/>
    <w:rsid w:val="004F5E84"/>
    <w:rsid w:val="004F6D5D"/>
    <w:rsid w:val="004F6EDA"/>
    <w:rsid w:val="0050079D"/>
    <w:rsid w:val="00501D2D"/>
    <w:rsid w:val="00501F43"/>
    <w:rsid w:val="00512705"/>
    <w:rsid w:val="00517BFC"/>
    <w:rsid w:val="0052100D"/>
    <w:rsid w:val="00523D75"/>
    <w:rsid w:val="00527212"/>
    <w:rsid w:val="005279A7"/>
    <w:rsid w:val="00530C64"/>
    <w:rsid w:val="00534545"/>
    <w:rsid w:val="00540310"/>
    <w:rsid w:val="00541967"/>
    <w:rsid w:val="005419EA"/>
    <w:rsid w:val="0055046E"/>
    <w:rsid w:val="00553725"/>
    <w:rsid w:val="00554A30"/>
    <w:rsid w:val="00561D16"/>
    <w:rsid w:val="00564AB4"/>
    <w:rsid w:val="0057074F"/>
    <w:rsid w:val="005715A1"/>
    <w:rsid w:val="00577C89"/>
    <w:rsid w:val="00580183"/>
    <w:rsid w:val="00582438"/>
    <w:rsid w:val="0058314E"/>
    <w:rsid w:val="0059121D"/>
    <w:rsid w:val="0059455F"/>
    <w:rsid w:val="00597D58"/>
    <w:rsid w:val="005A2B17"/>
    <w:rsid w:val="005A2EE9"/>
    <w:rsid w:val="005A3955"/>
    <w:rsid w:val="005B1D37"/>
    <w:rsid w:val="005B53A9"/>
    <w:rsid w:val="005B58EE"/>
    <w:rsid w:val="005B7A6D"/>
    <w:rsid w:val="005C45FA"/>
    <w:rsid w:val="005D1241"/>
    <w:rsid w:val="005D4A2A"/>
    <w:rsid w:val="005D757A"/>
    <w:rsid w:val="005D75C3"/>
    <w:rsid w:val="005E23E2"/>
    <w:rsid w:val="005E3BEB"/>
    <w:rsid w:val="005E3C7A"/>
    <w:rsid w:val="005E5821"/>
    <w:rsid w:val="005E7872"/>
    <w:rsid w:val="005F0005"/>
    <w:rsid w:val="005F4EF3"/>
    <w:rsid w:val="00603E53"/>
    <w:rsid w:val="00606273"/>
    <w:rsid w:val="00606428"/>
    <w:rsid w:val="00607293"/>
    <w:rsid w:val="0060784A"/>
    <w:rsid w:val="00611213"/>
    <w:rsid w:val="00611939"/>
    <w:rsid w:val="0061243D"/>
    <w:rsid w:val="00615050"/>
    <w:rsid w:val="00617D9D"/>
    <w:rsid w:val="006302CD"/>
    <w:rsid w:val="00632D8C"/>
    <w:rsid w:val="00633A60"/>
    <w:rsid w:val="006356F2"/>
    <w:rsid w:val="00640BC7"/>
    <w:rsid w:val="00641C77"/>
    <w:rsid w:val="006433EF"/>
    <w:rsid w:val="00652FC4"/>
    <w:rsid w:val="00653DB0"/>
    <w:rsid w:val="006555AF"/>
    <w:rsid w:val="00656081"/>
    <w:rsid w:val="00657164"/>
    <w:rsid w:val="00666900"/>
    <w:rsid w:val="006671D9"/>
    <w:rsid w:val="00672ED9"/>
    <w:rsid w:val="00682A19"/>
    <w:rsid w:val="00690156"/>
    <w:rsid w:val="006A482B"/>
    <w:rsid w:val="006A624A"/>
    <w:rsid w:val="006B4AF9"/>
    <w:rsid w:val="006B4D5F"/>
    <w:rsid w:val="006B4FA2"/>
    <w:rsid w:val="006B6240"/>
    <w:rsid w:val="006E029B"/>
    <w:rsid w:val="006E0352"/>
    <w:rsid w:val="006E4B4D"/>
    <w:rsid w:val="006E50B0"/>
    <w:rsid w:val="006E5794"/>
    <w:rsid w:val="006F1D8E"/>
    <w:rsid w:val="006F2266"/>
    <w:rsid w:val="006F3E30"/>
    <w:rsid w:val="006F7EB8"/>
    <w:rsid w:val="00700DC5"/>
    <w:rsid w:val="0070311E"/>
    <w:rsid w:val="007069C0"/>
    <w:rsid w:val="00711377"/>
    <w:rsid w:val="00712143"/>
    <w:rsid w:val="0071626F"/>
    <w:rsid w:val="00721BF4"/>
    <w:rsid w:val="0072312F"/>
    <w:rsid w:val="00726929"/>
    <w:rsid w:val="00727305"/>
    <w:rsid w:val="007306FB"/>
    <w:rsid w:val="007316B7"/>
    <w:rsid w:val="00732260"/>
    <w:rsid w:val="00733496"/>
    <w:rsid w:val="0073760C"/>
    <w:rsid w:val="007409DA"/>
    <w:rsid w:val="0074398C"/>
    <w:rsid w:val="00743E2F"/>
    <w:rsid w:val="007472E1"/>
    <w:rsid w:val="00753918"/>
    <w:rsid w:val="00753AA2"/>
    <w:rsid w:val="00756097"/>
    <w:rsid w:val="00757EA9"/>
    <w:rsid w:val="00761C47"/>
    <w:rsid w:val="0076205D"/>
    <w:rsid w:val="0076463C"/>
    <w:rsid w:val="00767F44"/>
    <w:rsid w:val="00770686"/>
    <w:rsid w:val="0078222D"/>
    <w:rsid w:val="00783D7B"/>
    <w:rsid w:val="007915A5"/>
    <w:rsid w:val="00792268"/>
    <w:rsid w:val="007A14F9"/>
    <w:rsid w:val="007A730C"/>
    <w:rsid w:val="007B4F09"/>
    <w:rsid w:val="007B5C26"/>
    <w:rsid w:val="007C1DAE"/>
    <w:rsid w:val="007C2A22"/>
    <w:rsid w:val="007C6EDF"/>
    <w:rsid w:val="007D084A"/>
    <w:rsid w:val="007D15F8"/>
    <w:rsid w:val="007D1D7D"/>
    <w:rsid w:val="007D6FEC"/>
    <w:rsid w:val="007D723D"/>
    <w:rsid w:val="007E0A6F"/>
    <w:rsid w:val="007E2157"/>
    <w:rsid w:val="007E3BC2"/>
    <w:rsid w:val="007E699D"/>
    <w:rsid w:val="007F35CC"/>
    <w:rsid w:val="007F6F2F"/>
    <w:rsid w:val="008078A1"/>
    <w:rsid w:val="00810BA9"/>
    <w:rsid w:val="0081222F"/>
    <w:rsid w:val="00812D5C"/>
    <w:rsid w:val="0082174A"/>
    <w:rsid w:val="0082541C"/>
    <w:rsid w:val="0082757F"/>
    <w:rsid w:val="00827C65"/>
    <w:rsid w:val="00830F45"/>
    <w:rsid w:val="0083199C"/>
    <w:rsid w:val="00835DCD"/>
    <w:rsid w:val="008417A9"/>
    <w:rsid w:val="008424B3"/>
    <w:rsid w:val="0084479A"/>
    <w:rsid w:val="00844EA9"/>
    <w:rsid w:val="00845E6D"/>
    <w:rsid w:val="0084798D"/>
    <w:rsid w:val="00852249"/>
    <w:rsid w:val="00854B4E"/>
    <w:rsid w:val="0085569C"/>
    <w:rsid w:val="00855F6B"/>
    <w:rsid w:val="008624CD"/>
    <w:rsid w:val="00863B83"/>
    <w:rsid w:val="008663CC"/>
    <w:rsid w:val="00866412"/>
    <w:rsid w:val="00870A86"/>
    <w:rsid w:val="00870D74"/>
    <w:rsid w:val="00874803"/>
    <w:rsid w:val="008750CE"/>
    <w:rsid w:val="008774F5"/>
    <w:rsid w:val="00880664"/>
    <w:rsid w:val="008855D4"/>
    <w:rsid w:val="008868A4"/>
    <w:rsid w:val="008915CC"/>
    <w:rsid w:val="00893491"/>
    <w:rsid w:val="00895B3E"/>
    <w:rsid w:val="0089618F"/>
    <w:rsid w:val="00897DEA"/>
    <w:rsid w:val="008A1BE7"/>
    <w:rsid w:val="008A2B30"/>
    <w:rsid w:val="008A41A4"/>
    <w:rsid w:val="008B3774"/>
    <w:rsid w:val="008B3822"/>
    <w:rsid w:val="008B6D5D"/>
    <w:rsid w:val="008B7EDC"/>
    <w:rsid w:val="008C1BAF"/>
    <w:rsid w:val="008C535F"/>
    <w:rsid w:val="008C7D55"/>
    <w:rsid w:val="008E037B"/>
    <w:rsid w:val="008E112E"/>
    <w:rsid w:val="008E23FE"/>
    <w:rsid w:val="008E24B2"/>
    <w:rsid w:val="008E2A86"/>
    <w:rsid w:val="008F1FC2"/>
    <w:rsid w:val="008F34AD"/>
    <w:rsid w:val="008F3659"/>
    <w:rsid w:val="009020D6"/>
    <w:rsid w:val="00902F10"/>
    <w:rsid w:val="00904BD2"/>
    <w:rsid w:val="00905888"/>
    <w:rsid w:val="00907C2B"/>
    <w:rsid w:val="0091478A"/>
    <w:rsid w:val="009241D2"/>
    <w:rsid w:val="00927541"/>
    <w:rsid w:val="00930163"/>
    <w:rsid w:val="00931CF7"/>
    <w:rsid w:val="00931F37"/>
    <w:rsid w:val="00934339"/>
    <w:rsid w:val="00934C94"/>
    <w:rsid w:val="009372BA"/>
    <w:rsid w:val="0094315F"/>
    <w:rsid w:val="00943861"/>
    <w:rsid w:val="00950978"/>
    <w:rsid w:val="009552A6"/>
    <w:rsid w:val="00966A32"/>
    <w:rsid w:val="00975B95"/>
    <w:rsid w:val="0098250A"/>
    <w:rsid w:val="009864A7"/>
    <w:rsid w:val="00993DB2"/>
    <w:rsid w:val="00994659"/>
    <w:rsid w:val="009A0FFD"/>
    <w:rsid w:val="009A1AB4"/>
    <w:rsid w:val="009A2531"/>
    <w:rsid w:val="009A6DB7"/>
    <w:rsid w:val="009A79D5"/>
    <w:rsid w:val="009B058D"/>
    <w:rsid w:val="009B32B1"/>
    <w:rsid w:val="009B58A9"/>
    <w:rsid w:val="009C0868"/>
    <w:rsid w:val="009C0AA8"/>
    <w:rsid w:val="009C5355"/>
    <w:rsid w:val="009C5665"/>
    <w:rsid w:val="009D316C"/>
    <w:rsid w:val="009D743B"/>
    <w:rsid w:val="009E75E4"/>
    <w:rsid w:val="009F049C"/>
    <w:rsid w:val="009F596B"/>
    <w:rsid w:val="00A077F1"/>
    <w:rsid w:val="00A1468C"/>
    <w:rsid w:val="00A21F79"/>
    <w:rsid w:val="00A22C7C"/>
    <w:rsid w:val="00A24DF2"/>
    <w:rsid w:val="00A25906"/>
    <w:rsid w:val="00A33F7E"/>
    <w:rsid w:val="00A34407"/>
    <w:rsid w:val="00A44DD0"/>
    <w:rsid w:val="00A536CF"/>
    <w:rsid w:val="00A5396D"/>
    <w:rsid w:val="00A56027"/>
    <w:rsid w:val="00A56C2D"/>
    <w:rsid w:val="00A60FA6"/>
    <w:rsid w:val="00A7217F"/>
    <w:rsid w:val="00A72466"/>
    <w:rsid w:val="00A74BF6"/>
    <w:rsid w:val="00A821CE"/>
    <w:rsid w:val="00A82E2F"/>
    <w:rsid w:val="00A83AFD"/>
    <w:rsid w:val="00A856A5"/>
    <w:rsid w:val="00A85B54"/>
    <w:rsid w:val="00A9208D"/>
    <w:rsid w:val="00A95C00"/>
    <w:rsid w:val="00AA32F1"/>
    <w:rsid w:val="00AA6ABB"/>
    <w:rsid w:val="00AB1962"/>
    <w:rsid w:val="00AB2387"/>
    <w:rsid w:val="00AB2CEC"/>
    <w:rsid w:val="00AB3F02"/>
    <w:rsid w:val="00AB438F"/>
    <w:rsid w:val="00AC4CF1"/>
    <w:rsid w:val="00AD042D"/>
    <w:rsid w:val="00AD34BA"/>
    <w:rsid w:val="00AD4214"/>
    <w:rsid w:val="00AD426F"/>
    <w:rsid w:val="00AD4885"/>
    <w:rsid w:val="00AD7ED8"/>
    <w:rsid w:val="00AE1813"/>
    <w:rsid w:val="00AE2A3D"/>
    <w:rsid w:val="00AE5025"/>
    <w:rsid w:val="00AF2CE9"/>
    <w:rsid w:val="00AF5F78"/>
    <w:rsid w:val="00B00165"/>
    <w:rsid w:val="00B00D0F"/>
    <w:rsid w:val="00B018D2"/>
    <w:rsid w:val="00B01CCD"/>
    <w:rsid w:val="00B02956"/>
    <w:rsid w:val="00B07A2A"/>
    <w:rsid w:val="00B07D59"/>
    <w:rsid w:val="00B13250"/>
    <w:rsid w:val="00B176B6"/>
    <w:rsid w:val="00B210B4"/>
    <w:rsid w:val="00B218B2"/>
    <w:rsid w:val="00B272C0"/>
    <w:rsid w:val="00B301E3"/>
    <w:rsid w:val="00B35B63"/>
    <w:rsid w:val="00B45A0F"/>
    <w:rsid w:val="00B465AC"/>
    <w:rsid w:val="00B47B70"/>
    <w:rsid w:val="00B50CEA"/>
    <w:rsid w:val="00B51DB3"/>
    <w:rsid w:val="00B56B66"/>
    <w:rsid w:val="00B609E2"/>
    <w:rsid w:val="00B61982"/>
    <w:rsid w:val="00B72E9B"/>
    <w:rsid w:val="00B74875"/>
    <w:rsid w:val="00B76A5D"/>
    <w:rsid w:val="00B8272C"/>
    <w:rsid w:val="00B85FFA"/>
    <w:rsid w:val="00B86D29"/>
    <w:rsid w:val="00B8721D"/>
    <w:rsid w:val="00BA0DEA"/>
    <w:rsid w:val="00BA19B8"/>
    <w:rsid w:val="00BA45B3"/>
    <w:rsid w:val="00BA6FF2"/>
    <w:rsid w:val="00BB151D"/>
    <w:rsid w:val="00BB2868"/>
    <w:rsid w:val="00BC2A1B"/>
    <w:rsid w:val="00BC5C2F"/>
    <w:rsid w:val="00BC709C"/>
    <w:rsid w:val="00BC7514"/>
    <w:rsid w:val="00BD0177"/>
    <w:rsid w:val="00BD3E9D"/>
    <w:rsid w:val="00BD4DE3"/>
    <w:rsid w:val="00BD577C"/>
    <w:rsid w:val="00BF0137"/>
    <w:rsid w:val="00BF396E"/>
    <w:rsid w:val="00BF6769"/>
    <w:rsid w:val="00BF6C92"/>
    <w:rsid w:val="00C0008C"/>
    <w:rsid w:val="00C02D21"/>
    <w:rsid w:val="00C10843"/>
    <w:rsid w:val="00C10B27"/>
    <w:rsid w:val="00C14514"/>
    <w:rsid w:val="00C1531D"/>
    <w:rsid w:val="00C17E02"/>
    <w:rsid w:val="00C22F66"/>
    <w:rsid w:val="00C267EF"/>
    <w:rsid w:val="00C30EC5"/>
    <w:rsid w:val="00C3132A"/>
    <w:rsid w:val="00C35633"/>
    <w:rsid w:val="00C359BB"/>
    <w:rsid w:val="00C35F04"/>
    <w:rsid w:val="00C40CD7"/>
    <w:rsid w:val="00C4132D"/>
    <w:rsid w:val="00C46E70"/>
    <w:rsid w:val="00C515C3"/>
    <w:rsid w:val="00C51B6F"/>
    <w:rsid w:val="00C52843"/>
    <w:rsid w:val="00C53085"/>
    <w:rsid w:val="00C54FC9"/>
    <w:rsid w:val="00C57370"/>
    <w:rsid w:val="00C63980"/>
    <w:rsid w:val="00C6588F"/>
    <w:rsid w:val="00C65BF4"/>
    <w:rsid w:val="00C67673"/>
    <w:rsid w:val="00C774C4"/>
    <w:rsid w:val="00C81B25"/>
    <w:rsid w:val="00C9171A"/>
    <w:rsid w:val="00C94244"/>
    <w:rsid w:val="00C946E3"/>
    <w:rsid w:val="00C9545E"/>
    <w:rsid w:val="00CA1584"/>
    <w:rsid w:val="00CA5989"/>
    <w:rsid w:val="00CA610B"/>
    <w:rsid w:val="00CB045D"/>
    <w:rsid w:val="00CB2C39"/>
    <w:rsid w:val="00CC1EE7"/>
    <w:rsid w:val="00CC36C0"/>
    <w:rsid w:val="00CD01E6"/>
    <w:rsid w:val="00CD1D0E"/>
    <w:rsid w:val="00CD2361"/>
    <w:rsid w:val="00CD4166"/>
    <w:rsid w:val="00CD7722"/>
    <w:rsid w:val="00CD78E8"/>
    <w:rsid w:val="00CE1D7E"/>
    <w:rsid w:val="00CE3BA4"/>
    <w:rsid w:val="00CE69C2"/>
    <w:rsid w:val="00CE783B"/>
    <w:rsid w:val="00CF0154"/>
    <w:rsid w:val="00CF4671"/>
    <w:rsid w:val="00CF57D2"/>
    <w:rsid w:val="00D016AB"/>
    <w:rsid w:val="00D0377C"/>
    <w:rsid w:val="00D17AF0"/>
    <w:rsid w:val="00D22DC7"/>
    <w:rsid w:val="00D27929"/>
    <w:rsid w:val="00D34E83"/>
    <w:rsid w:val="00D3598D"/>
    <w:rsid w:val="00D418E2"/>
    <w:rsid w:val="00D467C6"/>
    <w:rsid w:val="00D51847"/>
    <w:rsid w:val="00D62636"/>
    <w:rsid w:val="00D62FAC"/>
    <w:rsid w:val="00D72AE0"/>
    <w:rsid w:val="00D75915"/>
    <w:rsid w:val="00D82A28"/>
    <w:rsid w:val="00D85B1F"/>
    <w:rsid w:val="00D8647F"/>
    <w:rsid w:val="00D86B90"/>
    <w:rsid w:val="00D90FCD"/>
    <w:rsid w:val="00D96573"/>
    <w:rsid w:val="00D96C58"/>
    <w:rsid w:val="00DA79FA"/>
    <w:rsid w:val="00DB5F42"/>
    <w:rsid w:val="00DC07E1"/>
    <w:rsid w:val="00DC44D7"/>
    <w:rsid w:val="00DD02FE"/>
    <w:rsid w:val="00DD22CC"/>
    <w:rsid w:val="00DD26F9"/>
    <w:rsid w:val="00DD455E"/>
    <w:rsid w:val="00DD70C6"/>
    <w:rsid w:val="00DD76D4"/>
    <w:rsid w:val="00DE06D2"/>
    <w:rsid w:val="00DE2F5F"/>
    <w:rsid w:val="00DE7AD0"/>
    <w:rsid w:val="00DF16D0"/>
    <w:rsid w:val="00DF2670"/>
    <w:rsid w:val="00DF4275"/>
    <w:rsid w:val="00DF6BF2"/>
    <w:rsid w:val="00E026DF"/>
    <w:rsid w:val="00E03DA9"/>
    <w:rsid w:val="00E05548"/>
    <w:rsid w:val="00E105E4"/>
    <w:rsid w:val="00E1505E"/>
    <w:rsid w:val="00E20431"/>
    <w:rsid w:val="00E22524"/>
    <w:rsid w:val="00E2439A"/>
    <w:rsid w:val="00E26E9B"/>
    <w:rsid w:val="00E30220"/>
    <w:rsid w:val="00E348BE"/>
    <w:rsid w:val="00E42F12"/>
    <w:rsid w:val="00E5265C"/>
    <w:rsid w:val="00E55A9A"/>
    <w:rsid w:val="00E55C46"/>
    <w:rsid w:val="00E57229"/>
    <w:rsid w:val="00E610DD"/>
    <w:rsid w:val="00E63016"/>
    <w:rsid w:val="00E652F5"/>
    <w:rsid w:val="00E662B6"/>
    <w:rsid w:val="00E71DD0"/>
    <w:rsid w:val="00E72EF8"/>
    <w:rsid w:val="00E73DF8"/>
    <w:rsid w:val="00E81120"/>
    <w:rsid w:val="00E82995"/>
    <w:rsid w:val="00E82D6B"/>
    <w:rsid w:val="00E9138A"/>
    <w:rsid w:val="00E91EB1"/>
    <w:rsid w:val="00E95452"/>
    <w:rsid w:val="00EA0521"/>
    <w:rsid w:val="00EA63CE"/>
    <w:rsid w:val="00EB5D63"/>
    <w:rsid w:val="00EB77BF"/>
    <w:rsid w:val="00EC198C"/>
    <w:rsid w:val="00EC20D6"/>
    <w:rsid w:val="00EC3484"/>
    <w:rsid w:val="00ED173E"/>
    <w:rsid w:val="00ED17E2"/>
    <w:rsid w:val="00ED65B6"/>
    <w:rsid w:val="00ED7C40"/>
    <w:rsid w:val="00EE358C"/>
    <w:rsid w:val="00EF1132"/>
    <w:rsid w:val="00EF120E"/>
    <w:rsid w:val="00EF69CD"/>
    <w:rsid w:val="00F00A26"/>
    <w:rsid w:val="00F01455"/>
    <w:rsid w:val="00F10B83"/>
    <w:rsid w:val="00F121D2"/>
    <w:rsid w:val="00F126C9"/>
    <w:rsid w:val="00F134B1"/>
    <w:rsid w:val="00F14695"/>
    <w:rsid w:val="00F156A2"/>
    <w:rsid w:val="00F17282"/>
    <w:rsid w:val="00F209A3"/>
    <w:rsid w:val="00F22F03"/>
    <w:rsid w:val="00F36813"/>
    <w:rsid w:val="00F36A0D"/>
    <w:rsid w:val="00F43AC4"/>
    <w:rsid w:val="00F50EEF"/>
    <w:rsid w:val="00F547AC"/>
    <w:rsid w:val="00F54D9E"/>
    <w:rsid w:val="00F56A9D"/>
    <w:rsid w:val="00F571E9"/>
    <w:rsid w:val="00F605F6"/>
    <w:rsid w:val="00F60648"/>
    <w:rsid w:val="00F60897"/>
    <w:rsid w:val="00F61446"/>
    <w:rsid w:val="00F62121"/>
    <w:rsid w:val="00F746B9"/>
    <w:rsid w:val="00F81E10"/>
    <w:rsid w:val="00F8471B"/>
    <w:rsid w:val="00F91534"/>
    <w:rsid w:val="00F9467F"/>
    <w:rsid w:val="00F94AA5"/>
    <w:rsid w:val="00F96AAA"/>
    <w:rsid w:val="00FA16E5"/>
    <w:rsid w:val="00FA1DBB"/>
    <w:rsid w:val="00FA211F"/>
    <w:rsid w:val="00FA54CF"/>
    <w:rsid w:val="00FA60A0"/>
    <w:rsid w:val="00FB2E58"/>
    <w:rsid w:val="00FB4062"/>
    <w:rsid w:val="00FB5E46"/>
    <w:rsid w:val="00FC1198"/>
    <w:rsid w:val="00FC3BDA"/>
    <w:rsid w:val="00FE1538"/>
    <w:rsid w:val="00FE4919"/>
    <w:rsid w:val="00FF04E1"/>
    <w:rsid w:val="00FF16A4"/>
    <w:rsid w:val="00FF52C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14:docId w14:val="5F326940"/>
  <w15:docId w15:val="{047FD48B-BEF1-4420-9A97-51F7F395F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CO" w:eastAsia="es-C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5F8"/>
    <w:rPr>
      <w:rFonts w:ascii="Times New Roman" w:eastAsia="Times New Roman" w:hAnsi="Times New Roman"/>
      <w:sz w:val="24"/>
      <w:szCs w:val="24"/>
    </w:rPr>
  </w:style>
  <w:style w:type="paragraph" w:styleId="Ttulo1">
    <w:name w:val="heading 1"/>
    <w:basedOn w:val="Normal"/>
    <w:link w:val="Ttulo1Car"/>
    <w:uiPriority w:val="9"/>
    <w:qFormat/>
    <w:rsid w:val="003B6195"/>
    <w:pPr>
      <w:spacing w:before="100" w:beforeAutospacing="1" w:after="100" w:afterAutospacing="1"/>
      <w:outlineLvl w:val="0"/>
    </w:pPr>
    <w:rPr>
      <w:b/>
      <w:bCs/>
      <w:kern w:val="36"/>
      <w:sz w:val="48"/>
      <w:szCs w:val="48"/>
    </w:rPr>
  </w:style>
  <w:style w:type="paragraph" w:styleId="Ttulo2">
    <w:name w:val="heading 2"/>
    <w:basedOn w:val="Normal"/>
    <w:next w:val="Normal"/>
    <w:link w:val="Ttulo2Car"/>
    <w:uiPriority w:val="9"/>
    <w:unhideWhenUsed/>
    <w:qFormat/>
    <w:rsid w:val="00221895"/>
    <w:pPr>
      <w:keepNext/>
      <w:tabs>
        <w:tab w:val="num" w:pos="1440"/>
      </w:tabs>
      <w:spacing w:before="240" w:after="60"/>
      <w:ind w:left="1440" w:hanging="720"/>
      <w:outlineLvl w:val="1"/>
    </w:pPr>
    <w:rPr>
      <w:rFonts w:asciiTheme="majorHAnsi" w:eastAsiaTheme="majorEastAsia" w:hAnsiTheme="majorHAnsi" w:cstheme="majorBidi"/>
      <w:b/>
      <w:bCs/>
      <w:i/>
      <w:iCs/>
      <w:sz w:val="28"/>
      <w:szCs w:val="28"/>
      <w:lang w:val="en-US" w:eastAsia="en-US"/>
    </w:rPr>
  </w:style>
  <w:style w:type="paragraph" w:styleId="Ttulo3">
    <w:name w:val="heading 3"/>
    <w:basedOn w:val="Normal"/>
    <w:link w:val="Ttulo3Car"/>
    <w:uiPriority w:val="9"/>
    <w:qFormat/>
    <w:rsid w:val="003B6195"/>
    <w:pPr>
      <w:spacing w:before="100" w:beforeAutospacing="1" w:after="100" w:afterAutospacing="1"/>
      <w:outlineLvl w:val="2"/>
    </w:pPr>
    <w:rPr>
      <w:b/>
      <w:bCs/>
      <w:sz w:val="27"/>
      <w:szCs w:val="27"/>
    </w:rPr>
  </w:style>
  <w:style w:type="paragraph" w:styleId="Ttulo4">
    <w:name w:val="heading 4"/>
    <w:basedOn w:val="Normal"/>
    <w:link w:val="Ttulo4Car"/>
    <w:uiPriority w:val="9"/>
    <w:qFormat/>
    <w:rsid w:val="003B6195"/>
    <w:pPr>
      <w:spacing w:before="100" w:beforeAutospacing="1" w:after="100" w:afterAutospacing="1"/>
      <w:outlineLvl w:val="3"/>
    </w:pPr>
    <w:rPr>
      <w:b/>
      <w:bCs/>
    </w:rPr>
  </w:style>
  <w:style w:type="paragraph" w:styleId="Ttulo5">
    <w:name w:val="heading 5"/>
    <w:basedOn w:val="Normal"/>
    <w:next w:val="Normal"/>
    <w:link w:val="Ttulo5Car"/>
    <w:uiPriority w:val="9"/>
    <w:semiHidden/>
    <w:unhideWhenUsed/>
    <w:qFormat/>
    <w:rsid w:val="00221895"/>
    <w:pPr>
      <w:tabs>
        <w:tab w:val="num" w:pos="3600"/>
      </w:tabs>
      <w:spacing w:before="240" w:after="60"/>
      <w:ind w:left="3600" w:hanging="720"/>
      <w:outlineLvl w:val="4"/>
    </w:pPr>
    <w:rPr>
      <w:rFonts w:asciiTheme="minorHAnsi" w:eastAsiaTheme="minorEastAsia" w:hAnsiTheme="minorHAnsi" w:cstheme="minorBidi"/>
      <w:b/>
      <w:bCs/>
      <w:i/>
      <w:iCs/>
      <w:sz w:val="26"/>
      <w:szCs w:val="26"/>
      <w:lang w:val="en-US" w:eastAsia="en-US"/>
    </w:rPr>
  </w:style>
  <w:style w:type="paragraph" w:styleId="Ttulo6">
    <w:name w:val="heading 6"/>
    <w:basedOn w:val="Normal"/>
    <w:next w:val="Normal"/>
    <w:link w:val="Ttulo6Car"/>
    <w:qFormat/>
    <w:rsid w:val="00221895"/>
    <w:pPr>
      <w:tabs>
        <w:tab w:val="num" w:pos="4320"/>
      </w:tabs>
      <w:spacing w:before="240" w:after="60"/>
      <w:ind w:left="4320" w:hanging="720"/>
      <w:outlineLvl w:val="5"/>
    </w:pPr>
    <w:rPr>
      <w:b/>
      <w:bCs/>
      <w:sz w:val="22"/>
      <w:szCs w:val="22"/>
      <w:lang w:val="en-US" w:eastAsia="en-US"/>
    </w:rPr>
  </w:style>
  <w:style w:type="paragraph" w:styleId="Ttulo7">
    <w:name w:val="heading 7"/>
    <w:basedOn w:val="Normal"/>
    <w:next w:val="Normal"/>
    <w:link w:val="Ttulo7Car"/>
    <w:uiPriority w:val="9"/>
    <w:semiHidden/>
    <w:unhideWhenUsed/>
    <w:qFormat/>
    <w:rsid w:val="00221895"/>
    <w:pPr>
      <w:tabs>
        <w:tab w:val="num" w:pos="5040"/>
      </w:tabs>
      <w:spacing w:before="240" w:after="60"/>
      <w:ind w:left="5040" w:hanging="720"/>
      <w:outlineLvl w:val="6"/>
    </w:pPr>
    <w:rPr>
      <w:rFonts w:asciiTheme="minorHAnsi" w:eastAsiaTheme="minorEastAsia" w:hAnsiTheme="minorHAnsi" w:cstheme="minorBidi"/>
      <w:lang w:val="en-US" w:eastAsia="en-US"/>
    </w:rPr>
  </w:style>
  <w:style w:type="paragraph" w:styleId="Ttulo8">
    <w:name w:val="heading 8"/>
    <w:basedOn w:val="Normal"/>
    <w:next w:val="Normal"/>
    <w:link w:val="Ttulo8Car"/>
    <w:uiPriority w:val="9"/>
    <w:semiHidden/>
    <w:unhideWhenUsed/>
    <w:qFormat/>
    <w:rsid w:val="00221895"/>
    <w:pPr>
      <w:tabs>
        <w:tab w:val="num" w:pos="5760"/>
      </w:tabs>
      <w:spacing w:before="240" w:after="60"/>
      <w:ind w:left="5760" w:hanging="720"/>
      <w:outlineLvl w:val="7"/>
    </w:pPr>
    <w:rPr>
      <w:rFonts w:asciiTheme="minorHAnsi" w:eastAsiaTheme="minorEastAsia" w:hAnsiTheme="minorHAnsi" w:cstheme="minorBidi"/>
      <w:i/>
      <w:iCs/>
      <w:lang w:val="en-US" w:eastAsia="en-US"/>
    </w:rPr>
  </w:style>
  <w:style w:type="paragraph" w:styleId="Ttulo9">
    <w:name w:val="heading 9"/>
    <w:basedOn w:val="Normal"/>
    <w:next w:val="Normal"/>
    <w:link w:val="Ttulo9Car"/>
    <w:uiPriority w:val="9"/>
    <w:unhideWhenUsed/>
    <w:qFormat/>
    <w:rsid w:val="00221895"/>
    <w:pPr>
      <w:tabs>
        <w:tab w:val="num" w:pos="6480"/>
      </w:tabs>
      <w:spacing w:before="240" w:after="60"/>
      <w:ind w:left="6480" w:hanging="720"/>
      <w:outlineLvl w:val="8"/>
    </w:pPr>
    <w:rPr>
      <w:rFonts w:asciiTheme="majorHAnsi" w:eastAsiaTheme="majorEastAsia" w:hAnsiTheme="majorHAnsi" w:cstheme="majorBidi"/>
      <w:sz w:val="22"/>
      <w:szCs w:val="22"/>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B6195"/>
    <w:rPr>
      <w:rFonts w:ascii="Times New Roman" w:eastAsia="Times New Roman" w:hAnsi="Times New Roman"/>
      <w:b/>
      <w:bCs/>
      <w:kern w:val="36"/>
      <w:sz w:val="48"/>
      <w:szCs w:val="48"/>
    </w:rPr>
  </w:style>
  <w:style w:type="character" w:customStyle="1" w:styleId="Ttulo2Car">
    <w:name w:val="Título 2 Car"/>
    <w:basedOn w:val="Fuentedeprrafopredeter"/>
    <w:link w:val="Ttulo2"/>
    <w:uiPriority w:val="9"/>
    <w:rsid w:val="00221895"/>
    <w:rPr>
      <w:rFonts w:asciiTheme="majorHAnsi" w:eastAsiaTheme="majorEastAsia" w:hAnsiTheme="majorHAnsi" w:cstheme="majorBidi"/>
      <w:b/>
      <w:bCs/>
      <w:i/>
      <w:iCs/>
      <w:sz w:val="28"/>
      <w:szCs w:val="28"/>
      <w:lang w:val="en-US" w:eastAsia="en-US"/>
    </w:rPr>
  </w:style>
  <w:style w:type="character" w:customStyle="1" w:styleId="Ttulo3Car">
    <w:name w:val="Título 3 Car"/>
    <w:basedOn w:val="Fuentedeprrafopredeter"/>
    <w:link w:val="Ttulo3"/>
    <w:uiPriority w:val="9"/>
    <w:rsid w:val="003B6195"/>
    <w:rPr>
      <w:rFonts w:ascii="Times New Roman" w:eastAsia="Times New Roman" w:hAnsi="Times New Roman"/>
      <w:b/>
      <w:bCs/>
      <w:sz w:val="27"/>
      <w:szCs w:val="27"/>
    </w:rPr>
  </w:style>
  <w:style w:type="character" w:customStyle="1" w:styleId="Ttulo4Car">
    <w:name w:val="Título 4 Car"/>
    <w:basedOn w:val="Fuentedeprrafopredeter"/>
    <w:link w:val="Ttulo4"/>
    <w:uiPriority w:val="9"/>
    <w:rsid w:val="003B6195"/>
    <w:rPr>
      <w:rFonts w:ascii="Times New Roman" w:eastAsia="Times New Roman" w:hAnsi="Times New Roman"/>
      <w:b/>
      <w:bCs/>
      <w:sz w:val="24"/>
      <w:szCs w:val="24"/>
    </w:rPr>
  </w:style>
  <w:style w:type="character" w:customStyle="1" w:styleId="Ttulo5Car">
    <w:name w:val="Título 5 Car"/>
    <w:basedOn w:val="Fuentedeprrafopredeter"/>
    <w:link w:val="Ttulo5"/>
    <w:uiPriority w:val="9"/>
    <w:semiHidden/>
    <w:rsid w:val="00221895"/>
    <w:rPr>
      <w:rFonts w:asciiTheme="minorHAnsi" w:eastAsiaTheme="minorEastAsia" w:hAnsiTheme="minorHAnsi" w:cstheme="minorBidi"/>
      <w:b/>
      <w:bCs/>
      <w:i/>
      <w:iCs/>
      <w:sz w:val="26"/>
      <w:szCs w:val="26"/>
      <w:lang w:val="en-US" w:eastAsia="en-US"/>
    </w:rPr>
  </w:style>
  <w:style w:type="character" w:customStyle="1" w:styleId="Ttulo6Car">
    <w:name w:val="Título 6 Car"/>
    <w:basedOn w:val="Fuentedeprrafopredeter"/>
    <w:link w:val="Ttulo6"/>
    <w:rsid w:val="00221895"/>
    <w:rPr>
      <w:rFonts w:ascii="Times New Roman" w:eastAsia="Times New Roman" w:hAnsi="Times New Roman"/>
      <w:b/>
      <w:bCs/>
      <w:sz w:val="22"/>
      <w:szCs w:val="22"/>
      <w:lang w:val="en-US" w:eastAsia="en-US"/>
    </w:rPr>
  </w:style>
  <w:style w:type="character" w:customStyle="1" w:styleId="Ttulo7Car">
    <w:name w:val="Título 7 Car"/>
    <w:basedOn w:val="Fuentedeprrafopredeter"/>
    <w:link w:val="Ttulo7"/>
    <w:uiPriority w:val="9"/>
    <w:semiHidden/>
    <w:rsid w:val="00221895"/>
    <w:rPr>
      <w:rFonts w:asciiTheme="minorHAnsi" w:eastAsiaTheme="minorEastAsia" w:hAnsiTheme="minorHAnsi" w:cstheme="minorBidi"/>
      <w:sz w:val="24"/>
      <w:szCs w:val="24"/>
      <w:lang w:val="en-US" w:eastAsia="en-US"/>
    </w:rPr>
  </w:style>
  <w:style w:type="character" w:customStyle="1" w:styleId="Ttulo8Car">
    <w:name w:val="Título 8 Car"/>
    <w:basedOn w:val="Fuentedeprrafopredeter"/>
    <w:link w:val="Ttulo8"/>
    <w:uiPriority w:val="9"/>
    <w:semiHidden/>
    <w:rsid w:val="00221895"/>
    <w:rPr>
      <w:rFonts w:asciiTheme="minorHAnsi" w:eastAsiaTheme="minorEastAsia" w:hAnsiTheme="minorHAnsi" w:cstheme="minorBidi"/>
      <w:i/>
      <w:iCs/>
      <w:sz w:val="24"/>
      <w:szCs w:val="24"/>
      <w:lang w:val="en-US" w:eastAsia="en-US"/>
    </w:rPr>
  </w:style>
  <w:style w:type="character" w:customStyle="1" w:styleId="Ttulo9Car">
    <w:name w:val="Título 9 Car"/>
    <w:basedOn w:val="Fuentedeprrafopredeter"/>
    <w:link w:val="Ttulo9"/>
    <w:uiPriority w:val="9"/>
    <w:rsid w:val="00221895"/>
    <w:rPr>
      <w:rFonts w:asciiTheme="majorHAnsi" w:eastAsiaTheme="majorEastAsia" w:hAnsiTheme="majorHAnsi" w:cstheme="majorBidi"/>
      <w:sz w:val="22"/>
      <w:szCs w:val="22"/>
      <w:lang w:val="en-US" w:eastAsia="en-US"/>
    </w:rPr>
  </w:style>
  <w:style w:type="paragraph" w:styleId="Mapadeldocumento">
    <w:name w:val="Document Map"/>
    <w:basedOn w:val="Normal"/>
    <w:link w:val="MapadeldocumentoCar"/>
    <w:uiPriority w:val="99"/>
    <w:semiHidden/>
    <w:unhideWhenUsed/>
    <w:rsid w:val="004A2729"/>
    <w:rPr>
      <w:rFonts w:ascii="Tahoma" w:hAnsi="Tahoma" w:cs="Tahoma"/>
      <w:sz w:val="16"/>
      <w:szCs w:val="16"/>
    </w:rPr>
  </w:style>
  <w:style w:type="character" w:customStyle="1" w:styleId="MapadeldocumentoCar">
    <w:name w:val="Mapa del documento Car"/>
    <w:basedOn w:val="Fuentedeprrafopredeter"/>
    <w:link w:val="Mapadeldocumento"/>
    <w:uiPriority w:val="99"/>
    <w:semiHidden/>
    <w:rsid w:val="004A2729"/>
    <w:rPr>
      <w:rFonts w:ascii="Tahoma" w:hAnsi="Tahoma" w:cs="Tahoma"/>
      <w:sz w:val="16"/>
      <w:szCs w:val="16"/>
    </w:rPr>
  </w:style>
  <w:style w:type="paragraph" w:styleId="Prrafodelista">
    <w:name w:val="List Paragraph"/>
    <w:basedOn w:val="Normal"/>
    <w:uiPriority w:val="34"/>
    <w:qFormat/>
    <w:rsid w:val="004A2729"/>
    <w:pPr>
      <w:ind w:left="720"/>
      <w:contextualSpacing/>
      <w:jc w:val="both"/>
    </w:pPr>
    <w:rPr>
      <w:rFonts w:ascii="Calibri" w:eastAsia="Calibri" w:hAnsi="Calibri"/>
      <w:sz w:val="22"/>
      <w:szCs w:val="22"/>
      <w:lang w:val="es-ES" w:eastAsia="en-US"/>
    </w:rPr>
  </w:style>
  <w:style w:type="table" w:styleId="Cuadrculaclara-nfasis5">
    <w:name w:val="Light Grid Accent 5"/>
    <w:basedOn w:val="Tablanormal"/>
    <w:uiPriority w:val="62"/>
    <w:rsid w:val="00077D5F"/>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Tablaconcuadrcula">
    <w:name w:val="Table Grid"/>
    <w:basedOn w:val="Tablanormal"/>
    <w:uiPriority w:val="59"/>
    <w:rsid w:val="00AB438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Encabezado">
    <w:name w:val="header"/>
    <w:basedOn w:val="Normal"/>
    <w:link w:val="EncabezadoCar"/>
    <w:uiPriority w:val="99"/>
    <w:unhideWhenUsed/>
    <w:rsid w:val="00121095"/>
    <w:pPr>
      <w:tabs>
        <w:tab w:val="center" w:pos="4252"/>
        <w:tab w:val="right" w:pos="8504"/>
      </w:tabs>
      <w:jc w:val="both"/>
    </w:pPr>
    <w:rPr>
      <w:rFonts w:ascii="Calibri" w:eastAsia="Calibri" w:hAnsi="Calibri"/>
      <w:sz w:val="22"/>
      <w:szCs w:val="22"/>
      <w:lang w:val="es-ES" w:eastAsia="en-US"/>
    </w:rPr>
  </w:style>
  <w:style w:type="character" w:customStyle="1" w:styleId="EncabezadoCar">
    <w:name w:val="Encabezado Car"/>
    <w:basedOn w:val="Fuentedeprrafopredeter"/>
    <w:link w:val="Encabezado"/>
    <w:uiPriority w:val="99"/>
    <w:rsid w:val="00121095"/>
    <w:rPr>
      <w:sz w:val="22"/>
      <w:szCs w:val="22"/>
      <w:lang w:eastAsia="en-US"/>
    </w:rPr>
  </w:style>
  <w:style w:type="paragraph" w:styleId="Piedepgina">
    <w:name w:val="footer"/>
    <w:basedOn w:val="Normal"/>
    <w:link w:val="PiedepginaCar"/>
    <w:uiPriority w:val="99"/>
    <w:unhideWhenUsed/>
    <w:rsid w:val="00121095"/>
    <w:pPr>
      <w:tabs>
        <w:tab w:val="center" w:pos="4252"/>
        <w:tab w:val="right" w:pos="8504"/>
      </w:tabs>
      <w:jc w:val="both"/>
    </w:pPr>
    <w:rPr>
      <w:rFonts w:ascii="Calibri" w:eastAsia="Calibri" w:hAnsi="Calibri"/>
      <w:sz w:val="22"/>
      <w:szCs w:val="22"/>
      <w:lang w:val="es-ES" w:eastAsia="en-US"/>
    </w:rPr>
  </w:style>
  <w:style w:type="character" w:customStyle="1" w:styleId="PiedepginaCar">
    <w:name w:val="Pie de página Car"/>
    <w:basedOn w:val="Fuentedeprrafopredeter"/>
    <w:link w:val="Piedepgina"/>
    <w:uiPriority w:val="99"/>
    <w:rsid w:val="00121095"/>
    <w:rPr>
      <w:sz w:val="22"/>
      <w:szCs w:val="22"/>
      <w:lang w:eastAsia="en-US"/>
    </w:rPr>
  </w:style>
  <w:style w:type="paragraph" w:styleId="Textonotapie">
    <w:name w:val="footnote text"/>
    <w:basedOn w:val="Normal"/>
    <w:link w:val="TextonotapieCar"/>
    <w:semiHidden/>
    <w:unhideWhenUsed/>
    <w:rsid w:val="006E4B4D"/>
    <w:pPr>
      <w:jc w:val="both"/>
    </w:pPr>
    <w:rPr>
      <w:rFonts w:ascii="Calibri" w:eastAsia="Calibri" w:hAnsi="Calibri"/>
      <w:sz w:val="20"/>
      <w:szCs w:val="20"/>
      <w:lang w:val="es-ES" w:eastAsia="en-US"/>
    </w:rPr>
  </w:style>
  <w:style w:type="character" w:customStyle="1" w:styleId="TextonotapieCar">
    <w:name w:val="Texto nota pie Car"/>
    <w:basedOn w:val="Fuentedeprrafopredeter"/>
    <w:link w:val="Textonotapie"/>
    <w:semiHidden/>
    <w:rsid w:val="006E4B4D"/>
    <w:rPr>
      <w:lang w:eastAsia="en-US"/>
    </w:rPr>
  </w:style>
  <w:style w:type="character" w:styleId="Refdenotaalpie">
    <w:name w:val="footnote reference"/>
    <w:basedOn w:val="Fuentedeprrafopredeter"/>
    <w:semiHidden/>
    <w:unhideWhenUsed/>
    <w:rsid w:val="006E4B4D"/>
    <w:rPr>
      <w:vertAlign w:val="superscript"/>
    </w:rPr>
  </w:style>
  <w:style w:type="paragraph" w:styleId="Textonotaalfinal">
    <w:name w:val="endnote text"/>
    <w:basedOn w:val="Normal"/>
    <w:link w:val="TextonotaalfinalCar"/>
    <w:uiPriority w:val="99"/>
    <w:semiHidden/>
    <w:unhideWhenUsed/>
    <w:rsid w:val="00EB5D63"/>
    <w:rPr>
      <w:sz w:val="20"/>
      <w:szCs w:val="20"/>
    </w:rPr>
  </w:style>
  <w:style w:type="character" w:customStyle="1" w:styleId="TextonotaalfinalCar">
    <w:name w:val="Texto nota al final Car"/>
    <w:basedOn w:val="Fuentedeprrafopredeter"/>
    <w:link w:val="Textonotaalfinal"/>
    <w:uiPriority w:val="99"/>
    <w:semiHidden/>
    <w:rsid w:val="00EB5D63"/>
    <w:rPr>
      <w:lang w:val="es-ES" w:eastAsia="en-US"/>
    </w:rPr>
  </w:style>
  <w:style w:type="character" w:styleId="Refdenotaalfinal">
    <w:name w:val="endnote reference"/>
    <w:basedOn w:val="Fuentedeprrafopredeter"/>
    <w:uiPriority w:val="99"/>
    <w:semiHidden/>
    <w:unhideWhenUsed/>
    <w:rsid w:val="00EB5D63"/>
    <w:rPr>
      <w:vertAlign w:val="superscript"/>
    </w:rPr>
  </w:style>
  <w:style w:type="paragraph" w:styleId="Textoindependiente2">
    <w:name w:val="Body Text 2"/>
    <w:basedOn w:val="Normal"/>
    <w:link w:val="Textoindependiente2Car"/>
    <w:uiPriority w:val="99"/>
    <w:semiHidden/>
    <w:rsid w:val="007C1DAE"/>
    <w:pPr>
      <w:jc w:val="both"/>
    </w:pPr>
    <w:rPr>
      <w:rFonts w:ascii="Verdana" w:hAnsi="Verdana"/>
      <w:sz w:val="22"/>
      <w:szCs w:val="20"/>
      <w:lang w:eastAsia="es-ES"/>
    </w:rPr>
  </w:style>
  <w:style w:type="character" w:customStyle="1" w:styleId="Textoindependiente2Car">
    <w:name w:val="Texto independiente 2 Car"/>
    <w:basedOn w:val="Fuentedeprrafopredeter"/>
    <w:link w:val="Textoindependiente2"/>
    <w:uiPriority w:val="99"/>
    <w:semiHidden/>
    <w:rsid w:val="007C1DAE"/>
    <w:rPr>
      <w:rFonts w:ascii="Verdana" w:eastAsia="Times New Roman" w:hAnsi="Verdana"/>
      <w:sz w:val="22"/>
      <w:lang w:eastAsia="es-ES"/>
    </w:rPr>
  </w:style>
  <w:style w:type="paragraph" w:styleId="Textodeglobo">
    <w:name w:val="Balloon Text"/>
    <w:basedOn w:val="Normal"/>
    <w:link w:val="TextodegloboCar"/>
    <w:uiPriority w:val="99"/>
    <w:semiHidden/>
    <w:unhideWhenUsed/>
    <w:rsid w:val="00931F37"/>
    <w:rPr>
      <w:rFonts w:ascii="Tahoma" w:hAnsi="Tahoma" w:cs="Tahoma"/>
      <w:sz w:val="16"/>
      <w:szCs w:val="16"/>
    </w:rPr>
  </w:style>
  <w:style w:type="character" w:customStyle="1" w:styleId="TextodegloboCar">
    <w:name w:val="Texto de globo Car"/>
    <w:basedOn w:val="Fuentedeprrafopredeter"/>
    <w:link w:val="Textodeglobo"/>
    <w:uiPriority w:val="99"/>
    <w:semiHidden/>
    <w:rsid w:val="00931F37"/>
    <w:rPr>
      <w:rFonts w:ascii="Tahoma" w:hAnsi="Tahoma" w:cs="Tahoma"/>
      <w:sz w:val="16"/>
      <w:szCs w:val="16"/>
      <w:lang w:val="es-ES" w:eastAsia="en-US"/>
    </w:rPr>
  </w:style>
  <w:style w:type="paragraph" w:customStyle="1" w:styleId="Textoindependiente31">
    <w:name w:val="Texto independiente 31"/>
    <w:basedOn w:val="Normal"/>
    <w:rsid w:val="00927541"/>
    <w:pPr>
      <w:jc w:val="both"/>
    </w:pPr>
    <w:rPr>
      <w:rFonts w:ascii="Arial" w:hAnsi="Arial"/>
      <w:b/>
      <w:sz w:val="22"/>
      <w:szCs w:val="20"/>
      <w:lang w:eastAsia="es-ES"/>
    </w:rPr>
  </w:style>
  <w:style w:type="paragraph" w:customStyle="1" w:styleId="Default">
    <w:name w:val="Default"/>
    <w:rsid w:val="008E037B"/>
    <w:pPr>
      <w:autoSpaceDE w:val="0"/>
      <w:autoSpaceDN w:val="0"/>
      <w:adjustRightInd w:val="0"/>
    </w:pPr>
    <w:rPr>
      <w:rFonts w:ascii="Verdana" w:eastAsiaTheme="minorHAnsi" w:hAnsi="Verdana" w:cs="Verdana"/>
      <w:color w:val="000000"/>
      <w:sz w:val="24"/>
      <w:szCs w:val="24"/>
      <w:lang w:eastAsia="en-US"/>
    </w:rPr>
  </w:style>
  <w:style w:type="character" w:styleId="Hipervnculo">
    <w:name w:val="Hyperlink"/>
    <w:basedOn w:val="Fuentedeprrafopredeter"/>
    <w:uiPriority w:val="99"/>
    <w:unhideWhenUsed/>
    <w:rsid w:val="00FA211F"/>
    <w:rPr>
      <w:color w:val="0000FF"/>
      <w:u w:val="single"/>
    </w:rPr>
  </w:style>
  <w:style w:type="character" w:styleId="Hipervnculovisitado">
    <w:name w:val="FollowedHyperlink"/>
    <w:basedOn w:val="Fuentedeprrafopredeter"/>
    <w:uiPriority w:val="99"/>
    <w:semiHidden/>
    <w:unhideWhenUsed/>
    <w:rsid w:val="00FA211F"/>
    <w:rPr>
      <w:color w:val="800080" w:themeColor="followedHyperlink"/>
      <w:u w:val="single"/>
    </w:rPr>
  </w:style>
  <w:style w:type="paragraph" w:styleId="NormalWeb">
    <w:name w:val="Normal (Web)"/>
    <w:basedOn w:val="Normal"/>
    <w:uiPriority w:val="99"/>
    <w:unhideWhenUsed/>
    <w:rsid w:val="009C0868"/>
    <w:pPr>
      <w:spacing w:before="100" w:beforeAutospacing="1" w:after="100" w:afterAutospacing="1"/>
    </w:pPr>
  </w:style>
  <w:style w:type="character" w:styleId="Textoennegrita">
    <w:name w:val="Strong"/>
    <w:basedOn w:val="Fuentedeprrafopredeter"/>
    <w:uiPriority w:val="22"/>
    <w:qFormat/>
    <w:rsid w:val="009C0868"/>
    <w:rPr>
      <w:b/>
      <w:bCs/>
    </w:rPr>
  </w:style>
  <w:style w:type="character" w:customStyle="1" w:styleId="Descripcin1">
    <w:name w:val="Descripción1"/>
    <w:basedOn w:val="Fuentedeprrafopredeter"/>
    <w:rsid w:val="009C0868"/>
  </w:style>
  <w:style w:type="character" w:customStyle="1" w:styleId="attribution">
    <w:name w:val="attribution"/>
    <w:basedOn w:val="Fuentedeprrafopredeter"/>
    <w:rsid w:val="009C0868"/>
  </w:style>
  <w:style w:type="character" w:styleId="nfasis">
    <w:name w:val="Emphasis"/>
    <w:basedOn w:val="Fuentedeprrafopredeter"/>
    <w:uiPriority w:val="20"/>
    <w:qFormat/>
    <w:rsid w:val="009C0868"/>
    <w:rPr>
      <w:i/>
      <w:iCs/>
    </w:rPr>
  </w:style>
  <w:style w:type="paragraph" w:styleId="z-Principiodelformulario">
    <w:name w:val="HTML Top of Form"/>
    <w:basedOn w:val="Normal"/>
    <w:next w:val="Normal"/>
    <w:link w:val="z-PrincipiodelformularioCar"/>
    <w:hidden/>
    <w:uiPriority w:val="99"/>
    <w:semiHidden/>
    <w:unhideWhenUsed/>
    <w:rsid w:val="003B6195"/>
    <w:pPr>
      <w:pBdr>
        <w:bottom w:val="single" w:sz="6" w:space="1" w:color="auto"/>
      </w:pBdr>
      <w:jc w:val="center"/>
    </w:pPr>
    <w:rPr>
      <w:rFonts w:ascii="Arial" w:hAnsi="Arial" w:cs="Arial"/>
      <w:vanish/>
      <w:sz w:val="16"/>
      <w:szCs w:val="16"/>
    </w:rPr>
  </w:style>
  <w:style w:type="character" w:customStyle="1" w:styleId="z-PrincipiodelformularioCar">
    <w:name w:val="z-Principio del formulario Car"/>
    <w:basedOn w:val="Fuentedeprrafopredeter"/>
    <w:link w:val="z-Principiodelformulario"/>
    <w:uiPriority w:val="99"/>
    <w:semiHidden/>
    <w:rsid w:val="003B6195"/>
    <w:rPr>
      <w:rFonts w:ascii="Arial" w:eastAsia="Times New Roman" w:hAnsi="Arial" w:cs="Arial"/>
      <w:vanish/>
      <w:sz w:val="16"/>
      <w:szCs w:val="16"/>
    </w:rPr>
  </w:style>
  <w:style w:type="paragraph" w:styleId="z-Finaldelformulario">
    <w:name w:val="HTML Bottom of Form"/>
    <w:basedOn w:val="Normal"/>
    <w:next w:val="Normal"/>
    <w:link w:val="z-FinaldelformularioCar"/>
    <w:hidden/>
    <w:uiPriority w:val="99"/>
    <w:semiHidden/>
    <w:unhideWhenUsed/>
    <w:rsid w:val="003B6195"/>
    <w:pPr>
      <w:pBdr>
        <w:top w:val="single" w:sz="6" w:space="1" w:color="auto"/>
      </w:pBdr>
      <w:jc w:val="center"/>
    </w:pPr>
    <w:rPr>
      <w:rFonts w:ascii="Arial" w:hAnsi="Arial" w:cs="Arial"/>
      <w:vanish/>
      <w:sz w:val="16"/>
      <w:szCs w:val="16"/>
    </w:rPr>
  </w:style>
  <w:style w:type="character" w:customStyle="1" w:styleId="z-FinaldelformularioCar">
    <w:name w:val="z-Final del formulario Car"/>
    <w:basedOn w:val="Fuentedeprrafopredeter"/>
    <w:link w:val="z-Finaldelformulario"/>
    <w:uiPriority w:val="99"/>
    <w:semiHidden/>
    <w:rsid w:val="003B6195"/>
    <w:rPr>
      <w:rFonts w:ascii="Arial" w:eastAsia="Times New Roman" w:hAnsi="Arial" w:cs="Arial"/>
      <w:vanish/>
      <w:sz w:val="16"/>
      <w:szCs w:val="16"/>
    </w:rPr>
  </w:style>
  <w:style w:type="character" w:customStyle="1" w:styleId="apple-converted-space">
    <w:name w:val="apple-converted-space"/>
    <w:basedOn w:val="Fuentedeprrafopredeter"/>
    <w:rsid w:val="003B6195"/>
  </w:style>
  <w:style w:type="character" w:customStyle="1" w:styleId="hide-for-small">
    <w:name w:val="hide-for-small"/>
    <w:basedOn w:val="Fuentedeprrafopredeter"/>
    <w:rsid w:val="003B6195"/>
  </w:style>
  <w:style w:type="character" w:customStyle="1" w:styleId="Fecha1">
    <w:name w:val="Fecha1"/>
    <w:basedOn w:val="Fuentedeprrafopredeter"/>
    <w:rsid w:val="003B6195"/>
  </w:style>
  <w:style w:type="character" w:customStyle="1" w:styleId="article-img-caption">
    <w:name w:val="article-img-caption"/>
    <w:basedOn w:val="Fuentedeprrafopredeter"/>
    <w:rsid w:val="003B6195"/>
  </w:style>
  <w:style w:type="character" w:customStyle="1" w:styleId="fbcount">
    <w:name w:val="fbcount"/>
    <w:basedOn w:val="Fuentedeprrafopredeter"/>
    <w:rsid w:val="003B6195"/>
  </w:style>
  <w:style w:type="character" w:customStyle="1" w:styleId="twcount">
    <w:name w:val="twcount"/>
    <w:basedOn w:val="Fuentedeprrafopredeter"/>
    <w:rsid w:val="003B6195"/>
  </w:style>
  <w:style w:type="character" w:customStyle="1" w:styleId="gocount">
    <w:name w:val="gocount"/>
    <w:basedOn w:val="Fuentedeprrafopredeter"/>
    <w:rsid w:val="003B6195"/>
  </w:style>
  <w:style w:type="character" w:customStyle="1" w:styleId="licount">
    <w:name w:val="licount"/>
    <w:basedOn w:val="Fuentedeprrafopredeter"/>
    <w:rsid w:val="003B6195"/>
  </w:style>
  <w:style w:type="paragraph" w:customStyle="1" w:styleId="intro">
    <w:name w:val="intro"/>
    <w:basedOn w:val="Normal"/>
    <w:rsid w:val="003B6195"/>
    <w:pPr>
      <w:spacing w:before="100" w:beforeAutospacing="1" w:after="100" w:afterAutospacing="1"/>
    </w:pPr>
  </w:style>
  <w:style w:type="table" w:styleId="Tablaconcuadrcula4-nfasis5">
    <w:name w:val="Grid Table 4 Accent 5"/>
    <w:basedOn w:val="Tablanormal"/>
    <w:uiPriority w:val="49"/>
    <w:rsid w:val="00025500"/>
    <w:rPr>
      <w:rFonts w:ascii="Times New Roman" w:eastAsia="Times New Roman" w:hAnsi="Times New Roman"/>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paragraph" w:customStyle="1" w:styleId="parrafo">
    <w:name w:val="parrafo"/>
    <w:basedOn w:val="Normal"/>
    <w:rsid w:val="00100924"/>
    <w:pPr>
      <w:spacing w:before="100" w:beforeAutospacing="1" w:after="100" w:afterAutospacing="1"/>
    </w:pPr>
  </w:style>
  <w:style w:type="paragraph" w:styleId="Sinespaciado">
    <w:name w:val="No Spacing"/>
    <w:uiPriority w:val="1"/>
    <w:qFormat/>
    <w:rsid w:val="00091347"/>
    <w:rPr>
      <w:rFonts w:ascii="Trebuchet MS" w:eastAsia="Times New Roman" w:hAnsi="Trebuchet MS" w:cstheme="minorHAnsi"/>
      <w:sz w:val="24"/>
      <w:szCs w:val="24"/>
      <w:lang w:val="en-US" w:eastAsia="en-US"/>
    </w:rPr>
  </w:style>
  <w:style w:type="paragraph" w:styleId="Textoindependiente">
    <w:name w:val="Body Text"/>
    <w:basedOn w:val="Normal"/>
    <w:link w:val="TextoindependienteCar"/>
    <w:rsid w:val="00221895"/>
    <w:pPr>
      <w:jc w:val="both"/>
    </w:pPr>
    <w:rPr>
      <w:rFonts w:ascii="Verdana" w:hAnsi="Verdana"/>
      <w:sz w:val="22"/>
      <w:szCs w:val="20"/>
      <w:lang w:val="es-ES" w:eastAsia="es-ES"/>
    </w:rPr>
  </w:style>
  <w:style w:type="character" w:customStyle="1" w:styleId="TextoindependienteCar">
    <w:name w:val="Texto independiente Car"/>
    <w:basedOn w:val="Fuentedeprrafopredeter"/>
    <w:link w:val="Textoindependiente"/>
    <w:rsid w:val="00221895"/>
    <w:rPr>
      <w:rFonts w:ascii="Verdana" w:eastAsia="Times New Roman" w:hAnsi="Verdana"/>
      <w:sz w:val="22"/>
      <w:lang w:val="es-ES" w:eastAsia="es-ES"/>
    </w:rPr>
  </w:style>
  <w:style w:type="paragraph" w:styleId="Ttulo">
    <w:name w:val="Title"/>
    <w:basedOn w:val="Normal"/>
    <w:next w:val="Normal"/>
    <w:link w:val="TtuloCar"/>
    <w:uiPriority w:val="10"/>
    <w:qFormat/>
    <w:rsid w:val="00221895"/>
    <w:pPr>
      <w:contextualSpacing/>
    </w:pPr>
    <w:rPr>
      <w:rFonts w:asciiTheme="majorHAnsi" w:eastAsiaTheme="majorEastAsia" w:hAnsiTheme="majorHAnsi" w:cstheme="majorBidi"/>
      <w:spacing w:val="-10"/>
      <w:kern w:val="28"/>
      <w:sz w:val="56"/>
      <w:szCs w:val="56"/>
      <w:lang w:val="es-ES_tradnl" w:eastAsia="es-ES"/>
    </w:rPr>
  </w:style>
  <w:style w:type="character" w:customStyle="1" w:styleId="TtuloCar">
    <w:name w:val="Título Car"/>
    <w:basedOn w:val="Fuentedeprrafopredeter"/>
    <w:link w:val="Ttulo"/>
    <w:uiPriority w:val="10"/>
    <w:rsid w:val="00221895"/>
    <w:rPr>
      <w:rFonts w:asciiTheme="majorHAnsi" w:eastAsiaTheme="majorEastAsia" w:hAnsiTheme="majorHAnsi" w:cstheme="majorBidi"/>
      <w:spacing w:val="-10"/>
      <w:kern w:val="28"/>
      <w:sz w:val="56"/>
      <w:szCs w:val="56"/>
      <w:lang w:val="es-ES_tradnl" w:eastAsia="es-ES"/>
    </w:rPr>
  </w:style>
  <w:style w:type="character" w:customStyle="1" w:styleId="Textoindependiente3Car">
    <w:name w:val="Texto independiente 3 Car"/>
    <w:basedOn w:val="Fuentedeprrafopredeter"/>
    <w:link w:val="Textoindependiente3"/>
    <w:uiPriority w:val="99"/>
    <w:semiHidden/>
    <w:rsid w:val="00221895"/>
    <w:rPr>
      <w:sz w:val="16"/>
      <w:szCs w:val="16"/>
      <w:lang w:val="es-ES_tradnl" w:eastAsia="es-ES"/>
    </w:rPr>
  </w:style>
  <w:style w:type="paragraph" w:styleId="Textoindependiente3">
    <w:name w:val="Body Text 3"/>
    <w:basedOn w:val="Normal"/>
    <w:link w:val="Textoindependiente3Car"/>
    <w:uiPriority w:val="99"/>
    <w:semiHidden/>
    <w:unhideWhenUsed/>
    <w:rsid w:val="00221895"/>
    <w:pPr>
      <w:spacing w:after="120"/>
    </w:pPr>
    <w:rPr>
      <w:rFonts w:ascii="Calibri" w:eastAsia="Calibri" w:hAnsi="Calibri"/>
      <w:sz w:val="16"/>
      <w:szCs w:val="16"/>
      <w:lang w:val="es-ES_tradnl" w:eastAsia="es-ES"/>
    </w:rPr>
  </w:style>
  <w:style w:type="character" w:customStyle="1" w:styleId="Textoindependiente3Car1">
    <w:name w:val="Texto independiente 3 Car1"/>
    <w:basedOn w:val="Fuentedeprrafopredeter"/>
    <w:uiPriority w:val="99"/>
    <w:semiHidden/>
    <w:rsid w:val="00221895"/>
    <w:rPr>
      <w:rFonts w:ascii="Times New Roman" w:eastAsia="Times New Roman" w:hAnsi="Times New Roman"/>
      <w:sz w:val="16"/>
      <w:szCs w:val="16"/>
    </w:rPr>
  </w:style>
  <w:style w:type="paragraph" w:customStyle="1" w:styleId="xl67">
    <w:name w:val="xl67"/>
    <w:basedOn w:val="Normal"/>
    <w:rsid w:val="0022189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16"/>
      <w:szCs w:val="16"/>
    </w:rPr>
  </w:style>
  <w:style w:type="paragraph" w:customStyle="1" w:styleId="xl68">
    <w:name w:val="xl68"/>
    <w:basedOn w:val="Normal"/>
    <w:rsid w:val="0022189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rPr>
  </w:style>
  <w:style w:type="paragraph" w:customStyle="1" w:styleId="xl69">
    <w:name w:val="xl69"/>
    <w:basedOn w:val="Normal"/>
    <w:rsid w:val="0022189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rPr>
  </w:style>
  <w:style w:type="paragraph" w:customStyle="1" w:styleId="xl70">
    <w:name w:val="xl70"/>
    <w:basedOn w:val="Normal"/>
    <w:rsid w:val="00221895"/>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center"/>
      <w:textAlignment w:val="center"/>
    </w:pPr>
    <w:rPr>
      <w:rFonts w:ascii="Arial Narrow" w:hAnsi="Arial Narrow"/>
      <w:b/>
      <w:bCs/>
      <w:color w:val="FFFFFF"/>
      <w:sz w:val="16"/>
      <w:szCs w:val="16"/>
    </w:rPr>
  </w:style>
  <w:style w:type="paragraph" w:customStyle="1" w:styleId="xl71">
    <w:name w:val="xl71"/>
    <w:basedOn w:val="Normal"/>
    <w:rsid w:val="00221895"/>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Narrow" w:hAnsi="Arial Narrow"/>
      <w:sz w:val="20"/>
      <w:szCs w:val="20"/>
    </w:rPr>
  </w:style>
  <w:style w:type="paragraph" w:customStyle="1" w:styleId="xl72">
    <w:name w:val="xl72"/>
    <w:basedOn w:val="Normal"/>
    <w:rsid w:val="0022189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16"/>
      <w:szCs w:val="16"/>
    </w:rPr>
  </w:style>
  <w:style w:type="paragraph" w:customStyle="1" w:styleId="xl73">
    <w:name w:val="xl73"/>
    <w:basedOn w:val="Normal"/>
    <w:rsid w:val="0022189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20"/>
      <w:szCs w:val="20"/>
    </w:rPr>
  </w:style>
  <w:style w:type="paragraph" w:customStyle="1" w:styleId="xl74">
    <w:name w:val="xl74"/>
    <w:basedOn w:val="Normal"/>
    <w:rsid w:val="0022189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20"/>
      <w:szCs w:val="20"/>
    </w:rPr>
  </w:style>
  <w:style w:type="paragraph" w:customStyle="1" w:styleId="xl75">
    <w:name w:val="xl75"/>
    <w:basedOn w:val="Normal"/>
    <w:rsid w:val="0022189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pPr>
    <w:rPr>
      <w:rFonts w:ascii="Arial Narrow" w:hAnsi="Arial Narrow"/>
      <w:sz w:val="20"/>
      <w:szCs w:val="20"/>
    </w:rPr>
  </w:style>
  <w:style w:type="paragraph" w:customStyle="1" w:styleId="xl77">
    <w:name w:val="xl77"/>
    <w:basedOn w:val="Normal"/>
    <w:rsid w:val="00221895"/>
    <w:pPr>
      <w:pBdr>
        <w:bottom w:val="single" w:sz="4" w:space="0" w:color="95B3D7"/>
      </w:pBdr>
      <w:shd w:val="clear" w:color="DCE6F1" w:fill="DCE6F1"/>
      <w:spacing w:before="100" w:beforeAutospacing="1" w:after="100" w:afterAutospacing="1"/>
      <w:jc w:val="center"/>
      <w:textAlignment w:val="center"/>
    </w:pPr>
    <w:rPr>
      <w:rFonts w:ascii="Arial Narrow" w:hAnsi="Arial Narrow"/>
      <w:b/>
      <w:bCs/>
      <w:sz w:val="16"/>
      <w:szCs w:val="16"/>
    </w:rPr>
  </w:style>
  <w:style w:type="paragraph" w:customStyle="1" w:styleId="xl78">
    <w:name w:val="xl78"/>
    <w:basedOn w:val="Normal"/>
    <w:rsid w:val="00221895"/>
    <w:pPr>
      <w:shd w:val="clear" w:color="DCE6F1" w:fill="DCE6F1"/>
      <w:spacing w:before="100" w:beforeAutospacing="1" w:after="100" w:afterAutospacing="1"/>
      <w:jc w:val="center"/>
      <w:textAlignment w:val="center"/>
    </w:pPr>
    <w:rPr>
      <w:rFonts w:ascii="Arial Narrow" w:hAnsi="Arial Narrow"/>
      <w:b/>
      <w:bCs/>
      <w:sz w:val="16"/>
      <w:szCs w:val="16"/>
    </w:rPr>
  </w:style>
  <w:style w:type="paragraph" w:customStyle="1" w:styleId="xl79">
    <w:name w:val="xl79"/>
    <w:basedOn w:val="Normal"/>
    <w:rsid w:val="0022189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rPr>
  </w:style>
  <w:style w:type="paragraph" w:customStyle="1" w:styleId="xl76">
    <w:name w:val="xl76"/>
    <w:basedOn w:val="Normal"/>
    <w:rsid w:val="0022189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sz w:val="20"/>
      <w:szCs w:val="20"/>
    </w:rPr>
  </w:style>
  <w:style w:type="paragraph" w:customStyle="1" w:styleId="xl80">
    <w:name w:val="xl80"/>
    <w:basedOn w:val="Normal"/>
    <w:rsid w:val="0022189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rPr>
  </w:style>
  <w:style w:type="paragraph" w:customStyle="1" w:styleId="xl81">
    <w:name w:val="xl81"/>
    <w:basedOn w:val="Normal"/>
    <w:rsid w:val="0022189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rPr>
  </w:style>
  <w:style w:type="paragraph" w:customStyle="1" w:styleId="xl82">
    <w:name w:val="xl82"/>
    <w:basedOn w:val="Normal"/>
    <w:rsid w:val="0022189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sz w:val="20"/>
      <w:szCs w:val="20"/>
    </w:rPr>
  </w:style>
  <w:style w:type="paragraph" w:customStyle="1" w:styleId="xl83">
    <w:name w:val="xl83"/>
    <w:basedOn w:val="Normal"/>
    <w:rsid w:val="0022189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sz w:val="20"/>
      <w:szCs w:val="20"/>
    </w:rPr>
  </w:style>
  <w:style w:type="paragraph" w:customStyle="1" w:styleId="xl84">
    <w:name w:val="xl84"/>
    <w:basedOn w:val="Normal"/>
    <w:rsid w:val="0022189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sz w:val="20"/>
      <w:szCs w:val="20"/>
    </w:rPr>
  </w:style>
  <w:style w:type="paragraph" w:customStyle="1" w:styleId="xl85">
    <w:name w:val="xl85"/>
    <w:basedOn w:val="Normal"/>
    <w:rsid w:val="0022189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rPr>
  </w:style>
  <w:style w:type="paragraph" w:customStyle="1" w:styleId="xl86">
    <w:name w:val="xl86"/>
    <w:basedOn w:val="Normal"/>
    <w:rsid w:val="0022189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sz w:val="20"/>
      <w:szCs w:val="20"/>
    </w:rPr>
  </w:style>
  <w:style w:type="paragraph" w:customStyle="1" w:styleId="xl103">
    <w:name w:val="xl103"/>
    <w:basedOn w:val="Normal"/>
    <w:rsid w:val="00221895"/>
    <w:pPr>
      <w:spacing w:before="100" w:beforeAutospacing="1" w:after="100" w:afterAutospacing="1"/>
    </w:pPr>
    <w:rPr>
      <w:rFonts w:ascii="Arial Narrow" w:hAnsi="Arial Narrow"/>
    </w:rPr>
  </w:style>
  <w:style w:type="paragraph" w:customStyle="1" w:styleId="xl104">
    <w:name w:val="xl104"/>
    <w:basedOn w:val="Normal"/>
    <w:rsid w:val="0022189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rPr>
  </w:style>
  <w:style w:type="paragraph" w:customStyle="1" w:styleId="xl105">
    <w:name w:val="xl105"/>
    <w:basedOn w:val="Normal"/>
    <w:rsid w:val="00221895"/>
    <w:pPr>
      <w:spacing w:before="100" w:beforeAutospacing="1" w:after="100" w:afterAutospacing="1"/>
    </w:pPr>
    <w:rPr>
      <w:rFonts w:ascii="Arial Narrow" w:hAnsi="Arial Narrow"/>
    </w:rPr>
  </w:style>
  <w:style w:type="paragraph" w:customStyle="1" w:styleId="xl106">
    <w:name w:val="xl106"/>
    <w:basedOn w:val="Normal"/>
    <w:rsid w:val="0022189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rPr>
  </w:style>
  <w:style w:type="paragraph" w:customStyle="1" w:styleId="xl107">
    <w:name w:val="xl107"/>
    <w:basedOn w:val="Normal"/>
    <w:rsid w:val="00221895"/>
    <w:pPr>
      <w:spacing w:before="100" w:beforeAutospacing="1" w:after="100" w:afterAutospacing="1"/>
    </w:pPr>
    <w:rPr>
      <w:rFonts w:ascii="Arial Narrow" w:hAnsi="Arial Narrow"/>
    </w:rPr>
  </w:style>
  <w:style w:type="paragraph" w:customStyle="1" w:styleId="xl108">
    <w:name w:val="xl108"/>
    <w:basedOn w:val="Normal"/>
    <w:rsid w:val="0022189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rPr>
  </w:style>
  <w:style w:type="paragraph" w:customStyle="1" w:styleId="xl109">
    <w:name w:val="xl109"/>
    <w:basedOn w:val="Normal"/>
    <w:rsid w:val="00221895"/>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pPr>
    <w:rPr>
      <w:rFonts w:ascii="Arial Narrow" w:hAnsi="Arial Narrow"/>
      <w:b/>
      <w:bCs/>
      <w:color w:val="FFFFFF"/>
    </w:rPr>
  </w:style>
  <w:style w:type="paragraph" w:customStyle="1" w:styleId="xl110">
    <w:name w:val="xl110"/>
    <w:basedOn w:val="Normal"/>
    <w:rsid w:val="00221895"/>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pPr>
    <w:rPr>
      <w:rFonts w:ascii="Arial Narrow" w:hAnsi="Arial Narrow"/>
      <w:b/>
      <w:bCs/>
      <w:color w:val="FFFFFF"/>
    </w:rPr>
  </w:style>
  <w:style w:type="paragraph" w:customStyle="1" w:styleId="xl111">
    <w:name w:val="xl111"/>
    <w:basedOn w:val="Normal"/>
    <w:rsid w:val="00221895"/>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pPr>
    <w:rPr>
      <w:rFonts w:ascii="Arial Narrow" w:hAnsi="Arial Narrow"/>
      <w:b/>
      <w:bCs/>
      <w:color w:val="FFFFFF"/>
    </w:rPr>
  </w:style>
  <w:style w:type="paragraph" w:customStyle="1" w:styleId="xl112">
    <w:name w:val="xl112"/>
    <w:basedOn w:val="Normal"/>
    <w:rsid w:val="00221895"/>
    <w:pPr>
      <w:pBdr>
        <w:top w:val="single" w:sz="4" w:space="0" w:color="auto"/>
        <w:left w:val="single" w:sz="4" w:space="0" w:color="auto"/>
        <w:bottom w:val="single" w:sz="4" w:space="0" w:color="auto"/>
        <w:right w:val="single" w:sz="4" w:space="0" w:color="auto"/>
      </w:pBdr>
      <w:shd w:val="clear" w:color="000000" w:fill="0000FF"/>
      <w:spacing w:before="100" w:beforeAutospacing="1" w:after="100" w:afterAutospacing="1"/>
      <w:jc w:val="center"/>
      <w:textAlignment w:val="center"/>
    </w:pPr>
    <w:rPr>
      <w:rFonts w:ascii="Arial Narrow" w:hAnsi="Arial Narrow"/>
      <w:b/>
      <w:bCs/>
      <w:color w:val="FFFFFF"/>
      <w:sz w:val="16"/>
      <w:szCs w:val="16"/>
    </w:rPr>
  </w:style>
  <w:style w:type="paragraph" w:customStyle="1" w:styleId="xl113">
    <w:name w:val="xl113"/>
    <w:basedOn w:val="Normal"/>
    <w:rsid w:val="00221895"/>
    <w:pPr>
      <w:pBdr>
        <w:top w:val="single" w:sz="4" w:space="0" w:color="auto"/>
        <w:left w:val="single" w:sz="4" w:space="0" w:color="auto"/>
        <w:bottom w:val="single" w:sz="4" w:space="0" w:color="auto"/>
        <w:right w:val="single" w:sz="4" w:space="0" w:color="auto"/>
      </w:pBdr>
      <w:shd w:val="clear" w:color="000000" w:fill="0000FF"/>
      <w:spacing w:before="100" w:beforeAutospacing="1" w:after="100" w:afterAutospacing="1"/>
      <w:jc w:val="center"/>
      <w:textAlignment w:val="center"/>
    </w:pPr>
    <w:rPr>
      <w:rFonts w:ascii="Arial Narrow" w:hAnsi="Arial Narrow"/>
      <w:b/>
      <w:bCs/>
      <w:color w:val="FFFFFF"/>
      <w:sz w:val="12"/>
      <w:szCs w:val="12"/>
    </w:rPr>
  </w:style>
  <w:style w:type="paragraph" w:customStyle="1" w:styleId="xl114">
    <w:name w:val="xl114"/>
    <w:basedOn w:val="Normal"/>
    <w:rsid w:val="00221895"/>
    <w:pPr>
      <w:pBdr>
        <w:bottom w:val="single" w:sz="4" w:space="0" w:color="auto"/>
      </w:pBdr>
      <w:shd w:val="clear" w:color="000000" w:fill="0000FF"/>
      <w:spacing w:before="100" w:beforeAutospacing="1" w:after="100" w:afterAutospacing="1"/>
      <w:jc w:val="center"/>
    </w:pPr>
    <w:rPr>
      <w:rFonts w:ascii="Arial Narrow" w:hAnsi="Arial Narrow"/>
      <w:b/>
      <w:bCs/>
      <w:color w:val="FFFFFF"/>
    </w:rPr>
  </w:style>
  <w:style w:type="paragraph" w:customStyle="1" w:styleId="xl115">
    <w:name w:val="xl115"/>
    <w:basedOn w:val="Normal"/>
    <w:rsid w:val="0022189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32"/>
      <w:szCs w:val="32"/>
    </w:rPr>
  </w:style>
  <w:style w:type="paragraph" w:customStyle="1" w:styleId="xl87">
    <w:name w:val="xl87"/>
    <w:basedOn w:val="Normal"/>
    <w:rsid w:val="00221895"/>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rFonts w:ascii="Arial Narrow" w:hAnsi="Arial Narrow"/>
      <w:color w:val="FF0000"/>
    </w:rPr>
  </w:style>
  <w:style w:type="paragraph" w:customStyle="1" w:styleId="xl88">
    <w:name w:val="xl88"/>
    <w:basedOn w:val="Normal"/>
    <w:rsid w:val="00221895"/>
    <w:pPr>
      <w:pBdr>
        <w:top w:val="single" w:sz="4" w:space="0" w:color="auto"/>
        <w:left w:val="single" w:sz="4" w:space="0" w:color="auto"/>
        <w:bottom w:val="single" w:sz="4" w:space="0" w:color="auto"/>
        <w:right w:val="single" w:sz="4" w:space="0" w:color="auto"/>
      </w:pBdr>
      <w:shd w:val="clear" w:color="000000" w:fill="DDD9C4"/>
      <w:spacing w:before="100" w:beforeAutospacing="1" w:after="100" w:afterAutospacing="1"/>
      <w:jc w:val="center"/>
    </w:pPr>
    <w:rPr>
      <w:rFonts w:ascii="Arial Narrow" w:hAnsi="Arial Narrow"/>
      <w:color w:val="FF0000"/>
    </w:rPr>
  </w:style>
  <w:style w:type="paragraph" w:customStyle="1" w:styleId="xl89">
    <w:name w:val="xl89"/>
    <w:basedOn w:val="Normal"/>
    <w:rsid w:val="00221895"/>
    <w:pPr>
      <w:pBdr>
        <w:top w:val="single" w:sz="4" w:space="0" w:color="auto"/>
        <w:left w:val="single" w:sz="4" w:space="0" w:color="auto"/>
        <w:bottom w:val="single" w:sz="4" w:space="0" w:color="auto"/>
        <w:right w:val="single" w:sz="4" w:space="0" w:color="auto"/>
      </w:pBdr>
      <w:shd w:val="clear" w:color="000000" w:fill="DDD9C4"/>
      <w:spacing w:before="100" w:beforeAutospacing="1" w:after="100" w:afterAutospacing="1"/>
      <w:jc w:val="center"/>
    </w:pPr>
    <w:rPr>
      <w:rFonts w:ascii="Arial Narrow" w:hAnsi="Arial Narrow"/>
      <w:b/>
      <w:bCs/>
      <w:color w:val="FF0000"/>
    </w:rPr>
  </w:style>
  <w:style w:type="table" w:styleId="Cuadrculamedia3-nfasis1">
    <w:name w:val="Medium Grid 3 Accent 1"/>
    <w:basedOn w:val="Tablanormal"/>
    <w:uiPriority w:val="69"/>
    <w:rsid w:val="00221895"/>
    <w:rPr>
      <w:rFonts w:eastAsia="Times New Roman" w:cs="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rFonts w:cs="Calibri"/>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rFonts w:cs="Calibri"/>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rFonts w:cs="Calibri"/>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rFonts w:cs="Calibri"/>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rPr>
        <w:rFonts w:cs="Calibri"/>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rPr>
        <w:rFonts w:cs="Calibri"/>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Tablaconcuadrcula4-nfasis2">
    <w:name w:val="Grid Table 4 Accent 2"/>
    <w:basedOn w:val="Tablanormal"/>
    <w:uiPriority w:val="49"/>
    <w:rsid w:val="00221895"/>
    <w:rPr>
      <w:rFonts w:ascii="Times New Roman" w:eastAsia="Times New Roman" w:hAnsi="Times New Roman"/>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paragraph" w:customStyle="1" w:styleId="Textopredeterminado">
    <w:name w:val="Texto predeterminado"/>
    <w:basedOn w:val="Normal"/>
    <w:rsid w:val="00221895"/>
    <w:pPr>
      <w:overflowPunct w:val="0"/>
      <w:autoSpaceDE w:val="0"/>
      <w:autoSpaceDN w:val="0"/>
      <w:adjustRightInd w:val="0"/>
      <w:textAlignment w:val="baseline"/>
    </w:pPr>
    <w:rPr>
      <w:szCs w:val="20"/>
      <w:lang w:val="en-US" w:eastAsia="es-ES"/>
    </w:rPr>
  </w:style>
  <w:style w:type="table" w:styleId="Tablaconcuadrcula5oscura-nfasis5">
    <w:name w:val="Grid Table 5 Dark Accent 5"/>
    <w:basedOn w:val="Tablanormal"/>
    <w:uiPriority w:val="50"/>
    <w:rsid w:val="00221895"/>
    <w:rPr>
      <w:rFonts w:ascii="Times New Roman" w:eastAsia="Times New Roman" w:hAnsi="Times New Roman"/>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Tablaconcuadrcula5oscura-nfasis1">
    <w:name w:val="Grid Table 5 Dark Accent 1"/>
    <w:basedOn w:val="Tablanormal"/>
    <w:uiPriority w:val="50"/>
    <w:rsid w:val="00221895"/>
    <w:rPr>
      <w:rFonts w:ascii="Times New Roman" w:eastAsia="Times New Roman" w:hAnsi="Times New Roman"/>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Tablaconcuadrcula4-nfasis1">
    <w:name w:val="Grid Table 4 Accent 1"/>
    <w:basedOn w:val="Tablanormal"/>
    <w:uiPriority w:val="49"/>
    <w:rsid w:val="00221895"/>
    <w:rPr>
      <w:rFonts w:ascii="Times New Roman" w:eastAsia="Times New Roman" w:hAnsi="Times New Roman"/>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customStyle="1" w:styleId="msonormal0">
    <w:name w:val="msonormal"/>
    <w:basedOn w:val="Normal"/>
    <w:rsid w:val="00221895"/>
    <w:pPr>
      <w:spacing w:before="100" w:beforeAutospacing="1" w:after="100" w:afterAutospacing="1"/>
    </w:pPr>
  </w:style>
  <w:style w:type="paragraph" w:customStyle="1" w:styleId="xl66">
    <w:name w:val="xl66"/>
    <w:basedOn w:val="Normal"/>
    <w:rsid w:val="00221895"/>
    <w:pPr>
      <w:pBdr>
        <w:top w:val="single" w:sz="4" w:space="0" w:color="auto"/>
        <w:left w:val="single" w:sz="4" w:space="0" w:color="auto"/>
        <w:bottom w:val="single" w:sz="4" w:space="0" w:color="auto"/>
        <w:right w:val="single" w:sz="4" w:space="0" w:color="auto"/>
      </w:pBdr>
      <w:shd w:val="clear" w:color="000000" w:fill="203764"/>
      <w:spacing w:before="100" w:beforeAutospacing="1" w:after="100" w:afterAutospacing="1"/>
    </w:pPr>
    <w:rPr>
      <w:color w:val="FFFFFF"/>
    </w:rPr>
  </w:style>
  <w:style w:type="character" w:styleId="Mencinsinresolver">
    <w:name w:val="Unresolved Mention"/>
    <w:basedOn w:val="Fuentedeprrafopredeter"/>
    <w:uiPriority w:val="99"/>
    <w:semiHidden/>
    <w:unhideWhenUsed/>
    <w:rsid w:val="00221895"/>
    <w:rPr>
      <w:color w:val="605E5C"/>
      <w:shd w:val="clear" w:color="auto" w:fill="E1DFDD"/>
    </w:rPr>
  </w:style>
  <w:style w:type="paragraph" w:customStyle="1" w:styleId="xl98">
    <w:name w:val="xl98"/>
    <w:basedOn w:val="Normal"/>
    <w:rsid w:val="00221895"/>
    <w:pPr>
      <w:spacing w:before="100" w:beforeAutospacing="1" w:after="100" w:afterAutospacing="1"/>
    </w:pPr>
    <w:rPr>
      <w:rFonts w:ascii="Arial Narrow" w:hAnsi="Arial Narrow"/>
    </w:rPr>
  </w:style>
  <w:style w:type="paragraph" w:customStyle="1" w:styleId="xl99">
    <w:name w:val="xl99"/>
    <w:basedOn w:val="Normal"/>
    <w:rsid w:val="00221895"/>
    <w:pPr>
      <w:spacing w:before="100" w:beforeAutospacing="1" w:after="100" w:afterAutospacing="1"/>
    </w:pPr>
    <w:rPr>
      <w:rFonts w:ascii="Arial Narrow" w:hAnsi="Arial Narrow"/>
    </w:rPr>
  </w:style>
  <w:style w:type="paragraph" w:customStyle="1" w:styleId="xl100">
    <w:name w:val="xl100"/>
    <w:basedOn w:val="Normal"/>
    <w:rsid w:val="00221895"/>
    <w:pPr>
      <w:spacing w:before="100" w:beforeAutospacing="1" w:after="100" w:afterAutospacing="1"/>
    </w:pPr>
    <w:rPr>
      <w:rFonts w:ascii="Arial Narrow" w:hAnsi="Arial Narrow"/>
    </w:rPr>
  </w:style>
  <w:style w:type="paragraph" w:customStyle="1" w:styleId="xl101">
    <w:name w:val="xl101"/>
    <w:basedOn w:val="Normal"/>
    <w:rsid w:val="00221895"/>
    <w:pPr>
      <w:spacing w:before="100" w:beforeAutospacing="1" w:after="100" w:afterAutospacing="1"/>
    </w:pPr>
    <w:rPr>
      <w:rFonts w:ascii="Arial Narrow" w:hAnsi="Arial Narrow"/>
    </w:rPr>
  </w:style>
  <w:style w:type="paragraph" w:customStyle="1" w:styleId="xl102">
    <w:name w:val="xl102"/>
    <w:basedOn w:val="Normal"/>
    <w:rsid w:val="00221895"/>
    <w:pPr>
      <w:shd w:val="clear" w:color="000000" w:fill="000000"/>
      <w:spacing w:before="100" w:beforeAutospacing="1" w:after="100" w:afterAutospacing="1"/>
      <w:jc w:val="center"/>
      <w:textAlignment w:val="center"/>
    </w:pPr>
    <w:rPr>
      <w:rFonts w:ascii="Arial Narrow" w:hAnsi="Arial Narrow"/>
      <w:b/>
      <w:bCs/>
      <w:color w:val="FFFFFF"/>
    </w:rPr>
  </w:style>
  <w:style w:type="character" w:styleId="Refdecomentario">
    <w:name w:val="annotation reference"/>
    <w:basedOn w:val="Fuentedeprrafopredeter"/>
    <w:uiPriority w:val="99"/>
    <w:semiHidden/>
    <w:unhideWhenUsed/>
    <w:rsid w:val="006E5794"/>
    <w:rPr>
      <w:sz w:val="16"/>
      <w:szCs w:val="16"/>
    </w:rPr>
  </w:style>
  <w:style w:type="paragraph" w:styleId="Textocomentario">
    <w:name w:val="annotation text"/>
    <w:basedOn w:val="Normal"/>
    <w:link w:val="TextocomentarioCar"/>
    <w:uiPriority w:val="99"/>
    <w:semiHidden/>
    <w:unhideWhenUsed/>
    <w:rsid w:val="006E5794"/>
    <w:rPr>
      <w:sz w:val="20"/>
      <w:szCs w:val="20"/>
      <w:lang w:val="es-ES_tradnl" w:eastAsia="es-ES"/>
    </w:rPr>
  </w:style>
  <w:style w:type="character" w:customStyle="1" w:styleId="TextocomentarioCar">
    <w:name w:val="Texto comentario Car"/>
    <w:basedOn w:val="Fuentedeprrafopredeter"/>
    <w:link w:val="Textocomentario"/>
    <w:uiPriority w:val="99"/>
    <w:semiHidden/>
    <w:rsid w:val="006E5794"/>
    <w:rPr>
      <w:rFonts w:ascii="Times New Roman" w:eastAsia="Times New Roman" w:hAnsi="Times New Roman"/>
      <w:lang w:val="es-ES_tradnl" w:eastAsia="es-ES"/>
    </w:rPr>
  </w:style>
  <w:style w:type="paragraph" w:styleId="Asuntodelcomentario">
    <w:name w:val="annotation subject"/>
    <w:basedOn w:val="Textocomentario"/>
    <w:next w:val="Textocomentario"/>
    <w:link w:val="AsuntodelcomentarioCar"/>
    <w:uiPriority w:val="99"/>
    <w:semiHidden/>
    <w:unhideWhenUsed/>
    <w:rsid w:val="006E5794"/>
    <w:rPr>
      <w:b/>
      <w:bCs/>
    </w:rPr>
  </w:style>
  <w:style w:type="character" w:customStyle="1" w:styleId="AsuntodelcomentarioCar">
    <w:name w:val="Asunto del comentario Car"/>
    <w:basedOn w:val="TextocomentarioCar"/>
    <w:link w:val="Asuntodelcomentario"/>
    <w:uiPriority w:val="99"/>
    <w:semiHidden/>
    <w:rsid w:val="006E5794"/>
    <w:rPr>
      <w:rFonts w:ascii="Times New Roman" w:eastAsia="Times New Roman" w:hAnsi="Times New Roman"/>
      <w:b/>
      <w:bCs/>
      <w:lang w:val="es-ES_tradnl" w:eastAsia="es-ES"/>
    </w:rPr>
  </w:style>
  <w:style w:type="table" w:styleId="Tablaconcuadrcula4-nfasis6">
    <w:name w:val="Grid Table 4 Accent 6"/>
    <w:basedOn w:val="Tablanormal"/>
    <w:uiPriority w:val="49"/>
    <w:rsid w:val="00FB2E58"/>
    <w:rPr>
      <w:rFonts w:asciiTheme="minorHAnsi" w:eastAsiaTheme="minorHAnsi" w:hAnsiTheme="minorHAnsi" w:cstheme="minorBidi"/>
      <w:sz w:val="22"/>
      <w:szCs w:val="22"/>
      <w:lang w:eastAsia="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paragraph" w:customStyle="1" w:styleId="xl90">
    <w:name w:val="xl90"/>
    <w:basedOn w:val="Normal"/>
    <w:rsid w:val="00FB2E58"/>
    <w:pPr>
      <w:pBdr>
        <w:top w:val="single" w:sz="4" w:space="0" w:color="auto"/>
        <w:left w:val="single" w:sz="4" w:space="0" w:color="auto"/>
        <w:bottom w:val="single" w:sz="4" w:space="0" w:color="auto"/>
        <w:right w:val="single" w:sz="4" w:space="0" w:color="auto"/>
      </w:pBdr>
      <w:shd w:val="clear" w:color="000000" w:fill="0000FF"/>
      <w:spacing w:before="100" w:beforeAutospacing="1" w:after="100" w:afterAutospacing="1"/>
    </w:pPr>
    <w:rPr>
      <w:rFonts w:ascii="Trebuchet MS" w:hAnsi="Trebuchet MS"/>
      <w:color w:val="FFFFFF"/>
    </w:rPr>
  </w:style>
  <w:style w:type="paragraph" w:customStyle="1" w:styleId="xl91">
    <w:name w:val="xl91"/>
    <w:basedOn w:val="Normal"/>
    <w:rsid w:val="00FB2E58"/>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pPr>
    <w:rPr>
      <w:rFonts w:ascii="Trebuchet MS" w:hAnsi="Trebuchet MS"/>
    </w:rPr>
  </w:style>
  <w:style w:type="paragraph" w:customStyle="1" w:styleId="xl92">
    <w:name w:val="xl92"/>
    <w:basedOn w:val="Normal"/>
    <w:rsid w:val="00FB2E5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rebuchet MS" w:hAnsi="Trebuchet MS"/>
      <w:sz w:val="16"/>
      <w:szCs w:val="16"/>
    </w:rPr>
  </w:style>
  <w:style w:type="paragraph" w:customStyle="1" w:styleId="xl93">
    <w:name w:val="xl93"/>
    <w:basedOn w:val="Normal"/>
    <w:rsid w:val="00FB2E58"/>
    <w:pPr>
      <w:pBdr>
        <w:top w:val="single" w:sz="4" w:space="0" w:color="auto"/>
        <w:left w:val="single" w:sz="4" w:space="0" w:color="auto"/>
        <w:bottom w:val="single" w:sz="4" w:space="0" w:color="auto"/>
        <w:right w:val="single" w:sz="4" w:space="0" w:color="auto"/>
      </w:pBdr>
      <w:spacing w:before="100" w:beforeAutospacing="1" w:after="100" w:afterAutospacing="1"/>
    </w:pPr>
    <w:rPr>
      <w:rFonts w:ascii="Trebuchet MS" w:hAnsi="Trebuchet MS"/>
    </w:rPr>
  </w:style>
  <w:style w:type="paragraph" w:customStyle="1" w:styleId="xl96">
    <w:name w:val="xl96"/>
    <w:basedOn w:val="Normal"/>
    <w:rsid w:val="00FB2E58"/>
    <w:pPr>
      <w:spacing w:before="100" w:beforeAutospacing="1" w:after="100" w:afterAutospacing="1"/>
    </w:pPr>
    <w:rPr>
      <w:rFonts w:ascii="Trebuchet MS" w:hAnsi="Trebuchet MS"/>
    </w:rPr>
  </w:style>
  <w:style w:type="paragraph" w:customStyle="1" w:styleId="xl97">
    <w:name w:val="xl97"/>
    <w:basedOn w:val="Normal"/>
    <w:rsid w:val="00FB2E58"/>
    <w:pPr>
      <w:pBdr>
        <w:top w:val="single" w:sz="4" w:space="0" w:color="auto"/>
        <w:left w:val="single" w:sz="4" w:space="0" w:color="auto"/>
        <w:bottom w:val="single" w:sz="4" w:space="0" w:color="auto"/>
        <w:right w:val="single" w:sz="4" w:space="0" w:color="auto"/>
      </w:pBdr>
      <w:shd w:val="clear" w:color="000000" w:fill="C00000"/>
      <w:spacing w:before="100" w:beforeAutospacing="1" w:after="100" w:afterAutospacing="1"/>
    </w:pPr>
    <w:rPr>
      <w:rFonts w:ascii="Trebuchet MS" w:hAnsi="Trebuchet MS"/>
      <w:color w:val="FFFFFF"/>
    </w:rPr>
  </w:style>
  <w:style w:type="paragraph" w:customStyle="1" w:styleId="xl65">
    <w:name w:val="xl65"/>
    <w:basedOn w:val="Normal"/>
    <w:rsid w:val="00FB2E58"/>
    <w:pPr>
      <w:spacing w:before="100" w:beforeAutospacing="1" w:after="100" w:afterAutospacing="1"/>
    </w:pPr>
    <w:rPr>
      <w:rFonts w:ascii="Arial Narrow" w:hAnsi="Arial Narro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3260">
      <w:bodyDiv w:val="1"/>
      <w:marLeft w:val="0"/>
      <w:marRight w:val="0"/>
      <w:marTop w:val="0"/>
      <w:marBottom w:val="0"/>
      <w:divBdr>
        <w:top w:val="none" w:sz="0" w:space="0" w:color="auto"/>
        <w:left w:val="none" w:sz="0" w:space="0" w:color="auto"/>
        <w:bottom w:val="none" w:sz="0" w:space="0" w:color="auto"/>
        <w:right w:val="none" w:sz="0" w:space="0" w:color="auto"/>
      </w:divBdr>
    </w:div>
    <w:div w:id="37631460">
      <w:bodyDiv w:val="1"/>
      <w:marLeft w:val="0"/>
      <w:marRight w:val="0"/>
      <w:marTop w:val="0"/>
      <w:marBottom w:val="0"/>
      <w:divBdr>
        <w:top w:val="none" w:sz="0" w:space="0" w:color="auto"/>
        <w:left w:val="none" w:sz="0" w:space="0" w:color="auto"/>
        <w:bottom w:val="none" w:sz="0" w:space="0" w:color="auto"/>
        <w:right w:val="none" w:sz="0" w:space="0" w:color="auto"/>
      </w:divBdr>
    </w:div>
    <w:div w:id="66533905">
      <w:bodyDiv w:val="1"/>
      <w:marLeft w:val="0"/>
      <w:marRight w:val="0"/>
      <w:marTop w:val="0"/>
      <w:marBottom w:val="0"/>
      <w:divBdr>
        <w:top w:val="none" w:sz="0" w:space="0" w:color="auto"/>
        <w:left w:val="none" w:sz="0" w:space="0" w:color="auto"/>
        <w:bottom w:val="none" w:sz="0" w:space="0" w:color="auto"/>
        <w:right w:val="none" w:sz="0" w:space="0" w:color="auto"/>
      </w:divBdr>
    </w:div>
    <w:div w:id="146898775">
      <w:bodyDiv w:val="1"/>
      <w:marLeft w:val="0"/>
      <w:marRight w:val="0"/>
      <w:marTop w:val="0"/>
      <w:marBottom w:val="0"/>
      <w:divBdr>
        <w:top w:val="none" w:sz="0" w:space="0" w:color="auto"/>
        <w:left w:val="none" w:sz="0" w:space="0" w:color="auto"/>
        <w:bottom w:val="none" w:sz="0" w:space="0" w:color="auto"/>
        <w:right w:val="none" w:sz="0" w:space="0" w:color="auto"/>
      </w:divBdr>
    </w:div>
    <w:div w:id="147018536">
      <w:bodyDiv w:val="1"/>
      <w:marLeft w:val="0"/>
      <w:marRight w:val="0"/>
      <w:marTop w:val="0"/>
      <w:marBottom w:val="0"/>
      <w:divBdr>
        <w:top w:val="none" w:sz="0" w:space="0" w:color="auto"/>
        <w:left w:val="none" w:sz="0" w:space="0" w:color="auto"/>
        <w:bottom w:val="none" w:sz="0" w:space="0" w:color="auto"/>
        <w:right w:val="none" w:sz="0" w:space="0" w:color="auto"/>
      </w:divBdr>
    </w:div>
    <w:div w:id="165481956">
      <w:bodyDiv w:val="1"/>
      <w:marLeft w:val="0"/>
      <w:marRight w:val="0"/>
      <w:marTop w:val="0"/>
      <w:marBottom w:val="0"/>
      <w:divBdr>
        <w:top w:val="none" w:sz="0" w:space="0" w:color="auto"/>
        <w:left w:val="none" w:sz="0" w:space="0" w:color="auto"/>
        <w:bottom w:val="none" w:sz="0" w:space="0" w:color="auto"/>
        <w:right w:val="none" w:sz="0" w:space="0" w:color="auto"/>
      </w:divBdr>
    </w:div>
    <w:div w:id="183247745">
      <w:bodyDiv w:val="1"/>
      <w:marLeft w:val="0"/>
      <w:marRight w:val="0"/>
      <w:marTop w:val="0"/>
      <w:marBottom w:val="0"/>
      <w:divBdr>
        <w:top w:val="none" w:sz="0" w:space="0" w:color="auto"/>
        <w:left w:val="none" w:sz="0" w:space="0" w:color="auto"/>
        <w:bottom w:val="none" w:sz="0" w:space="0" w:color="auto"/>
        <w:right w:val="none" w:sz="0" w:space="0" w:color="auto"/>
      </w:divBdr>
    </w:div>
    <w:div w:id="200630542">
      <w:bodyDiv w:val="1"/>
      <w:marLeft w:val="0"/>
      <w:marRight w:val="0"/>
      <w:marTop w:val="0"/>
      <w:marBottom w:val="0"/>
      <w:divBdr>
        <w:top w:val="none" w:sz="0" w:space="0" w:color="auto"/>
        <w:left w:val="none" w:sz="0" w:space="0" w:color="auto"/>
        <w:bottom w:val="none" w:sz="0" w:space="0" w:color="auto"/>
        <w:right w:val="none" w:sz="0" w:space="0" w:color="auto"/>
      </w:divBdr>
    </w:div>
    <w:div w:id="217743335">
      <w:bodyDiv w:val="1"/>
      <w:marLeft w:val="0"/>
      <w:marRight w:val="0"/>
      <w:marTop w:val="0"/>
      <w:marBottom w:val="0"/>
      <w:divBdr>
        <w:top w:val="none" w:sz="0" w:space="0" w:color="auto"/>
        <w:left w:val="none" w:sz="0" w:space="0" w:color="auto"/>
        <w:bottom w:val="none" w:sz="0" w:space="0" w:color="auto"/>
        <w:right w:val="none" w:sz="0" w:space="0" w:color="auto"/>
      </w:divBdr>
    </w:div>
    <w:div w:id="221984294">
      <w:bodyDiv w:val="1"/>
      <w:marLeft w:val="0"/>
      <w:marRight w:val="0"/>
      <w:marTop w:val="0"/>
      <w:marBottom w:val="0"/>
      <w:divBdr>
        <w:top w:val="none" w:sz="0" w:space="0" w:color="auto"/>
        <w:left w:val="none" w:sz="0" w:space="0" w:color="auto"/>
        <w:bottom w:val="none" w:sz="0" w:space="0" w:color="auto"/>
        <w:right w:val="none" w:sz="0" w:space="0" w:color="auto"/>
      </w:divBdr>
    </w:div>
    <w:div w:id="224145637">
      <w:bodyDiv w:val="1"/>
      <w:marLeft w:val="0"/>
      <w:marRight w:val="0"/>
      <w:marTop w:val="0"/>
      <w:marBottom w:val="0"/>
      <w:divBdr>
        <w:top w:val="none" w:sz="0" w:space="0" w:color="auto"/>
        <w:left w:val="none" w:sz="0" w:space="0" w:color="auto"/>
        <w:bottom w:val="none" w:sz="0" w:space="0" w:color="auto"/>
        <w:right w:val="none" w:sz="0" w:space="0" w:color="auto"/>
      </w:divBdr>
    </w:div>
    <w:div w:id="224877262">
      <w:bodyDiv w:val="1"/>
      <w:marLeft w:val="0"/>
      <w:marRight w:val="0"/>
      <w:marTop w:val="0"/>
      <w:marBottom w:val="0"/>
      <w:divBdr>
        <w:top w:val="none" w:sz="0" w:space="0" w:color="auto"/>
        <w:left w:val="none" w:sz="0" w:space="0" w:color="auto"/>
        <w:bottom w:val="none" w:sz="0" w:space="0" w:color="auto"/>
        <w:right w:val="none" w:sz="0" w:space="0" w:color="auto"/>
      </w:divBdr>
    </w:div>
    <w:div w:id="228466611">
      <w:bodyDiv w:val="1"/>
      <w:marLeft w:val="0"/>
      <w:marRight w:val="0"/>
      <w:marTop w:val="0"/>
      <w:marBottom w:val="0"/>
      <w:divBdr>
        <w:top w:val="none" w:sz="0" w:space="0" w:color="auto"/>
        <w:left w:val="none" w:sz="0" w:space="0" w:color="auto"/>
        <w:bottom w:val="none" w:sz="0" w:space="0" w:color="auto"/>
        <w:right w:val="none" w:sz="0" w:space="0" w:color="auto"/>
      </w:divBdr>
    </w:div>
    <w:div w:id="230621263">
      <w:bodyDiv w:val="1"/>
      <w:marLeft w:val="0"/>
      <w:marRight w:val="0"/>
      <w:marTop w:val="0"/>
      <w:marBottom w:val="0"/>
      <w:divBdr>
        <w:top w:val="none" w:sz="0" w:space="0" w:color="auto"/>
        <w:left w:val="none" w:sz="0" w:space="0" w:color="auto"/>
        <w:bottom w:val="none" w:sz="0" w:space="0" w:color="auto"/>
        <w:right w:val="none" w:sz="0" w:space="0" w:color="auto"/>
      </w:divBdr>
    </w:div>
    <w:div w:id="240532495">
      <w:bodyDiv w:val="1"/>
      <w:marLeft w:val="0"/>
      <w:marRight w:val="0"/>
      <w:marTop w:val="0"/>
      <w:marBottom w:val="0"/>
      <w:divBdr>
        <w:top w:val="none" w:sz="0" w:space="0" w:color="auto"/>
        <w:left w:val="none" w:sz="0" w:space="0" w:color="auto"/>
        <w:bottom w:val="none" w:sz="0" w:space="0" w:color="auto"/>
        <w:right w:val="none" w:sz="0" w:space="0" w:color="auto"/>
      </w:divBdr>
    </w:div>
    <w:div w:id="244725222">
      <w:bodyDiv w:val="1"/>
      <w:marLeft w:val="0"/>
      <w:marRight w:val="0"/>
      <w:marTop w:val="0"/>
      <w:marBottom w:val="0"/>
      <w:divBdr>
        <w:top w:val="none" w:sz="0" w:space="0" w:color="auto"/>
        <w:left w:val="none" w:sz="0" w:space="0" w:color="auto"/>
        <w:bottom w:val="none" w:sz="0" w:space="0" w:color="auto"/>
        <w:right w:val="none" w:sz="0" w:space="0" w:color="auto"/>
      </w:divBdr>
    </w:div>
    <w:div w:id="246232349">
      <w:bodyDiv w:val="1"/>
      <w:marLeft w:val="0"/>
      <w:marRight w:val="0"/>
      <w:marTop w:val="0"/>
      <w:marBottom w:val="0"/>
      <w:divBdr>
        <w:top w:val="none" w:sz="0" w:space="0" w:color="auto"/>
        <w:left w:val="none" w:sz="0" w:space="0" w:color="auto"/>
        <w:bottom w:val="none" w:sz="0" w:space="0" w:color="auto"/>
        <w:right w:val="none" w:sz="0" w:space="0" w:color="auto"/>
      </w:divBdr>
    </w:div>
    <w:div w:id="261379995">
      <w:bodyDiv w:val="1"/>
      <w:marLeft w:val="0"/>
      <w:marRight w:val="0"/>
      <w:marTop w:val="0"/>
      <w:marBottom w:val="0"/>
      <w:divBdr>
        <w:top w:val="none" w:sz="0" w:space="0" w:color="auto"/>
        <w:left w:val="none" w:sz="0" w:space="0" w:color="auto"/>
        <w:bottom w:val="none" w:sz="0" w:space="0" w:color="auto"/>
        <w:right w:val="none" w:sz="0" w:space="0" w:color="auto"/>
      </w:divBdr>
    </w:div>
    <w:div w:id="271788322">
      <w:bodyDiv w:val="1"/>
      <w:marLeft w:val="0"/>
      <w:marRight w:val="0"/>
      <w:marTop w:val="0"/>
      <w:marBottom w:val="0"/>
      <w:divBdr>
        <w:top w:val="none" w:sz="0" w:space="0" w:color="auto"/>
        <w:left w:val="none" w:sz="0" w:space="0" w:color="auto"/>
        <w:bottom w:val="none" w:sz="0" w:space="0" w:color="auto"/>
        <w:right w:val="none" w:sz="0" w:space="0" w:color="auto"/>
      </w:divBdr>
    </w:div>
    <w:div w:id="277028847">
      <w:bodyDiv w:val="1"/>
      <w:marLeft w:val="0"/>
      <w:marRight w:val="0"/>
      <w:marTop w:val="0"/>
      <w:marBottom w:val="0"/>
      <w:divBdr>
        <w:top w:val="none" w:sz="0" w:space="0" w:color="auto"/>
        <w:left w:val="none" w:sz="0" w:space="0" w:color="auto"/>
        <w:bottom w:val="none" w:sz="0" w:space="0" w:color="auto"/>
        <w:right w:val="none" w:sz="0" w:space="0" w:color="auto"/>
      </w:divBdr>
    </w:div>
    <w:div w:id="292947875">
      <w:bodyDiv w:val="1"/>
      <w:marLeft w:val="0"/>
      <w:marRight w:val="0"/>
      <w:marTop w:val="0"/>
      <w:marBottom w:val="0"/>
      <w:divBdr>
        <w:top w:val="none" w:sz="0" w:space="0" w:color="auto"/>
        <w:left w:val="none" w:sz="0" w:space="0" w:color="auto"/>
        <w:bottom w:val="none" w:sz="0" w:space="0" w:color="auto"/>
        <w:right w:val="none" w:sz="0" w:space="0" w:color="auto"/>
      </w:divBdr>
    </w:div>
    <w:div w:id="313802428">
      <w:bodyDiv w:val="1"/>
      <w:marLeft w:val="0"/>
      <w:marRight w:val="0"/>
      <w:marTop w:val="0"/>
      <w:marBottom w:val="0"/>
      <w:divBdr>
        <w:top w:val="none" w:sz="0" w:space="0" w:color="auto"/>
        <w:left w:val="none" w:sz="0" w:space="0" w:color="auto"/>
        <w:bottom w:val="none" w:sz="0" w:space="0" w:color="auto"/>
        <w:right w:val="none" w:sz="0" w:space="0" w:color="auto"/>
      </w:divBdr>
    </w:div>
    <w:div w:id="319965933">
      <w:bodyDiv w:val="1"/>
      <w:marLeft w:val="0"/>
      <w:marRight w:val="0"/>
      <w:marTop w:val="0"/>
      <w:marBottom w:val="0"/>
      <w:divBdr>
        <w:top w:val="none" w:sz="0" w:space="0" w:color="auto"/>
        <w:left w:val="none" w:sz="0" w:space="0" w:color="auto"/>
        <w:bottom w:val="none" w:sz="0" w:space="0" w:color="auto"/>
        <w:right w:val="none" w:sz="0" w:space="0" w:color="auto"/>
      </w:divBdr>
    </w:div>
    <w:div w:id="328364567">
      <w:bodyDiv w:val="1"/>
      <w:marLeft w:val="0"/>
      <w:marRight w:val="0"/>
      <w:marTop w:val="0"/>
      <w:marBottom w:val="0"/>
      <w:divBdr>
        <w:top w:val="none" w:sz="0" w:space="0" w:color="auto"/>
        <w:left w:val="none" w:sz="0" w:space="0" w:color="auto"/>
        <w:bottom w:val="none" w:sz="0" w:space="0" w:color="auto"/>
        <w:right w:val="none" w:sz="0" w:space="0" w:color="auto"/>
      </w:divBdr>
    </w:div>
    <w:div w:id="340401110">
      <w:bodyDiv w:val="1"/>
      <w:marLeft w:val="0"/>
      <w:marRight w:val="0"/>
      <w:marTop w:val="0"/>
      <w:marBottom w:val="0"/>
      <w:divBdr>
        <w:top w:val="none" w:sz="0" w:space="0" w:color="auto"/>
        <w:left w:val="none" w:sz="0" w:space="0" w:color="auto"/>
        <w:bottom w:val="none" w:sz="0" w:space="0" w:color="auto"/>
        <w:right w:val="none" w:sz="0" w:space="0" w:color="auto"/>
      </w:divBdr>
    </w:div>
    <w:div w:id="355890773">
      <w:bodyDiv w:val="1"/>
      <w:marLeft w:val="0"/>
      <w:marRight w:val="0"/>
      <w:marTop w:val="0"/>
      <w:marBottom w:val="0"/>
      <w:divBdr>
        <w:top w:val="none" w:sz="0" w:space="0" w:color="auto"/>
        <w:left w:val="none" w:sz="0" w:space="0" w:color="auto"/>
        <w:bottom w:val="none" w:sz="0" w:space="0" w:color="auto"/>
        <w:right w:val="none" w:sz="0" w:space="0" w:color="auto"/>
      </w:divBdr>
    </w:div>
    <w:div w:id="360211102">
      <w:bodyDiv w:val="1"/>
      <w:marLeft w:val="0"/>
      <w:marRight w:val="0"/>
      <w:marTop w:val="0"/>
      <w:marBottom w:val="0"/>
      <w:divBdr>
        <w:top w:val="none" w:sz="0" w:space="0" w:color="auto"/>
        <w:left w:val="none" w:sz="0" w:space="0" w:color="auto"/>
        <w:bottom w:val="none" w:sz="0" w:space="0" w:color="auto"/>
        <w:right w:val="none" w:sz="0" w:space="0" w:color="auto"/>
      </w:divBdr>
    </w:div>
    <w:div w:id="368528210">
      <w:bodyDiv w:val="1"/>
      <w:marLeft w:val="0"/>
      <w:marRight w:val="0"/>
      <w:marTop w:val="0"/>
      <w:marBottom w:val="0"/>
      <w:divBdr>
        <w:top w:val="none" w:sz="0" w:space="0" w:color="auto"/>
        <w:left w:val="none" w:sz="0" w:space="0" w:color="auto"/>
        <w:bottom w:val="none" w:sz="0" w:space="0" w:color="auto"/>
        <w:right w:val="none" w:sz="0" w:space="0" w:color="auto"/>
      </w:divBdr>
    </w:div>
    <w:div w:id="385644388">
      <w:bodyDiv w:val="1"/>
      <w:marLeft w:val="0"/>
      <w:marRight w:val="0"/>
      <w:marTop w:val="0"/>
      <w:marBottom w:val="0"/>
      <w:divBdr>
        <w:top w:val="none" w:sz="0" w:space="0" w:color="auto"/>
        <w:left w:val="none" w:sz="0" w:space="0" w:color="auto"/>
        <w:bottom w:val="none" w:sz="0" w:space="0" w:color="auto"/>
        <w:right w:val="none" w:sz="0" w:space="0" w:color="auto"/>
      </w:divBdr>
    </w:div>
    <w:div w:id="394084802">
      <w:bodyDiv w:val="1"/>
      <w:marLeft w:val="0"/>
      <w:marRight w:val="0"/>
      <w:marTop w:val="0"/>
      <w:marBottom w:val="0"/>
      <w:divBdr>
        <w:top w:val="none" w:sz="0" w:space="0" w:color="auto"/>
        <w:left w:val="none" w:sz="0" w:space="0" w:color="auto"/>
        <w:bottom w:val="none" w:sz="0" w:space="0" w:color="auto"/>
        <w:right w:val="none" w:sz="0" w:space="0" w:color="auto"/>
      </w:divBdr>
    </w:div>
    <w:div w:id="395201719">
      <w:bodyDiv w:val="1"/>
      <w:marLeft w:val="0"/>
      <w:marRight w:val="0"/>
      <w:marTop w:val="0"/>
      <w:marBottom w:val="0"/>
      <w:divBdr>
        <w:top w:val="none" w:sz="0" w:space="0" w:color="auto"/>
        <w:left w:val="none" w:sz="0" w:space="0" w:color="auto"/>
        <w:bottom w:val="none" w:sz="0" w:space="0" w:color="auto"/>
        <w:right w:val="none" w:sz="0" w:space="0" w:color="auto"/>
      </w:divBdr>
    </w:div>
    <w:div w:id="404185302">
      <w:bodyDiv w:val="1"/>
      <w:marLeft w:val="0"/>
      <w:marRight w:val="0"/>
      <w:marTop w:val="0"/>
      <w:marBottom w:val="0"/>
      <w:divBdr>
        <w:top w:val="none" w:sz="0" w:space="0" w:color="auto"/>
        <w:left w:val="none" w:sz="0" w:space="0" w:color="auto"/>
        <w:bottom w:val="none" w:sz="0" w:space="0" w:color="auto"/>
        <w:right w:val="none" w:sz="0" w:space="0" w:color="auto"/>
      </w:divBdr>
    </w:div>
    <w:div w:id="406341128">
      <w:bodyDiv w:val="1"/>
      <w:marLeft w:val="0"/>
      <w:marRight w:val="0"/>
      <w:marTop w:val="0"/>
      <w:marBottom w:val="0"/>
      <w:divBdr>
        <w:top w:val="none" w:sz="0" w:space="0" w:color="auto"/>
        <w:left w:val="none" w:sz="0" w:space="0" w:color="auto"/>
        <w:bottom w:val="none" w:sz="0" w:space="0" w:color="auto"/>
        <w:right w:val="none" w:sz="0" w:space="0" w:color="auto"/>
      </w:divBdr>
    </w:div>
    <w:div w:id="425733191">
      <w:bodyDiv w:val="1"/>
      <w:marLeft w:val="0"/>
      <w:marRight w:val="0"/>
      <w:marTop w:val="0"/>
      <w:marBottom w:val="0"/>
      <w:divBdr>
        <w:top w:val="none" w:sz="0" w:space="0" w:color="auto"/>
        <w:left w:val="none" w:sz="0" w:space="0" w:color="auto"/>
        <w:bottom w:val="none" w:sz="0" w:space="0" w:color="auto"/>
        <w:right w:val="none" w:sz="0" w:space="0" w:color="auto"/>
      </w:divBdr>
    </w:div>
    <w:div w:id="431583532">
      <w:bodyDiv w:val="1"/>
      <w:marLeft w:val="0"/>
      <w:marRight w:val="0"/>
      <w:marTop w:val="0"/>
      <w:marBottom w:val="0"/>
      <w:divBdr>
        <w:top w:val="none" w:sz="0" w:space="0" w:color="auto"/>
        <w:left w:val="none" w:sz="0" w:space="0" w:color="auto"/>
        <w:bottom w:val="none" w:sz="0" w:space="0" w:color="auto"/>
        <w:right w:val="none" w:sz="0" w:space="0" w:color="auto"/>
      </w:divBdr>
    </w:div>
    <w:div w:id="433790843">
      <w:bodyDiv w:val="1"/>
      <w:marLeft w:val="0"/>
      <w:marRight w:val="0"/>
      <w:marTop w:val="0"/>
      <w:marBottom w:val="0"/>
      <w:divBdr>
        <w:top w:val="none" w:sz="0" w:space="0" w:color="auto"/>
        <w:left w:val="none" w:sz="0" w:space="0" w:color="auto"/>
        <w:bottom w:val="none" w:sz="0" w:space="0" w:color="auto"/>
        <w:right w:val="none" w:sz="0" w:space="0" w:color="auto"/>
      </w:divBdr>
    </w:div>
    <w:div w:id="444234408">
      <w:bodyDiv w:val="1"/>
      <w:marLeft w:val="0"/>
      <w:marRight w:val="0"/>
      <w:marTop w:val="0"/>
      <w:marBottom w:val="0"/>
      <w:divBdr>
        <w:top w:val="none" w:sz="0" w:space="0" w:color="auto"/>
        <w:left w:val="none" w:sz="0" w:space="0" w:color="auto"/>
        <w:bottom w:val="none" w:sz="0" w:space="0" w:color="auto"/>
        <w:right w:val="none" w:sz="0" w:space="0" w:color="auto"/>
      </w:divBdr>
    </w:div>
    <w:div w:id="447701086">
      <w:bodyDiv w:val="1"/>
      <w:marLeft w:val="0"/>
      <w:marRight w:val="0"/>
      <w:marTop w:val="0"/>
      <w:marBottom w:val="0"/>
      <w:divBdr>
        <w:top w:val="none" w:sz="0" w:space="0" w:color="auto"/>
        <w:left w:val="none" w:sz="0" w:space="0" w:color="auto"/>
        <w:bottom w:val="none" w:sz="0" w:space="0" w:color="auto"/>
        <w:right w:val="none" w:sz="0" w:space="0" w:color="auto"/>
      </w:divBdr>
    </w:div>
    <w:div w:id="452215689">
      <w:bodyDiv w:val="1"/>
      <w:marLeft w:val="0"/>
      <w:marRight w:val="0"/>
      <w:marTop w:val="0"/>
      <w:marBottom w:val="0"/>
      <w:divBdr>
        <w:top w:val="none" w:sz="0" w:space="0" w:color="auto"/>
        <w:left w:val="none" w:sz="0" w:space="0" w:color="auto"/>
        <w:bottom w:val="none" w:sz="0" w:space="0" w:color="auto"/>
        <w:right w:val="none" w:sz="0" w:space="0" w:color="auto"/>
      </w:divBdr>
    </w:div>
    <w:div w:id="460347029">
      <w:bodyDiv w:val="1"/>
      <w:marLeft w:val="0"/>
      <w:marRight w:val="0"/>
      <w:marTop w:val="0"/>
      <w:marBottom w:val="0"/>
      <w:divBdr>
        <w:top w:val="none" w:sz="0" w:space="0" w:color="auto"/>
        <w:left w:val="none" w:sz="0" w:space="0" w:color="auto"/>
        <w:bottom w:val="none" w:sz="0" w:space="0" w:color="auto"/>
        <w:right w:val="none" w:sz="0" w:space="0" w:color="auto"/>
      </w:divBdr>
      <w:divsChild>
        <w:div w:id="740566423">
          <w:marLeft w:val="0"/>
          <w:marRight w:val="0"/>
          <w:marTop w:val="0"/>
          <w:marBottom w:val="0"/>
          <w:divBdr>
            <w:top w:val="none" w:sz="0" w:space="0" w:color="auto"/>
            <w:left w:val="none" w:sz="0" w:space="0" w:color="auto"/>
            <w:bottom w:val="none" w:sz="0" w:space="0" w:color="auto"/>
            <w:right w:val="none" w:sz="0" w:space="0" w:color="auto"/>
          </w:divBdr>
          <w:divsChild>
            <w:div w:id="789126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6821676">
      <w:bodyDiv w:val="1"/>
      <w:marLeft w:val="0"/>
      <w:marRight w:val="0"/>
      <w:marTop w:val="0"/>
      <w:marBottom w:val="0"/>
      <w:divBdr>
        <w:top w:val="none" w:sz="0" w:space="0" w:color="auto"/>
        <w:left w:val="none" w:sz="0" w:space="0" w:color="auto"/>
        <w:bottom w:val="none" w:sz="0" w:space="0" w:color="auto"/>
        <w:right w:val="none" w:sz="0" w:space="0" w:color="auto"/>
      </w:divBdr>
    </w:div>
    <w:div w:id="487943602">
      <w:bodyDiv w:val="1"/>
      <w:marLeft w:val="0"/>
      <w:marRight w:val="0"/>
      <w:marTop w:val="0"/>
      <w:marBottom w:val="0"/>
      <w:divBdr>
        <w:top w:val="none" w:sz="0" w:space="0" w:color="auto"/>
        <w:left w:val="none" w:sz="0" w:space="0" w:color="auto"/>
        <w:bottom w:val="none" w:sz="0" w:space="0" w:color="auto"/>
        <w:right w:val="none" w:sz="0" w:space="0" w:color="auto"/>
      </w:divBdr>
    </w:div>
    <w:div w:id="490024741">
      <w:bodyDiv w:val="1"/>
      <w:marLeft w:val="0"/>
      <w:marRight w:val="0"/>
      <w:marTop w:val="0"/>
      <w:marBottom w:val="0"/>
      <w:divBdr>
        <w:top w:val="none" w:sz="0" w:space="0" w:color="auto"/>
        <w:left w:val="none" w:sz="0" w:space="0" w:color="auto"/>
        <w:bottom w:val="none" w:sz="0" w:space="0" w:color="auto"/>
        <w:right w:val="none" w:sz="0" w:space="0" w:color="auto"/>
      </w:divBdr>
    </w:div>
    <w:div w:id="509489419">
      <w:bodyDiv w:val="1"/>
      <w:marLeft w:val="0"/>
      <w:marRight w:val="0"/>
      <w:marTop w:val="0"/>
      <w:marBottom w:val="0"/>
      <w:divBdr>
        <w:top w:val="none" w:sz="0" w:space="0" w:color="auto"/>
        <w:left w:val="none" w:sz="0" w:space="0" w:color="auto"/>
        <w:bottom w:val="none" w:sz="0" w:space="0" w:color="auto"/>
        <w:right w:val="none" w:sz="0" w:space="0" w:color="auto"/>
      </w:divBdr>
    </w:div>
    <w:div w:id="517544211">
      <w:bodyDiv w:val="1"/>
      <w:marLeft w:val="0"/>
      <w:marRight w:val="0"/>
      <w:marTop w:val="0"/>
      <w:marBottom w:val="0"/>
      <w:divBdr>
        <w:top w:val="none" w:sz="0" w:space="0" w:color="auto"/>
        <w:left w:val="none" w:sz="0" w:space="0" w:color="auto"/>
        <w:bottom w:val="none" w:sz="0" w:space="0" w:color="auto"/>
        <w:right w:val="none" w:sz="0" w:space="0" w:color="auto"/>
      </w:divBdr>
    </w:div>
    <w:div w:id="568928818">
      <w:bodyDiv w:val="1"/>
      <w:marLeft w:val="0"/>
      <w:marRight w:val="0"/>
      <w:marTop w:val="0"/>
      <w:marBottom w:val="0"/>
      <w:divBdr>
        <w:top w:val="none" w:sz="0" w:space="0" w:color="auto"/>
        <w:left w:val="none" w:sz="0" w:space="0" w:color="auto"/>
        <w:bottom w:val="none" w:sz="0" w:space="0" w:color="auto"/>
        <w:right w:val="none" w:sz="0" w:space="0" w:color="auto"/>
      </w:divBdr>
    </w:div>
    <w:div w:id="580021107">
      <w:bodyDiv w:val="1"/>
      <w:marLeft w:val="0"/>
      <w:marRight w:val="0"/>
      <w:marTop w:val="0"/>
      <w:marBottom w:val="0"/>
      <w:divBdr>
        <w:top w:val="none" w:sz="0" w:space="0" w:color="auto"/>
        <w:left w:val="none" w:sz="0" w:space="0" w:color="auto"/>
        <w:bottom w:val="none" w:sz="0" w:space="0" w:color="auto"/>
        <w:right w:val="none" w:sz="0" w:space="0" w:color="auto"/>
      </w:divBdr>
    </w:div>
    <w:div w:id="603610658">
      <w:bodyDiv w:val="1"/>
      <w:marLeft w:val="0"/>
      <w:marRight w:val="0"/>
      <w:marTop w:val="0"/>
      <w:marBottom w:val="0"/>
      <w:divBdr>
        <w:top w:val="none" w:sz="0" w:space="0" w:color="auto"/>
        <w:left w:val="none" w:sz="0" w:space="0" w:color="auto"/>
        <w:bottom w:val="none" w:sz="0" w:space="0" w:color="auto"/>
        <w:right w:val="none" w:sz="0" w:space="0" w:color="auto"/>
      </w:divBdr>
    </w:div>
    <w:div w:id="620653515">
      <w:bodyDiv w:val="1"/>
      <w:marLeft w:val="0"/>
      <w:marRight w:val="0"/>
      <w:marTop w:val="0"/>
      <w:marBottom w:val="0"/>
      <w:divBdr>
        <w:top w:val="none" w:sz="0" w:space="0" w:color="auto"/>
        <w:left w:val="none" w:sz="0" w:space="0" w:color="auto"/>
        <w:bottom w:val="none" w:sz="0" w:space="0" w:color="auto"/>
        <w:right w:val="none" w:sz="0" w:space="0" w:color="auto"/>
      </w:divBdr>
    </w:div>
    <w:div w:id="623846861">
      <w:bodyDiv w:val="1"/>
      <w:marLeft w:val="0"/>
      <w:marRight w:val="0"/>
      <w:marTop w:val="0"/>
      <w:marBottom w:val="0"/>
      <w:divBdr>
        <w:top w:val="none" w:sz="0" w:space="0" w:color="auto"/>
        <w:left w:val="none" w:sz="0" w:space="0" w:color="auto"/>
        <w:bottom w:val="none" w:sz="0" w:space="0" w:color="auto"/>
        <w:right w:val="none" w:sz="0" w:space="0" w:color="auto"/>
      </w:divBdr>
    </w:div>
    <w:div w:id="651058469">
      <w:bodyDiv w:val="1"/>
      <w:marLeft w:val="0"/>
      <w:marRight w:val="0"/>
      <w:marTop w:val="0"/>
      <w:marBottom w:val="0"/>
      <w:divBdr>
        <w:top w:val="none" w:sz="0" w:space="0" w:color="auto"/>
        <w:left w:val="none" w:sz="0" w:space="0" w:color="auto"/>
        <w:bottom w:val="none" w:sz="0" w:space="0" w:color="auto"/>
        <w:right w:val="none" w:sz="0" w:space="0" w:color="auto"/>
      </w:divBdr>
    </w:div>
    <w:div w:id="713046539">
      <w:bodyDiv w:val="1"/>
      <w:marLeft w:val="0"/>
      <w:marRight w:val="0"/>
      <w:marTop w:val="0"/>
      <w:marBottom w:val="0"/>
      <w:divBdr>
        <w:top w:val="none" w:sz="0" w:space="0" w:color="auto"/>
        <w:left w:val="none" w:sz="0" w:space="0" w:color="auto"/>
        <w:bottom w:val="none" w:sz="0" w:space="0" w:color="auto"/>
        <w:right w:val="none" w:sz="0" w:space="0" w:color="auto"/>
      </w:divBdr>
    </w:div>
    <w:div w:id="725177859">
      <w:bodyDiv w:val="1"/>
      <w:marLeft w:val="0"/>
      <w:marRight w:val="0"/>
      <w:marTop w:val="0"/>
      <w:marBottom w:val="0"/>
      <w:divBdr>
        <w:top w:val="none" w:sz="0" w:space="0" w:color="auto"/>
        <w:left w:val="none" w:sz="0" w:space="0" w:color="auto"/>
        <w:bottom w:val="none" w:sz="0" w:space="0" w:color="auto"/>
        <w:right w:val="none" w:sz="0" w:space="0" w:color="auto"/>
      </w:divBdr>
    </w:div>
    <w:div w:id="736173085">
      <w:bodyDiv w:val="1"/>
      <w:marLeft w:val="0"/>
      <w:marRight w:val="0"/>
      <w:marTop w:val="0"/>
      <w:marBottom w:val="0"/>
      <w:divBdr>
        <w:top w:val="none" w:sz="0" w:space="0" w:color="auto"/>
        <w:left w:val="none" w:sz="0" w:space="0" w:color="auto"/>
        <w:bottom w:val="none" w:sz="0" w:space="0" w:color="auto"/>
        <w:right w:val="none" w:sz="0" w:space="0" w:color="auto"/>
      </w:divBdr>
    </w:div>
    <w:div w:id="760297132">
      <w:bodyDiv w:val="1"/>
      <w:marLeft w:val="0"/>
      <w:marRight w:val="0"/>
      <w:marTop w:val="0"/>
      <w:marBottom w:val="0"/>
      <w:divBdr>
        <w:top w:val="none" w:sz="0" w:space="0" w:color="auto"/>
        <w:left w:val="none" w:sz="0" w:space="0" w:color="auto"/>
        <w:bottom w:val="none" w:sz="0" w:space="0" w:color="auto"/>
        <w:right w:val="none" w:sz="0" w:space="0" w:color="auto"/>
      </w:divBdr>
    </w:div>
    <w:div w:id="777988152">
      <w:bodyDiv w:val="1"/>
      <w:marLeft w:val="0"/>
      <w:marRight w:val="0"/>
      <w:marTop w:val="0"/>
      <w:marBottom w:val="0"/>
      <w:divBdr>
        <w:top w:val="none" w:sz="0" w:space="0" w:color="auto"/>
        <w:left w:val="none" w:sz="0" w:space="0" w:color="auto"/>
        <w:bottom w:val="none" w:sz="0" w:space="0" w:color="auto"/>
        <w:right w:val="none" w:sz="0" w:space="0" w:color="auto"/>
      </w:divBdr>
    </w:div>
    <w:div w:id="792746076">
      <w:bodyDiv w:val="1"/>
      <w:marLeft w:val="0"/>
      <w:marRight w:val="0"/>
      <w:marTop w:val="0"/>
      <w:marBottom w:val="0"/>
      <w:divBdr>
        <w:top w:val="none" w:sz="0" w:space="0" w:color="auto"/>
        <w:left w:val="none" w:sz="0" w:space="0" w:color="auto"/>
        <w:bottom w:val="none" w:sz="0" w:space="0" w:color="auto"/>
        <w:right w:val="none" w:sz="0" w:space="0" w:color="auto"/>
      </w:divBdr>
    </w:div>
    <w:div w:id="796265609">
      <w:bodyDiv w:val="1"/>
      <w:marLeft w:val="0"/>
      <w:marRight w:val="0"/>
      <w:marTop w:val="0"/>
      <w:marBottom w:val="0"/>
      <w:divBdr>
        <w:top w:val="none" w:sz="0" w:space="0" w:color="auto"/>
        <w:left w:val="none" w:sz="0" w:space="0" w:color="auto"/>
        <w:bottom w:val="none" w:sz="0" w:space="0" w:color="auto"/>
        <w:right w:val="none" w:sz="0" w:space="0" w:color="auto"/>
      </w:divBdr>
    </w:div>
    <w:div w:id="815417899">
      <w:bodyDiv w:val="1"/>
      <w:marLeft w:val="0"/>
      <w:marRight w:val="0"/>
      <w:marTop w:val="0"/>
      <w:marBottom w:val="0"/>
      <w:divBdr>
        <w:top w:val="none" w:sz="0" w:space="0" w:color="auto"/>
        <w:left w:val="none" w:sz="0" w:space="0" w:color="auto"/>
        <w:bottom w:val="none" w:sz="0" w:space="0" w:color="auto"/>
        <w:right w:val="none" w:sz="0" w:space="0" w:color="auto"/>
      </w:divBdr>
    </w:div>
    <w:div w:id="845293965">
      <w:bodyDiv w:val="1"/>
      <w:marLeft w:val="0"/>
      <w:marRight w:val="0"/>
      <w:marTop w:val="0"/>
      <w:marBottom w:val="0"/>
      <w:divBdr>
        <w:top w:val="none" w:sz="0" w:space="0" w:color="auto"/>
        <w:left w:val="none" w:sz="0" w:space="0" w:color="auto"/>
        <w:bottom w:val="none" w:sz="0" w:space="0" w:color="auto"/>
        <w:right w:val="none" w:sz="0" w:space="0" w:color="auto"/>
      </w:divBdr>
    </w:div>
    <w:div w:id="907107714">
      <w:bodyDiv w:val="1"/>
      <w:marLeft w:val="0"/>
      <w:marRight w:val="0"/>
      <w:marTop w:val="0"/>
      <w:marBottom w:val="0"/>
      <w:divBdr>
        <w:top w:val="none" w:sz="0" w:space="0" w:color="auto"/>
        <w:left w:val="none" w:sz="0" w:space="0" w:color="auto"/>
        <w:bottom w:val="none" w:sz="0" w:space="0" w:color="auto"/>
        <w:right w:val="none" w:sz="0" w:space="0" w:color="auto"/>
      </w:divBdr>
    </w:div>
    <w:div w:id="911164118">
      <w:bodyDiv w:val="1"/>
      <w:marLeft w:val="0"/>
      <w:marRight w:val="0"/>
      <w:marTop w:val="0"/>
      <w:marBottom w:val="0"/>
      <w:divBdr>
        <w:top w:val="none" w:sz="0" w:space="0" w:color="auto"/>
        <w:left w:val="none" w:sz="0" w:space="0" w:color="auto"/>
        <w:bottom w:val="none" w:sz="0" w:space="0" w:color="auto"/>
        <w:right w:val="none" w:sz="0" w:space="0" w:color="auto"/>
      </w:divBdr>
    </w:div>
    <w:div w:id="914969051">
      <w:bodyDiv w:val="1"/>
      <w:marLeft w:val="0"/>
      <w:marRight w:val="0"/>
      <w:marTop w:val="0"/>
      <w:marBottom w:val="0"/>
      <w:divBdr>
        <w:top w:val="none" w:sz="0" w:space="0" w:color="auto"/>
        <w:left w:val="none" w:sz="0" w:space="0" w:color="auto"/>
        <w:bottom w:val="none" w:sz="0" w:space="0" w:color="auto"/>
        <w:right w:val="none" w:sz="0" w:space="0" w:color="auto"/>
      </w:divBdr>
    </w:div>
    <w:div w:id="921523119">
      <w:bodyDiv w:val="1"/>
      <w:marLeft w:val="0"/>
      <w:marRight w:val="0"/>
      <w:marTop w:val="0"/>
      <w:marBottom w:val="0"/>
      <w:divBdr>
        <w:top w:val="none" w:sz="0" w:space="0" w:color="auto"/>
        <w:left w:val="none" w:sz="0" w:space="0" w:color="auto"/>
        <w:bottom w:val="none" w:sz="0" w:space="0" w:color="auto"/>
        <w:right w:val="none" w:sz="0" w:space="0" w:color="auto"/>
      </w:divBdr>
    </w:div>
    <w:div w:id="925765481">
      <w:bodyDiv w:val="1"/>
      <w:marLeft w:val="0"/>
      <w:marRight w:val="0"/>
      <w:marTop w:val="0"/>
      <w:marBottom w:val="0"/>
      <w:divBdr>
        <w:top w:val="none" w:sz="0" w:space="0" w:color="auto"/>
        <w:left w:val="none" w:sz="0" w:space="0" w:color="auto"/>
        <w:bottom w:val="none" w:sz="0" w:space="0" w:color="auto"/>
        <w:right w:val="none" w:sz="0" w:space="0" w:color="auto"/>
      </w:divBdr>
    </w:div>
    <w:div w:id="940257748">
      <w:bodyDiv w:val="1"/>
      <w:marLeft w:val="0"/>
      <w:marRight w:val="0"/>
      <w:marTop w:val="0"/>
      <w:marBottom w:val="0"/>
      <w:divBdr>
        <w:top w:val="none" w:sz="0" w:space="0" w:color="auto"/>
        <w:left w:val="none" w:sz="0" w:space="0" w:color="auto"/>
        <w:bottom w:val="none" w:sz="0" w:space="0" w:color="auto"/>
        <w:right w:val="none" w:sz="0" w:space="0" w:color="auto"/>
      </w:divBdr>
    </w:div>
    <w:div w:id="993217793">
      <w:bodyDiv w:val="1"/>
      <w:marLeft w:val="0"/>
      <w:marRight w:val="0"/>
      <w:marTop w:val="0"/>
      <w:marBottom w:val="0"/>
      <w:divBdr>
        <w:top w:val="none" w:sz="0" w:space="0" w:color="auto"/>
        <w:left w:val="none" w:sz="0" w:space="0" w:color="auto"/>
        <w:bottom w:val="none" w:sz="0" w:space="0" w:color="auto"/>
        <w:right w:val="none" w:sz="0" w:space="0" w:color="auto"/>
      </w:divBdr>
    </w:div>
    <w:div w:id="1003895752">
      <w:bodyDiv w:val="1"/>
      <w:marLeft w:val="0"/>
      <w:marRight w:val="0"/>
      <w:marTop w:val="0"/>
      <w:marBottom w:val="0"/>
      <w:divBdr>
        <w:top w:val="none" w:sz="0" w:space="0" w:color="auto"/>
        <w:left w:val="none" w:sz="0" w:space="0" w:color="auto"/>
        <w:bottom w:val="none" w:sz="0" w:space="0" w:color="auto"/>
        <w:right w:val="none" w:sz="0" w:space="0" w:color="auto"/>
      </w:divBdr>
    </w:div>
    <w:div w:id="1018656790">
      <w:bodyDiv w:val="1"/>
      <w:marLeft w:val="0"/>
      <w:marRight w:val="0"/>
      <w:marTop w:val="0"/>
      <w:marBottom w:val="0"/>
      <w:divBdr>
        <w:top w:val="none" w:sz="0" w:space="0" w:color="auto"/>
        <w:left w:val="none" w:sz="0" w:space="0" w:color="auto"/>
        <w:bottom w:val="none" w:sz="0" w:space="0" w:color="auto"/>
        <w:right w:val="none" w:sz="0" w:space="0" w:color="auto"/>
      </w:divBdr>
    </w:div>
    <w:div w:id="1054046018">
      <w:bodyDiv w:val="1"/>
      <w:marLeft w:val="0"/>
      <w:marRight w:val="0"/>
      <w:marTop w:val="0"/>
      <w:marBottom w:val="0"/>
      <w:divBdr>
        <w:top w:val="none" w:sz="0" w:space="0" w:color="auto"/>
        <w:left w:val="none" w:sz="0" w:space="0" w:color="auto"/>
        <w:bottom w:val="none" w:sz="0" w:space="0" w:color="auto"/>
        <w:right w:val="none" w:sz="0" w:space="0" w:color="auto"/>
      </w:divBdr>
    </w:div>
    <w:div w:id="1067654210">
      <w:bodyDiv w:val="1"/>
      <w:marLeft w:val="0"/>
      <w:marRight w:val="0"/>
      <w:marTop w:val="0"/>
      <w:marBottom w:val="0"/>
      <w:divBdr>
        <w:top w:val="none" w:sz="0" w:space="0" w:color="auto"/>
        <w:left w:val="none" w:sz="0" w:space="0" w:color="auto"/>
        <w:bottom w:val="none" w:sz="0" w:space="0" w:color="auto"/>
        <w:right w:val="none" w:sz="0" w:space="0" w:color="auto"/>
      </w:divBdr>
    </w:div>
    <w:div w:id="1076783233">
      <w:bodyDiv w:val="1"/>
      <w:marLeft w:val="0"/>
      <w:marRight w:val="0"/>
      <w:marTop w:val="0"/>
      <w:marBottom w:val="0"/>
      <w:divBdr>
        <w:top w:val="none" w:sz="0" w:space="0" w:color="auto"/>
        <w:left w:val="none" w:sz="0" w:space="0" w:color="auto"/>
        <w:bottom w:val="none" w:sz="0" w:space="0" w:color="auto"/>
        <w:right w:val="none" w:sz="0" w:space="0" w:color="auto"/>
      </w:divBdr>
    </w:div>
    <w:div w:id="1088498996">
      <w:bodyDiv w:val="1"/>
      <w:marLeft w:val="0"/>
      <w:marRight w:val="0"/>
      <w:marTop w:val="0"/>
      <w:marBottom w:val="0"/>
      <w:divBdr>
        <w:top w:val="none" w:sz="0" w:space="0" w:color="auto"/>
        <w:left w:val="none" w:sz="0" w:space="0" w:color="auto"/>
        <w:bottom w:val="none" w:sz="0" w:space="0" w:color="auto"/>
        <w:right w:val="none" w:sz="0" w:space="0" w:color="auto"/>
      </w:divBdr>
    </w:div>
    <w:div w:id="1105808622">
      <w:bodyDiv w:val="1"/>
      <w:marLeft w:val="0"/>
      <w:marRight w:val="0"/>
      <w:marTop w:val="0"/>
      <w:marBottom w:val="0"/>
      <w:divBdr>
        <w:top w:val="none" w:sz="0" w:space="0" w:color="auto"/>
        <w:left w:val="none" w:sz="0" w:space="0" w:color="auto"/>
        <w:bottom w:val="none" w:sz="0" w:space="0" w:color="auto"/>
        <w:right w:val="none" w:sz="0" w:space="0" w:color="auto"/>
      </w:divBdr>
    </w:div>
    <w:div w:id="1116483920">
      <w:bodyDiv w:val="1"/>
      <w:marLeft w:val="0"/>
      <w:marRight w:val="0"/>
      <w:marTop w:val="0"/>
      <w:marBottom w:val="0"/>
      <w:divBdr>
        <w:top w:val="none" w:sz="0" w:space="0" w:color="auto"/>
        <w:left w:val="none" w:sz="0" w:space="0" w:color="auto"/>
        <w:bottom w:val="none" w:sz="0" w:space="0" w:color="auto"/>
        <w:right w:val="none" w:sz="0" w:space="0" w:color="auto"/>
      </w:divBdr>
    </w:div>
    <w:div w:id="1133592857">
      <w:bodyDiv w:val="1"/>
      <w:marLeft w:val="0"/>
      <w:marRight w:val="0"/>
      <w:marTop w:val="0"/>
      <w:marBottom w:val="0"/>
      <w:divBdr>
        <w:top w:val="none" w:sz="0" w:space="0" w:color="auto"/>
        <w:left w:val="none" w:sz="0" w:space="0" w:color="auto"/>
        <w:bottom w:val="none" w:sz="0" w:space="0" w:color="auto"/>
        <w:right w:val="none" w:sz="0" w:space="0" w:color="auto"/>
      </w:divBdr>
    </w:div>
    <w:div w:id="1149322221">
      <w:bodyDiv w:val="1"/>
      <w:marLeft w:val="0"/>
      <w:marRight w:val="0"/>
      <w:marTop w:val="0"/>
      <w:marBottom w:val="0"/>
      <w:divBdr>
        <w:top w:val="none" w:sz="0" w:space="0" w:color="auto"/>
        <w:left w:val="none" w:sz="0" w:space="0" w:color="auto"/>
        <w:bottom w:val="none" w:sz="0" w:space="0" w:color="auto"/>
        <w:right w:val="none" w:sz="0" w:space="0" w:color="auto"/>
      </w:divBdr>
    </w:div>
    <w:div w:id="1157771761">
      <w:bodyDiv w:val="1"/>
      <w:marLeft w:val="0"/>
      <w:marRight w:val="0"/>
      <w:marTop w:val="0"/>
      <w:marBottom w:val="0"/>
      <w:divBdr>
        <w:top w:val="none" w:sz="0" w:space="0" w:color="auto"/>
        <w:left w:val="none" w:sz="0" w:space="0" w:color="auto"/>
        <w:bottom w:val="none" w:sz="0" w:space="0" w:color="auto"/>
        <w:right w:val="none" w:sz="0" w:space="0" w:color="auto"/>
      </w:divBdr>
    </w:div>
    <w:div w:id="1160383938">
      <w:bodyDiv w:val="1"/>
      <w:marLeft w:val="0"/>
      <w:marRight w:val="0"/>
      <w:marTop w:val="0"/>
      <w:marBottom w:val="0"/>
      <w:divBdr>
        <w:top w:val="none" w:sz="0" w:space="0" w:color="auto"/>
        <w:left w:val="none" w:sz="0" w:space="0" w:color="auto"/>
        <w:bottom w:val="none" w:sz="0" w:space="0" w:color="auto"/>
        <w:right w:val="none" w:sz="0" w:space="0" w:color="auto"/>
      </w:divBdr>
    </w:div>
    <w:div w:id="1165171653">
      <w:bodyDiv w:val="1"/>
      <w:marLeft w:val="0"/>
      <w:marRight w:val="0"/>
      <w:marTop w:val="0"/>
      <w:marBottom w:val="0"/>
      <w:divBdr>
        <w:top w:val="none" w:sz="0" w:space="0" w:color="auto"/>
        <w:left w:val="none" w:sz="0" w:space="0" w:color="auto"/>
        <w:bottom w:val="none" w:sz="0" w:space="0" w:color="auto"/>
        <w:right w:val="none" w:sz="0" w:space="0" w:color="auto"/>
      </w:divBdr>
    </w:div>
    <w:div w:id="1185291971">
      <w:bodyDiv w:val="1"/>
      <w:marLeft w:val="0"/>
      <w:marRight w:val="0"/>
      <w:marTop w:val="0"/>
      <w:marBottom w:val="0"/>
      <w:divBdr>
        <w:top w:val="none" w:sz="0" w:space="0" w:color="auto"/>
        <w:left w:val="none" w:sz="0" w:space="0" w:color="auto"/>
        <w:bottom w:val="none" w:sz="0" w:space="0" w:color="auto"/>
        <w:right w:val="none" w:sz="0" w:space="0" w:color="auto"/>
      </w:divBdr>
    </w:div>
    <w:div w:id="1193808387">
      <w:bodyDiv w:val="1"/>
      <w:marLeft w:val="0"/>
      <w:marRight w:val="0"/>
      <w:marTop w:val="0"/>
      <w:marBottom w:val="0"/>
      <w:divBdr>
        <w:top w:val="none" w:sz="0" w:space="0" w:color="auto"/>
        <w:left w:val="none" w:sz="0" w:space="0" w:color="auto"/>
        <w:bottom w:val="none" w:sz="0" w:space="0" w:color="auto"/>
        <w:right w:val="none" w:sz="0" w:space="0" w:color="auto"/>
      </w:divBdr>
    </w:div>
    <w:div w:id="1199120882">
      <w:bodyDiv w:val="1"/>
      <w:marLeft w:val="0"/>
      <w:marRight w:val="0"/>
      <w:marTop w:val="0"/>
      <w:marBottom w:val="0"/>
      <w:divBdr>
        <w:top w:val="none" w:sz="0" w:space="0" w:color="auto"/>
        <w:left w:val="none" w:sz="0" w:space="0" w:color="auto"/>
        <w:bottom w:val="none" w:sz="0" w:space="0" w:color="auto"/>
        <w:right w:val="none" w:sz="0" w:space="0" w:color="auto"/>
      </w:divBdr>
    </w:div>
    <w:div w:id="1204097497">
      <w:bodyDiv w:val="1"/>
      <w:marLeft w:val="0"/>
      <w:marRight w:val="0"/>
      <w:marTop w:val="0"/>
      <w:marBottom w:val="0"/>
      <w:divBdr>
        <w:top w:val="none" w:sz="0" w:space="0" w:color="auto"/>
        <w:left w:val="none" w:sz="0" w:space="0" w:color="auto"/>
        <w:bottom w:val="none" w:sz="0" w:space="0" w:color="auto"/>
        <w:right w:val="none" w:sz="0" w:space="0" w:color="auto"/>
      </w:divBdr>
    </w:div>
    <w:div w:id="1217162727">
      <w:bodyDiv w:val="1"/>
      <w:marLeft w:val="0"/>
      <w:marRight w:val="0"/>
      <w:marTop w:val="0"/>
      <w:marBottom w:val="0"/>
      <w:divBdr>
        <w:top w:val="none" w:sz="0" w:space="0" w:color="auto"/>
        <w:left w:val="none" w:sz="0" w:space="0" w:color="auto"/>
        <w:bottom w:val="none" w:sz="0" w:space="0" w:color="auto"/>
        <w:right w:val="none" w:sz="0" w:space="0" w:color="auto"/>
      </w:divBdr>
    </w:div>
    <w:div w:id="1226716935">
      <w:bodyDiv w:val="1"/>
      <w:marLeft w:val="0"/>
      <w:marRight w:val="0"/>
      <w:marTop w:val="0"/>
      <w:marBottom w:val="0"/>
      <w:divBdr>
        <w:top w:val="none" w:sz="0" w:space="0" w:color="auto"/>
        <w:left w:val="none" w:sz="0" w:space="0" w:color="auto"/>
        <w:bottom w:val="none" w:sz="0" w:space="0" w:color="auto"/>
        <w:right w:val="none" w:sz="0" w:space="0" w:color="auto"/>
      </w:divBdr>
    </w:div>
    <w:div w:id="1237864423">
      <w:bodyDiv w:val="1"/>
      <w:marLeft w:val="0"/>
      <w:marRight w:val="0"/>
      <w:marTop w:val="0"/>
      <w:marBottom w:val="0"/>
      <w:divBdr>
        <w:top w:val="none" w:sz="0" w:space="0" w:color="auto"/>
        <w:left w:val="none" w:sz="0" w:space="0" w:color="auto"/>
        <w:bottom w:val="none" w:sz="0" w:space="0" w:color="auto"/>
        <w:right w:val="none" w:sz="0" w:space="0" w:color="auto"/>
      </w:divBdr>
    </w:div>
    <w:div w:id="1263956743">
      <w:bodyDiv w:val="1"/>
      <w:marLeft w:val="0"/>
      <w:marRight w:val="0"/>
      <w:marTop w:val="0"/>
      <w:marBottom w:val="0"/>
      <w:divBdr>
        <w:top w:val="none" w:sz="0" w:space="0" w:color="auto"/>
        <w:left w:val="none" w:sz="0" w:space="0" w:color="auto"/>
        <w:bottom w:val="none" w:sz="0" w:space="0" w:color="auto"/>
        <w:right w:val="none" w:sz="0" w:space="0" w:color="auto"/>
      </w:divBdr>
    </w:div>
    <w:div w:id="1301224072">
      <w:bodyDiv w:val="1"/>
      <w:marLeft w:val="0"/>
      <w:marRight w:val="0"/>
      <w:marTop w:val="0"/>
      <w:marBottom w:val="0"/>
      <w:divBdr>
        <w:top w:val="none" w:sz="0" w:space="0" w:color="auto"/>
        <w:left w:val="none" w:sz="0" w:space="0" w:color="auto"/>
        <w:bottom w:val="none" w:sz="0" w:space="0" w:color="auto"/>
        <w:right w:val="none" w:sz="0" w:space="0" w:color="auto"/>
      </w:divBdr>
    </w:div>
    <w:div w:id="1307004355">
      <w:bodyDiv w:val="1"/>
      <w:marLeft w:val="0"/>
      <w:marRight w:val="0"/>
      <w:marTop w:val="0"/>
      <w:marBottom w:val="0"/>
      <w:divBdr>
        <w:top w:val="none" w:sz="0" w:space="0" w:color="auto"/>
        <w:left w:val="none" w:sz="0" w:space="0" w:color="auto"/>
        <w:bottom w:val="none" w:sz="0" w:space="0" w:color="auto"/>
        <w:right w:val="none" w:sz="0" w:space="0" w:color="auto"/>
      </w:divBdr>
    </w:div>
    <w:div w:id="1317760591">
      <w:bodyDiv w:val="1"/>
      <w:marLeft w:val="0"/>
      <w:marRight w:val="0"/>
      <w:marTop w:val="0"/>
      <w:marBottom w:val="0"/>
      <w:divBdr>
        <w:top w:val="none" w:sz="0" w:space="0" w:color="auto"/>
        <w:left w:val="none" w:sz="0" w:space="0" w:color="auto"/>
        <w:bottom w:val="none" w:sz="0" w:space="0" w:color="auto"/>
        <w:right w:val="none" w:sz="0" w:space="0" w:color="auto"/>
      </w:divBdr>
    </w:div>
    <w:div w:id="1326517348">
      <w:bodyDiv w:val="1"/>
      <w:marLeft w:val="0"/>
      <w:marRight w:val="0"/>
      <w:marTop w:val="0"/>
      <w:marBottom w:val="0"/>
      <w:divBdr>
        <w:top w:val="none" w:sz="0" w:space="0" w:color="auto"/>
        <w:left w:val="none" w:sz="0" w:space="0" w:color="auto"/>
        <w:bottom w:val="none" w:sz="0" w:space="0" w:color="auto"/>
        <w:right w:val="none" w:sz="0" w:space="0" w:color="auto"/>
      </w:divBdr>
    </w:div>
    <w:div w:id="1333339617">
      <w:bodyDiv w:val="1"/>
      <w:marLeft w:val="0"/>
      <w:marRight w:val="0"/>
      <w:marTop w:val="0"/>
      <w:marBottom w:val="0"/>
      <w:divBdr>
        <w:top w:val="none" w:sz="0" w:space="0" w:color="auto"/>
        <w:left w:val="none" w:sz="0" w:space="0" w:color="auto"/>
        <w:bottom w:val="none" w:sz="0" w:space="0" w:color="auto"/>
        <w:right w:val="none" w:sz="0" w:space="0" w:color="auto"/>
      </w:divBdr>
    </w:div>
    <w:div w:id="1355231075">
      <w:bodyDiv w:val="1"/>
      <w:marLeft w:val="0"/>
      <w:marRight w:val="0"/>
      <w:marTop w:val="0"/>
      <w:marBottom w:val="0"/>
      <w:divBdr>
        <w:top w:val="none" w:sz="0" w:space="0" w:color="auto"/>
        <w:left w:val="none" w:sz="0" w:space="0" w:color="auto"/>
        <w:bottom w:val="none" w:sz="0" w:space="0" w:color="auto"/>
        <w:right w:val="none" w:sz="0" w:space="0" w:color="auto"/>
      </w:divBdr>
    </w:div>
    <w:div w:id="1358776776">
      <w:bodyDiv w:val="1"/>
      <w:marLeft w:val="0"/>
      <w:marRight w:val="0"/>
      <w:marTop w:val="0"/>
      <w:marBottom w:val="0"/>
      <w:divBdr>
        <w:top w:val="none" w:sz="0" w:space="0" w:color="auto"/>
        <w:left w:val="none" w:sz="0" w:space="0" w:color="auto"/>
        <w:bottom w:val="none" w:sz="0" w:space="0" w:color="auto"/>
        <w:right w:val="none" w:sz="0" w:space="0" w:color="auto"/>
      </w:divBdr>
    </w:div>
    <w:div w:id="1370184969">
      <w:bodyDiv w:val="1"/>
      <w:marLeft w:val="0"/>
      <w:marRight w:val="0"/>
      <w:marTop w:val="0"/>
      <w:marBottom w:val="0"/>
      <w:divBdr>
        <w:top w:val="none" w:sz="0" w:space="0" w:color="auto"/>
        <w:left w:val="none" w:sz="0" w:space="0" w:color="auto"/>
        <w:bottom w:val="none" w:sz="0" w:space="0" w:color="auto"/>
        <w:right w:val="none" w:sz="0" w:space="0" w:color="auto"/>
      </w:divBdr>
    </w:div>
    <w:div w:id="1383551743">
      <w:bodyDiv w:val="1"/>
      <w:marLeft w:val="0"/>
      <w:marRight w:val="0"/>
      <w:marTop w:val="0"/>
      <w:marBottom w:val="0"/>
      <w:divBdr>
        <w:top w:val="none" w:sz="0" w:space="0" w:color="auto"/>
        <w:left w:val="none" w:sz="0" w:space="0" w:color="auto"/>
        <w:bottom w:val="none" w:sz="0" w:space="0" w:color="auto"/>
        <w:right w:val="none" w:sz="0" w:space="0" w:color="auto"/>
      </w:divBdr>
    </w:div>
    <w:div w:id="1422288990">
      <w:bodyDiv w:val="1"/>
      <w:marLeft w:val="0"/>
      <w:marRight w:val="0"/>
      <w:marTop w:val="0"/>
      <w:marBottom w:val="0"/>
      <w:divBdr>
        <w:top w:val="none" w:sz="0" w:space="0" w:color="auto"/>
        <w:left w:val="none" w:sz="0" w:space="0" w:color="auto"/>
        <w:bottom w:val="none" w:sz="0" w:space="0" w:color="auto"/>
        <w:right w:val="none" w:sz="0" w:space="0" w:color="auto"/>
      </w:divBdr>
    </w:div>
    <w:div w:id="1432163356">
      <w:bodyDiv w:val="1"/>
      <w:marLeft w:val="0"/>
      <w:marRight w:val="0"/>
      <w:marTop w:val="0"/>
      <w:marBottom w:val="0"/>
      <w:divBdr>
        <w:top w:val="none" w:sz="0" w:space="0" w:color="auto"/>
        <w:left w:val="none" w:sz="0" w:space="0" w:color="auto"/>
        <w:bottom w:val="none" w:sz="0" w:space="0" w:color="auto"/>
        <w:right w:val="none" w:sz="0" w:space="0" w:color="auto"/>
      </w:divBdr>
    </w:div>
    <w:div w:id="1456829388">
      <w:bodyDiv w:val="1"/>
      <w:marLeft w:val="0"/>
      <w:marRight w:val="0"/>
      <w:marTop w:val="0"/>
      <w:marBottom w:val="0"/>
      <w:divBdr>
        <w:top w:val="none" w:sz="0" w:space="0" w:color="auto"/>
        <w:left w:val="none" w:sz="0" w:space="0" w:color="auto"/>
        <w:bottom w:val="none" w:sz="0" w:space="0" w:color="auto"/>
        <w:right w:val="none" w:sz="0" w:space="0" w:color="auto"/>
      </w:divBdr>
    </w:div>
    <w:div w:id="1494679588">
      <w:bodyDiv w:val="1"/>
      <w:marLeft w:val="0"/>
      <w:marRight w:val="0"/>
      <w:marTop w:val="0"/>
      <w:marBottom w:val="0"/>
      <w:divBdr>
        <w:top w:val="none" w:sz="0" w:space="0" w:color="auto"/>
        <w:left w:val="none" w:sz="0" w:space="0" w:color="auto"/>
        <w:bottom w:val="none" w:sz="0" w:space="0" w:color="auto"/>
        <w:right w:val="none" w:sz="0" w:space="0" w:color="auto"/>
      </w:divBdr>
    </w:div>
    <w:div w:id="1495603789">
      <w:bodyDiv w:val="1"/>
      <w:marLeft w:val="0"/>
      <w:marRight w:val="0"/>
      <w:marTop w:val="0"/>
      <w:marBottom w:val="0"/>
      <w:divBdr>
        <w:top w:val="none" w:sz="0" w:space="0" w:color="auto"/>
        <w:left w:val="none" w:sz="0" w:space="0" w:color="auto"/>
        <w:bottom w:val="none" w:sz="0" w:space="0" w:color="auto"/>
        <w:right w:val="none" w:sz="0" w:space="0" w:color="auto"/>
      </w:divBdr>
    </w:div>
    <w:div w:id="1496457233">
      <w:bodyDiv w:val="1"/>
      <w:marLeft w:val="0"/>
      <w:marRight w:val="0"/>
      <w:marTop w:val="0"/>
      <w:marBottom w:val="0"/>
      <w:divBdr>
        <w:top w:val="none" w:sz="0" w:space="0" w:color="auto"/>
        <w:left w:val="none" w:sz="0" w:space="0" w:color="auto"/>
        <w:bottom w:val="none" w:sz="0" w:space="0" w:color="auto"/>
        <w:right w:val="none" w:sz="0" w:space="0" w:color="auto"/>
      </w:divBdr>
    </w:div>
    <w:div w:id="1497842456">
      <w:bodyDiv w:val="1"/>
      <w:marLeft w:val="0"/>
      <w:marRight w:val="0"/>
      <w:marTop w:val="0"/>
      <w:marBottom w:val="0"/>
      <w:divBdr>
        <w:top w:val="none" w:sz="0" w:space="0" w:color="auto"/>
        <w:left w:val="none" w:sz="0" w:space="0" w:color="auto"/>
        <w:bottom w:val="none" w:sz="0" w:space="0" w:color="auto"/>
        <w:right w:val="none" w:sz="0" w:space="0" w:color="auto"/>
      </w:divBdr>
    </w:div>
    <w:div w:id="1497956370">
      <w:bodyDiv w:val="1"/>
      <w:marLeft w:val="0"/>
      <w:marRight w:val="0"/>
      <w:marTop w:val="0"/>
      <w:marBottom w:val="0"/>
      <w:divBdr>
        <w:top w:val="none" w:sz="0" w:space="0" w:color="auto"/>
        <w:left w:val="none" w:sz="0" w:space="0" w:color="auto"/>
        <w:bottom w:val="none" w:sz="0" w:space="0" w:color="auto"/>
        <w:right w:val="none" w:sz="0" w:space="0" w:color="auto"/>
      </w:divBdr>
    </w:div>
    <w:div w:id="1517891582">
      <w:bodyDiv w:val="1"/>
      <w:marLeft w:val="0"/>
      <w:marRight w:val="0"/>
      <w:marTop w:val="0"/>
      <w:marBottom w:val="0"/>
      <w:divBdr>
        <w:top w:val="none" w:sz="0" w:space="0" w:color="auto"/>
        <w:left w:val="none" w:sz="0" w:space="0" w:color="auto"/>
        <w:bottom w:val="none" w:sz="0" w:space="0" w:color="auto"/>
        <w:right w:val="none" w:sz="0" w:space="0" w:color="auto"/>
      </w:divBdr>
    </w:div>
    <w:div w:id="1539466046">
      <w:bodyDiv w:val="1"/>
      <w:marLeft w:val="0"/>
      <w:marRight w:val="0"/>
      <w:marTop w:val="0"/>
      <w:marBottom w:val="0"/>
      <w:divBdr>
        <w:top w:val="none" w:sz="0" w:space="0" w:color="auto"/>
        <w:left w:val="none" w:sz="0" w:space="0" w:color="auto"/>
        <w:bottom w:val="none" w:sz="0" w:space="0" w:color="auto"/>
        <w:right w:val="none" w:sz="0" w:space="0" w:color="auto"/>
      </w:divBdr>
    </w:div>
    <w:div w:id="1541556077">
      <w:bodyDiv w:val="1"/>
      <w:marLeft w:val="0"/>
      <w:marRight w:val="0"/>
      <w:marTop w:val="0"/>
      <w:marBottom w:val="0"/>
      <w:divBdr>
        <w:top w:val="none" w:sz="0" w:space="0" w:color="auto"/>
        <w:left w:val="none" w:sz="0" w:space="0" w:color="auto"/>
        <w:bottom w:val="none" w:sz="0" w:space="0" w:color="auto"/>
        <w:right w:val="none" w:sz="0" w:space="0" w:color="auto"/>
      </w:divBdr>
    </w:div>
    <w:div w:id="1589074712">
      <w:bodyDiv w:val="1"/>
      <w:marLeft w:val="0"/>
      <w:marRight w:val="0"/>
      <w:marTop w:val="0"/>
      <w:marBottom w:val="0"/>
      <w:divBdr>
        <w:top w:val="none" w:sz="0" w:space="0" w:color="auto"/>
        <w:left w:val="none" w:sz="0" w:space="0" w:color="auto"/>
        <w:bottom w:val="none" w:sz="0" w:space="0" w:color="auto"/>
        <w:right w:val="none" w:sz="0" w:space="0" w:color="auto"/>
      </w:divBdr>
    </w:div>
    <w:div w:id="1611468836">
      <w:bodyDiv w:val="1"/>
      <w:marLeft w:val="0"/>
      <w:marRight w:val="0"/>
      <w:marTop w:val="0"/>
      <w:marBottom w:val="0"/>
      <w:divBdr>
        <w:top w:val="none" w:sz="0" w:space="0" w:color="auto"/>
        <w:left w:val="none" w:sz="0" w:space="0" w:color="auto"/>
        <w:bottom w:val="none" w:sz="0" w:space="0" w:color="auto"/>
        <w:right w:val="none" w:sz="0" w:space="0" w:color="auto"/>
      </w:divBdr>
    </w:div>
    <w:div w:id="1625232146">
      <w:bodyDiv w:val="1"/>
      <w:marLeft w:val="0"/>
      <w:marRight w:val="0"/>
      <w:marTop w:val="0"/>
      <w:marBottom w:val="0"/>
      <w:divBdr>
        <w:top w:val="none" w:sz="0" w:space="0" w:color="auto"/>
        <w:left w:val="none" w:sz="0" w:space="0" w:color="auto"/>
        <w:bottom w:val="none" w:sz="0" w:space="0" w:color="auto"/>
        <w:right w:val="none" w:sz="0" w:space="0" w:color="auto"/>
      </w:divBdr>
    </w:div>
    <w:div w:id="1668751890">
      <w:bodyDiv w:val="1"/>
      <w:marLeft w:val="0"/>
      <w:marRight w:val="0"/>
      <w:marTop w:val="0"/>
      <w:marBottom w:val="0"/>
      <w:divBdr>
        <w:top w:val="none" w:sz="0" w:space="0" w:color="auto"/>
        <w:left w:val="none" w:sz="0" w:space="0" w:color="auto"/>
        <w:bottom w:val="none" w:sz="0" w:space="0" w:color="auto"/>
        <w:right w:val="none" w:sz="0" w:space="0" w:color="auto"/>
      </w:divBdr>
    </w:div>
    <w:div w:id="1671134096">
      <w:bodyDiv w:val="1"/>
      <w:marLeft w:val="0"/>
      <w:marRight w:val="0"/>
      <w:marTop w:val="0"/>
      <w:marBottom w:val="0"/>
      <w:divBdr>
        <w:top w:val="none" w:sz="0" w:space="0" w:color="auto"/>
        <w:left w:val="none" w:sz="0" w:space="0" w:color="auto"/>
        <w:bottom w:val="none" w:sz="0" w:space="0" w:color="auto"/>
        <w:right w:val="none" w:sz="0" w:space="0" w:color="auto"/>
      </w:divBdr>
    </w:div>
    <w:div w:id="1694458739">
      <w:bodyDiv w:val="1"/>
      <w:marLeft w:val="0"/>
      <w:marRight w:val="0"/>
      <w:marTop w:val="0"/>
      <w:marBottom w:val="0"/>
      <w:divBdr>
        <w:top w:val="none" w:sz="0" w:space="0" w:color="auto"/>
        <w:left w:val="none" w:sz="0" w:space="0" w:color="auto"/>
        <w:bottom w:val="none" w:sz="0" w:space="0" w:color="auto"/>
        <w:right w:val="none" w:sz="0" w:space="0" w:color="auto"/>
      </w:divBdr>
    </w:div>
    <w:div w:id="1720394788">
      <w:bodyDiv w:val="1"/>
      <w:marLeft w:val="0"/>
      <w:marRight w:val="0"/>
      <w:marTop w:val="0"/>
      <w:marBottom w:val="0"/>
      <w:divBdr>
        <w:top w:val="none" w:sz="0" w:space="0" w:color="auto"/>
        <w:left w:val="none" w:sz="0" w:space="0" w:color="auto"/>
        <w:bottom w:val="none" w:sz="0" w:space="0" w:color="auto"/>
        <w:right w:val="none" w:sz="0" w:space="0" w:color="auto"/>
      </w:divBdr>
    </w:div>
    <w:div w:id="1731418224">
      <w:bodyDiv w:val="1"/>
      <w:marLeft w:val="0"/>
      <w:marRight w:val="0"/>
      <w:marTop w:val="0"/>
      <w:marBottom w:val="0"/>
      <w:divBdr>
        <w:top w:val="none" w:sz="0" w:space="0" w:color="auto"/>
        <w:left w:val="none" w:sz="0" w:space="0" w:color="auto"/>
        <w:bottom w:val="none" w:sz="0" w:space="0" w:color="auto"/>
        <w:right w:val="none" w:sz="0" w:space="0" w:color="auto"/>
      </w:divBdr>
    </w:div>
    <w:div w:id="1738818860">
      <w:bodyDiv w:val="1"/>
      <w:marLeft w:val="0"/>
      <w:marRight w:val="0"/>
      <w:marTop w:val="0"/>
      <w:marBottom w:val="0"/>
      <w:divBdr>
        <w:top w:val="none" w:sz="0" w:space="0" w:color="auto"/>
        <w:left w:val="none" w:sz="0" w:space="0" w:color="auto"/>
        <w:bottom w:val="none" w:sz="0" w:space="0" w:color="auto"/>
        <w:right w:val="none" w:sz="0" w:space="0" w:color="auto"/>
      </w:divBdr>
    </w:div>
    <w:div w:id="1739403142">
      <w:bodyDiv w:val="1"/>
      <w:marLeft w:val="0"/>
      <w:marRight w:val="0"/>
      <w:marTop w:val="0"/>
      <w:marBottom w:val="0"/>
      <w:divBdr>
        <w:top w:val="none" w:sz="0" w:space="0" w:color="auto"/>
        <w:left w:val="none" w:sz="0" w:space="0" w:color="auto"/>
        <w:bottom w:val="none" w:sz="0" w:space="0" w:color="auto"/>
        <w:right w:val="none" w:sz="0" w:space="0" w:color="auto"/>
      </w:divBdr>
      <w:divsChild>
        <w:div w:id="983586827">
          <w:marLeft w:val="432"/>
          <w:marRight w:val="0"/>
          <w:marTop w:val="120"/>
          <w:marBottom w:val="0"/>
          <w:divBdr>
            <w:top w:val="none" w:sz="0" w:space="0" w:color="auto"/>
            <w:left w:val="none" w:sz="0" w:space="0" w:color="auto"/>
            <w:bottom w:val="none" w:sz="0" w:space="0" w:color="auto"/>
            <w:right w:val="none" w:sz="0" w:space="0" w:color="auto"/>
          </w:divBdr>
        </w:div>
        <w:div w:id="879707319">
          <w:marLeft w:val="432"/>
          <w:marRight w:val="0"/>
          <w:marTop w:val="120"/>
          <w:marBottom w:val="0"/>
          <w:divBdr>
            <w:top w:val="none" w:sz="0" w:space="0" w:color="auto"/>
            <w:left w:val="none" w:sz="0" w:space="0" w:color="auto"/>
            <w:bottom w:val="none" w:sz="0" w:space="0" w:color="auto"/>
            <w:right w:val="none" w:sz="0" w:space="0" w:color="auto"/>
          </w:divBdr>
        </w:div>
        <w:div w:id="2141796667">
          <w:marLeft w:val="432"/>
          <w:marRight w:val="0"/>
          <w:marTop w:val="120"/>
          <w:marBottom w:val="0"/>
          <w:divBdr>
            <w:top w:val="none" w:sz="0" w:space="0" w:color="auto"/>
            <w:left w:val="none" w:sz="0" w:space="0" w:color="auto"/>
            <w:bottom w:val="none" w:sz="0" w:space="0" w:color="auto"/>
            <w:right w:val="none" w:sz="0" w:space="0" w:color="auto"/>
          </w:divBdr>
        </w:div>
        <w:div w:id="1252273110">
          <w:marLeft w:val="432"/>
          <w:marRight w:val="0"/>
          <w:marTop w:val="120"/>
          <w:marBottom w:val="0"/>
          <w:divBdr>
            <w:top w:val="none" w:sz="0" w:space="0" w:color="auto"/>
            <w:left w:val="none" w:sz="0" w:space="0" w:color="auto"/>
            <w:bottom w:val="none" w:sz="0" w:space="0" w:color="auto"/>
            <w:right w:val="none" w:sz="0" w:space="0" w:color="auto"/>
          </w:divBdr>
        </w:div>
        <w:div w:id="837622311">
          <w:marLeft w:val="432"/>
          <w:marRight w:val="0"/>
          <w:marTop w:val="120"/>
          <w:marBottom w:val="0"/>
          <w:divBdr>
            <w:top w:val="none" w:sz="0" w:space="0" w:color="auto"/>
            <w:left w:val="none" w:sz="0" w:space="0" w:color="auto"/>
            <w:bottom w:val="none" w:sz="0" w:space="0" w:color="auto"/>
            <w:right w:val="none" w:sz="0" w:space="0" w:color="auto"/>
          </w:divBdr>
        </w:div>
      </w:divsChild>
    </w:div>
    <w:div w:id="1760329383">
      <w:bodyDiv w:val="1"/>
      <w:marLeft w:val="0"/>
      <w:marRight w:val="0"/>
      <w:marTop w:val="0"/>
      <w:marBottom w:val="0"/>
      <w:divBdr>
        <w:top w:val="none" w:sz="0" w:space="0" w:color="auto"/>
        <w:left w:val="none" w:sz="0" w:space="0" w:color="auto"/>
        <w:bottom w:val="none" w:sz="0" w:space="0" w:color="auto"/>
        <w:right w:val="none" w:sz="0" w:space="0" w:color="auto"/>
      </w:divBdr>
    </w:div>
    <w:div w:id="1770150873">
      <w:bodyDiv w:val="1"/>
      <w:marLeft w:val="0"/>
      <w:marRight w:val="0"/>
      <w:marTop w:val="0"/>
      <w:marBottom w:val="0"/>
      <w:divBdr>
        <w:top w:val="none" w:sz="0" w:space="0" w:color="auto"/>
        <w:left w:val="none" w:sz="0" w:space="0" w:color="auto"/>
        <w:bottom w:val="none" w:sz="0" w:space="0" w:color="auto"/>
        <w:right w:val="none" w:sz="0" w:space="0" w:color="auto"/>
      </w:divBdr>
    </w:div>
    <w:div w:id="1808930533">
      <w:bodyDiv w:val="1"/>
      <w:marLeft w:val="0"/>
      <w:marRight w:val="0"/>
      <w:marTop w:val="0"/>
      <w:marBottom w:val="0"/>
      <w:divBdr>
        <w:top w:val="none" w:sz="0" w:space="0" w:color="auto"/>
        <w:left w:val="none" w:sz="0" w:space="0" w:color="auto"/>
        <w:bottom w:val="none" w:sz="0" w:space="0" w:color="auto"/>
        <w:right w:val="none" w:sz="0" w:space="0" w:color="auto"/>
      </w:divBdr>
    </w:div>
    <w:div w:id="1809125499">
      <w:bodyDiv w:val="1"/>
      <w:marLeft w:val="0"/>
      <w:marRight w:val="0"/>
      <w:marTop w:val="0"/>
      <w:marBottom w:val="0"/>
      <w:divBdr>
        <w:top w:val="none" w:sz="0" w:space="0" w:color="auto"/>
        <w:left w:val="none" w:sz="0" w:space="0" w:color="auto"/>
        <w:bottom w:val="none" w:sz="0" w:space="0" w:color="auto"/>
        <w:right w:val="none" w:sz="0" w:space="0" w:color="auto"/>
      </w:divBdr>
    </w:div>
    <w:div w:id="1819884060">
      <w:bodyDiv w:val="1"/>
      <w:marLeft w:val="0"/>
      <w:marRight w:val="0"/>
      <w:marTop w:val="0"/>
      <w:marBottom w:val="0"/>
      <w:divBdr>
        <w:top w:val="none" w:sz="0" w:space="0" w:color="auto"/>
        <w:left w:val="none" w:sz="0" w:space="0" w:color="auto"/>
        <w:bottom w:val="none" w:sz="0" w:space="0" w:color="auto"/>
        <w:right w:val="none" w:sz="0" w:space="0" w:color="auto"/>
      </w:divBdr>
    </w:div>
    <w:div w:id="1829403292">
      <w:bodyDiv w:val="1"/>
      <w:marLeft w:val="0"/>
      <w:marRight w:val="0"/>
      <w:marTop w:val="0"/>
      <w:marBottom w:val="0"/>
      <w:divBdr>
        <w:top w:val="none" w:sz="0" w:space="0" w:color="auto"/>
        <w:left w:val="none" w:sz="0" w:space="0" w:color="auto"/>
        <w:bottom w:val="none" w:sz="0" w:space="0" w:color="auto"/>
        <w:right w:val="none" w:sz="0" w:space="0" w:color="auto"/>
      </w:divBdr>
    </w:div>
    <w:div w:id="1839230627">
      <w:bodyDiv w:val="1"/>
      <w:marLeft w:val="0"/>
      <w:marRight w:val="0"/>
      <w:marTop w:val="0"/>
      <w:marBottom w:val="0"/>
      <w:divBdr>
        <w:top w:val="none" w:sz="0" w:space="0" w:color="auto"/>
        <w:left w:val="none" w:sz="0" w:space="0" w:color="auto"/>
        <w:bottom w:val="none" w:sz="0" w:space="0" w:color="auto"/>
        <w:right w:val="none" w:sz="0" w:space="0" w:color="auto"/>
      </w:divBdr>
    </w:div>
    <w:div w:id="1863471746">
      <w:bodyDiv w:val="1"/>
      <w:marLeft w:val="0"/>
      <w:marRight w:val="0"/>
      <w:marTop w:val="0"/>
      <w:marBottom w:val="0"/>
      <w:divBdr>
        <w:top w:val="none" w:sz="0" w:space="0" w:color="auto"/>
        <w:left w:val="none" w:sz="0" w:space="0" w:color="auto"/>
        <w:bottom w:val="none" w:sz="0" w:space="0" w:color="auto"/>
        <w:right w:val="none" w:sz="0" w:space="0" w:color="auto"/>
      </w:divBdr>
    </w:div>
    <w:div w:id="1871065827">
      <w:bodyDiv w:val="1"/>
      <w:marLeft w:val="0"/>
      <w:marRight w:val="0"/>
      <w:marTop w:val="0"/>
      <w:marBottom w:val="0"/>
      <w:divBdr>
        <w:top w:val="none" w:sz="0" w:space="0" w:color="auto"/>
        <w:left w:val="none" w:sz="0" w:space="0" w:color="auto"/>
        <w:bottom w:val="none" w:sz="0" w:space="0" w:color="auto"/>
        <w:right w:val="none" w:sz="0" w:space="0" w:color="auto"/>
      </w:divBdr>
    </w:div>
    <w:div w:id="1875993853">
      <w:bodyDiv w:val="1"/>
      <w:marLeft w:val="0"/>
      <w:marRight w:val="0"/>
      <w:marTop w:val="0"/>
      <w:marBottom w:val="0"/>
      <w:divBdr>
        <w:top w:val="none" w:sz="0" w:space="0" w:color="auto"/>
        <w:left w:val="none" w:sz="0" w:space="0" w:color="auto"/>
        <w:bottom w:val="none" w:sz="0" w:space="0" w:color="auto"/>
        <w:right w:val="none" w:sz="0" w:space="0" w:color="auto"/>
      </w:divBdr>
    </w:div>
    <w:div w:id="1886595624">
      <w:bodyDiv w:val="1"/>
      <w:marLeft w:val="0"/>
      <w:marRight w:val="0"/>
      <w:marTop w:val="0"/>
      <w:marBottom w:val="0"/>
      <w:divBdr>
        <w:top w:val="none" w:sz="0" w:space="0" w:color="auto"/>
        <w:left w:val="none" w:sz="0" w:space="0" w:color="auto"/>
        <w:bottom w:val="none" w:sz="0" w:space="0" w:color="auto"/>
        <w:right w:val="none" w:sz="0" w:space="0" w:color="auto"/>
      </w:divBdr>
    </w:div>
    <w:div w:id="1908684318">
      <w:bodyDiv w:val="1"/>
      <w:marLeft w:val="0"/>
      <w:marRight w:val="0"/>
      <w:marTop w:val="0"/>
      <w:marBottom w:val="0"/>
      <w:divBdr>
        <w:top w:val="none" w:sz="0" w:space="0" w:color="auto"/>
        <w:left w:val="none" w:sz="0" w:space="0" w:color="auto"/>
        <w:bottom w:val="none" w:sz="0" w:space="0" w:color="auto"/>
        <w:right w:val="none" w:sz="0" w:space="0" w:color="auto"/>
      </w:divBdr>
    </w:div>
    <w:div w:id="1927957146">
      <w:bodyDiv w:val="1"/>
      <w:marLeft w:val="0"/>
      <w:marRight w:val="0"/>
      <w:marTop w:val="0"/>
      <w:marBottom w:val="0"/>
      <w:divBdr>
        <w:top w:val="none" w:sz="0" w:space="0" w:color="auto"/>
        <w:left w:val="none" w:sz="0" w:space="0" w:color="auto"/>
        <w:bottom w:val="none" w:sz="0" w:space="0" w:color="auto"/>
        <w:right w:val="none" w:sz="0" w:space="0" w:color="auto"/>
      </w:divBdr>
    </w:div>
    <w:div w:id="1944219557">
      <w:bodyDiv w:val="1"/>
      <w:marLeft w:val="0"/>
      <w:marRight w:val="0"/>
      <w:marTop w:val="0"/>
      <w:marBottom w:val="0"/>
      <w:divBdr>
        <w:top w:val="none" w:sz="0" w:space="0" w:color="auto"/>
        <w:left w:val="none" w:sz="0" w:space="0" w:color="auto"/>
        <w:bottom w:val="none" w:sz="0" w:space="0" w:color="auto"/>
        <w:right w:val="none" w:sz="0" w:space="0" w:color="auto"/>
      </w:divBdr>
    </w:div>
    <w:div w:id="1959484945">
      <w:bodyDiv w:val="1"/>
      <w:marLeft w:val="0"/>
      <w:marRight w:val="0"/>
      <w:marTop w:val="0"/>
      <w:marBottom w:val="0"/>
      <w:divBdr>
        <w:top w:val="none" w:sz="0" w:space="0" w:color="auto"/>
        <w:left w:val="none" w:sz="0" w:space="0" w:color="auto"/>
        <w:bottom w:val="none" w:sz="0" w:space="0" w:color="auto"/>
        <w:right w:val="none" w:sz="0" w:space="0" w:color="auto"/>
      </w:divBdr>
    </w:div>
    <w:div w:id="1981182139">
      <w:bodyDiv w:val="1"/>
      <w:marLeft w:val="0"/>
      <w:marRight w:val="0"/>
      <w:marTop w:val="0"/>
      <w:marBottom w:val="0"/>
      <w:divBdr>
        <w:top w:val="none" w:sz="0" w:space="0" w:color="auto"/>
        <w:left w:val="none" w:sz="0" w:space="0" w:color="auto"/>
        <w:bottom w:val="none" w:sz="0" w:space="0" w:color="auto"/>
        <w:right w:val="none" w:sz="0" w:space="0" w:color="auto"/>
      </w:divBdr>
    </w:div>
    <w:div w:id="1987009886">
      <w:bodyDiv w:val="1"/>
      <w:marLeft w:val="0"/>
      <w:marRight w:val="0"/>
      <w:marTop w:val="0"/>
      <w:marBottom w:val="0"/>
      <w:divBdr>
        <w:top w:val="none" w:sz="0" w:space="0" w:color="auto"/>
        <w:left w:val="none" w:sz="0" w:space="0" w:color="auto"/>
        <w:bottom w:val="none" w:sz="0" w:space="0" w:color="auto"/>
        <w:right w:val="none" w:sz="0" w:space="0" w:color="auto"/>
      </w:divBdr>
    </w:div>
    <w:div w:id="1990748654">
      <w:bodyDiv w:val="1"/>
      <w:marLeft w:val="0"/>
      <w:marRight w:val="0"/>
      <w:marTop w:val="0"/>
      <w:marBottom w:val="0"/>
      <w:divBdr>
        <w:top w:val="none" w:sz="0" w:space="0" w:color="auto"/>
        <w:left w:val="none" w:sz="0" w:space="0" w:color="auto"/>
        <w:bottom w:val="none" w:sz="0" w:space="0" w:color="auto"/>
        <w:right w:val="none" w:sz="0" w:space="0" w:color="auto"/>
      </w:divBdr>
    </w:div>
    <w:div w:id="1994406266">
      <w:bodyDiv w:val="1"/>
      <w:marLeft w:val="0"/>
      <w:marRight w:val="0"/>
      <w:marTop w:val="0"/>
      <w:marBottom w:val="0"/>
      <w:divBdr>
        <w:top w:val="none" w:sz="0" w:space="0" w:color="auto"/>
        <w:left w:val="none" w:sz="0" w:space="0" w:color="auto"/>
        <w:bottom w:val="none" w:sz="0" w:space="0" w:color="auto"/>
        <w:right w:val="none" w:sz="0" w:space="0" w:color="auto"/>
      </w:divBdr>
    </w:div>
    <w:div w:id="2010254686">
      <w:bodyDiv w:val="1"/>
      <w:marLeft w:val="0"/>
      <w:marRight w:val="0"/>
      <w:marTop w:val="0"/>
      <w:marBottom w:val="0"/>
      <w:divBdr>
        <w:top w:val="none" w:sz="0" w:space="0" w:color="auto"/>
        <w:left w:val="none" w:sz="0" w:space="0" w:color="auto"/>
        <w:bottom w:val="none" w:sz="0" w:space="0" w:color="auto"/>
        <w:right w:val="none" w:sz="0" w:space="0" w:color="auto"/>
      </w:divBdr>
    </w:div>
    <w:div w:id="2022928672">
      <w:bodyDiv w:val="1"/>
      <w:marLeft w:val="0"/>
      <w:marRight w:val="0"/>
      <w:marTop w:val="0"/>
      <w:marBottom w:val="0"/>
      <w:divBdr>
        <w:top w:val="none" w:sz="0" w:space="0" w:color="auto"/>
        <w:left w:val="none" w:sz="0" w:space="0" w:color="auto"/>
        <w:bottom w:val="none" w:sz="0" w:space="0" w:color="auto"/>
        <w:right w:val="none" w:sz="0" w:space="0" w:color="auto"/>
      </w:divBdr>
    </w:div>
    <w:div w:id="2031105018">
      <w:bodyDiv w:val="1"/>
      <w:marLeft w:val="0"/>
      <w:marRight w:val="0"/>
      <w:marTop w:val="0"/>
      <w:marBottom w:val="0"/>
      <w:divBdr>
        <w:top w:val="none" w:sz="0" w:space="0" w:color="auto"/>
        <w:left w:val="none" w:sz="0" w:space="0" w:color="auto"/>
        <w:bottom w:val="none" w:sz="0" w:space="0" w:color="auto"/>
        <w:right w:val="none" w:sz="0" w:space="0" w:color="auto"/>
      </w:divBdr>
    </w:div>
    <w:div w:id="2064716983">
      <w:bodyDiv w:val="1"/>
      <w:marLeft w:val="0"/>
      <w:marRight w:val="0"/>
      <w:marTop w:val="0"/>
      <w:marBottom w:val="0"/>
      <w:divBdr>
        <w:top w:val="none" w:sz="0" w:space="0" w:color="auto"/>
        <w:left w:val="none" w:sz="0" w:space="0" w:color="auto"/>
        <w:bottom w:val="none" w:sz="0" w:space="0" w:color="auto"/>
        <w:right w:val="none" w:sz="0" w:space="0" w:color="auto"/>
      </w:divBdr>
    </w:div>
    <w:div w:id="2069187457">
      <w:bodyDiv w:val="1"/>
      <w:marLeft w:val="0"/>
      <w:marRight w:val="0"/>
      <w:marTop w:val="0"/>
      <w:marBottom w:val="0"/>
      <w:divBdr>
        <w:top w:val="none" w:sz="0" w:space="0" w:color="auto"/>
        <w:left w:val="none" w:sz="0" w:space="0" w:color="auto"/>
        <w:bottom w:val="none" w:sz="0" w:space="0" w:color="auto"/>
        <w:right w:val="none" w:sz="0" w:space="0" w:color="auto"/>
      </w:divBdr>
    </w:div>
    <w:div w:id="2107262347">
      <w:bodyDiv w:val="1"/>
      <w:marLeft w:val="0"/>
      <w:marRight w:val="0"/>
      <w:marTop w:val="0"/>
      <w:marBottom w:val="0"/>
      <w:divBdr>
        <w:top w:val="none" w:sz="0" w:space="0" w:color="auto"/>
        <w:left w:val="none" w:sz="0" w:space="0" w:color="auto"/>
        <w:bottom w:val="none" w:sz="0" w:space="0" w:color="auto"/>
        <w:right w:val="none" w:sz="0" w:space="0" w:color="auto"/>
      </w:divBdr>
      <w:divsChild>
        <w:div w:id="735972467">
          <w:marLeft w:val="432"/>
          <w:marRight w:val="0"/>
          <w:marTop w:val="120"/>
          <w:marBottom w:val="0"/>
          <w:divBdr>
            <w:top w:val="none" w:sz="0" w:space="0" w:color="auto"/>
            <w:left w:val="none" w:sz="0" w:space="0" w:color="auto"/>
            <w:bottom w:val="none" w:sz="0" w:space="0" w:color="auto"/>
            <w:right w:val="none" w:sz="0" w:space="0" w:color="auto"/>
          </w:divBdr>
        </w:div>
        <w:div w:id="1134174382">
          <w:marLeft w:val="432"/>
          <w:marRight w:val="0"/>
          <w:marTop w:val="120"/>
          <w:marBottom w:val="0"/>
          <w:divBdr>
            <w:top w:val="none" w:sz="0" w:space="0" w:color="auto"/>
            <w:left w:val="none" w:sz="0" w:space="0" w:color="auto"/>
            <w:bottom w:val="none" w:sz="0" w:space="0" w:color="auto"/>
            <w:right w:val="none" w:sz="0" w:space="0" w:color="auto"/>
          </w:divBdr>
        </w:div>
        <w:div w:id="962615548">
          <w:marLeft w:val="432"/>
          <w:marRight w:val="0"/>
          <w:marTop w:val="120"/>
          <w:marBottom w:val="0"/>
          <w:divBdr>
            <w:top w:val="none" w:sz="0" w:space="0" w:color="auto"/>
            <w:left w:val="none" w:sz="0" w:space="0" w:color="auto"/>
            <w:bottom w:val="none" w:sz="0" w:space="0" w:color="auto"/>
            <w:right w:val="none" w:sz="0" w:space="0" w:color="auto"/>
          </w:divBdr>
        </w:div>
        <w:div w:id="332028827">
          <w:marLeft w:val="432"/>
          <w:marRight w:val="0"/>
          <w:marTop w:val="120"/>
          <w:marBottom w:val="0"/>
          <w:divBdr>
            <w:top w:val="none" w:sz="0" w:space="0" w:color="auto"/>
            <w:left w:val="none" w:sz="0" w:space="0" w:color="auto"/>
            <w:bottom w:val="none" w:sz="0" w:space="0" w:color="auto"/>
            <w:right w:val="none" w:sz="0" w:space="0" w:color="auto"/>
          </w:divBdr>
        </w:div>
      </w:divsChild>
    </w:div>
    <w:div w:id="2108646471">
      <w:bodyDiv w:val="1"/>
      <w:marLeft w:val="0"/>
      <w:marRight w:val="0"/>
      <w:marTop w:val="0"/>
      <w:marBottom w:val="0"/>
      <w:divBdr>
        <w:top w:val="none" w:sz="0" w:space="0" w:color="auto"/>
        <w:left w:val="none" w:sz="0" w:space="0" w:color="auto"/>
        <w:bottom w:val="none" w:sz="0" w:space="0" w:color="auto"/>
        <w:right w:val="none" w:sz="0" w:space="0" w:color="auto"/>
      </w:divBdr>
    </w:div>
    <w:div w:id="2120878298">
      <w:bodyDiv w:val="1"/>
      <w:marLeft w:val="0"/>
      <w:marRight w:val="0"/>
      <w:marTop w:val="0"/>
      <w:marBottom w:val="0"/>
      <w:divBdr>
        <w:top w:val="none" w:sz="0" w:space="0" w:color="auto"/>
        <w:left w:val="none" w:sz="0" w:space="0" w:color="auto"/>
        <w:bottom w:val="none" w:sz="0" w:space="0" w:color="auto"/>
        <w:right w:val="none" w:sz="0" w:space="0" w:color="auto"/>
      </w:divBdr>
      <w:divsChild>
        <w:div w:id="2143578126">
          <w:marLeft w:val="7500"/>
          <w:marRight w:val="0"/>
          <w:marTop w:val="0"/>
          <w:marBottom w:val="0"/>
          <w:divBdr>
            <w:top w:val="none" w:sz="0" w:space="0" w:color="auto"/>
            <w:left w:val="none" w:sz="0" w:space="0" w:color="auto"/>
            <w:bottom w:val="none" w:sz="0" w:space="0" w:color="auto"/>
            <w:right w:val="none" w:sz="0" w:space="0" w:color="auto"/>
          </w:divBdr>
          <w:divsChild>
            <w:div w:id="1757943729">
              <w:marLeft w:val="0"/>
              <w:marRight w:val="0"/>
              <w:marTop w:val="0"/>
              <w:marBottom w:val="0"/>
              <w:divBdr>
                <w:top w:val="none" w:sz="0" w:space="0" w:color="auto"/>
                <w:left w:val="none" w:sz="0" w:space="0" w:color="auto"/>
                <w:bottom w:val="none" w:sz="0" w:space="0" w:color="auto"/>
                <w:right w:val="none" w:sz="0" w:space="0" w:color="auto"/>
              </w:divBdr>
            </w:div>
          </w:divsChild>
        </w:div>
        <w:div w:id="2102795189">
          <w:marLeft w:val="0"/>
          <w:marRight w:val="0"/>
          <w:marTop w:val="0"/>
          <w:marBottom w:val="0"/>
          <w:divBdr>
            <w:top w:val="none" w:sz="0" w:space="0" w:color="auto"/>
            <w:left w:val="none" w:sz="0" w:space="0" w:color="auto"/>
            <w:bottom w:val="none" w:sz="0" w:space="0" w:color="auto"/>
            <w:right w:val="none" w:sz="0" w:space="0" w:color="auto"/>
          </w:divBdr>
          <w:divsChild>
            <w:div w:id="872108319">
              <w:marLeft w:val="0"/>
              <w:marRight w:val="0"/>
              <w:marTop w:val="0"/>
              <w:marBottom w:val="0"/>
              <w:divBdr>
                <w:top w:val="none" w:sz="0" w:space="0" w:color="auto"/>
                <w:left w:val="none" w:sz="0" w:space="0" w:color="auto"/>
                <w:bottom w:val="none" w:sz="0" w:space="0" w:color="auto"/>
                <w:right w:val="none" w:sz="0" w:space="0" w:color="auto"/>
              </w:divBdr>
              <w:divsChild>
                <w:div w:id="403381124">
                  <w:marLeft w:val="0"/>
                  <w:marRight w:val="0"/>
                  <w:marTop w:val="0"/>
                  <w:marBottom w:val="0"/>
                  <w:divBdr>
                    <w:top w:val="none" w:sz="0" w:space="0" w:color="auto"/>
                    <w:left w:val="none" w:sz="0" w:space="0" w:color="auto"/>
                    <w:bottom w:val="none" w:sz="0" w:space="0" w:color="auto"/>
                    <w:right w:val="none" w:sz="0" w:space="0" w:color="auto"/>
                  </w:divBdr>
                </w:div>
              </w:divsChild>
            </w:div>
            <w:div w:id="526796525">
              <w:marLeft w:val="0"/>
              <w:marRight w:val="0"/>
              <w:marTop w:val="0"/>
              <w:marBottom w:val="0"/>
              <w:divBdr>
                <w:top w:val="none" w:sz="0" w:space="0" w:color="auto"/>
                <w:left w:val="none" w:sz="0" w:space="0" w:color="auto"/>
                <w:bottom w:val="none" w:sz="0" w:space="0" w:color="auto"/>
                <w:right w:val="none" w:sz="0" w:space="0" w:color="auto"/>
              </w:divBdr>
              <w:divsChild>
                <w:div w:id="721518238">
                  <w:marLeft w:val="0"/>
                  <w:marRight w:val="0"/>
                  <w:marTop w:val="0"/>
                  <w:marBottom w:val="0"/>
                  <w:divBdr>
                    <w:top w:val="none" w:sz="0" w:space="0" w:color="auto"/>
                    <w:left w:val="none" w:sz="0" w:space="0" w:color="auto"/>
                    <w:bottom w:val="none" w:sz="0" w:space="0" w:color="auto"/>
                    <w:right w:val="none" w:sz="0" w:space="0" w:color="auto"/>
                  </w:divBdr>
                  <w:divsChild>
                    <w:div w:id="57004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2788825">
          <w:marLeft w:val="0"/>
          <w:marRight w:val="0"/>
          <w:marTop w:val="0"/>
          <w:marBottom w:val="0"/>
          <w:divBdr>
            <w:top w:val="single" w:sz="6" w:space="0" w:color="234E17"/>
            <w:left w:val="single" w:sz="2" w:space="0" w:color="234E17"/>
            <w:bottom w:val="single" w:sz="6" w:space="0" w:color="234E17"/>
            <w:right w:val="single" w:sz="2" w:space="0" w:color="234E17"/>
          </w:divBdr>
          <w:divsChild>
            <w:div w:id="376247782">
              <w:marLeft w:val="0"/>
              <w:marRight w:val="0"/>
              <w:marTop w:val="0"/>
              <w:marBottom w:val="0"/>
              <w:divBdr>
                <w:top w:val="none" w:sz="0" w:space="0" w:color="auto"/>
                <w:left w:val="none" w:sz="0" w:space="0" w:color="auto"/>
                <w:bottom w:val="none" w:sz="0" w:space="0" w:color="auto"/>
                <w:right w:val="none" w:sz="0" w:space="0" w:color="auto"/>
              </w:divBdr>
              <w:divsChild>
                <w:div w:id="508178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146290">
          <w:marLeft w:val="0"/>
          <w:marRight w:val="0"/>
          <w:marTop w:val="0"/>
          <w:marBottom w:val="0"/>
          <w:divBdr>
            <w:top w:val="none" w:sz="0" w:space="0" w:color="auto"/>
            <w:left w:val="none" w:sz="0" w:space="0" w:color="auto"/>
            <w:bottom w:val="none" w:sz="0" w:space="0" w:color="auto"/>
            <w:right w:val="none" w:sz="0" w:space="0" w:color="auto"/>
          </w:divBdr>
          <w:divsChild>
            <w:div w:id="230896868">
              <w:marLeft w:val="0"/>
              <w:marRight w:val="0"/>
              <w:marTop w:val="0"/>
              <w:marBottom w:val="0"/>
              <w:divBdr>
                <w:top w:val="none" w:sz="0" w:space="0" w:color="auto"/>
                <w:left w:val="none" w:sz="0" w:space="0" w:color="auto"/>
                <w:bottom w:val="none" w:sz="0" w:space="0" w:color="auto"/>
                <w:right w:val="none" w:sz="0" w:space="0" w:color="auto"/>
              </w:divBdr>
              <w:divsChild>
                <w:div w:id="1836796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626806">
          <w:marLeft w:val="0"/>
          <w:marRight w:val="0"/>
          <w:marTop w:val="0"/>
          <w:marBottom w:val="0"/>
          <w:divBdr>
            <w:top w:val="none" w:sz="0" w:space="0" w:color="auto"/>
            <w:left w:val="none" w:sz="0" w:space="0" w:color="auto"/>
            <w:bottom w:val="none" w:sz="0" w:space="0" w:color="auto"/>
            <w:right w:val="none" w:sz="0" w:space="0" w:color="auto"/>
          </w:divBdr>
          <w:divsChild>
            <w:div w:id="1472139024">
              <w:marLeft w:val="0"/>
              <w:marRight w:val="0"/>
              <w:marTop w:val="0"/>
              <w:marBottom w:val="0"/>
              <w:divBdr>
                <w:top w:val="none" w:sz="0" w:space="0" w:color="auto"/>
                <w:left w:val="none" w:sz="0" w:space="0" w:color="auto"/>
                <w:bottom w:val="none" w:sz="0" w:space="0" w:color="auto"/>
                <w:right w:val="none" w:sz="0" w:space="0" w:color="auto"/>
              </w:divBdr>
            </w:div>
          </w:divsChild>
        </w:div>
        <w:div w:id="1164514479">
          <w:marLeft w:val="0"/>
          <w:marRight w:val="0"/>
          <w:marTop w:val="0"/>
          <w:marBottom w:val="0"/>
          <w:divBdr>
            <w:top w:val="none" w:sz="0" w:space="0" w:color="auto"/>
            <w:left w:val="none" w:sz="0" w:space="0" w:color="auto"/>
            <w:bottom w:val="none" w:sz="0" w:space="0" w:color="auto"/>
            <w:right w:val="none" w:sz="0" w:space="0" w:color="auto"/>
          </w:divBdr>
          <w:divsChild>
            <w:div w:id="883447789">
              <w:marLeft w:val="0"/>
              <w:marRight w:val="0"/>
              <w:marTop w:val="0"/>
              <w:marBottom w:val="0"/>
              <w:divBdr>
                <w:top w:val="none" w:sz="0" w:space="0" w:color="auto"/>
                <w:left w:val="none" w:sz="0" w:space="0" w:color="auto"/>
                <w:bottom w:val="none" w:sz="0" w:space="0" w:color="auto"/>
                <w:right w:val="none" w:sz="0" w:space="0" w:color="auto"/>
              </w:divBdr>
              <w:divsChild>
                <w:div w:id="1545560900">
                  <w:marLeft w:val="0"/>
                  <w:marRight w:val="0"/>
                  <w:marTop w:val="0"/>
                  <w:marBottom w:val="0"/>
                  <w:divBdr>
                    <w:top w:val="none" w:sz="0" w:space="0" w:color="auto"/>
                    <w:left w:val="none" w:sz="0" w:space="0" w:color="auto"/>
                    <w:bottom w:val="none" w:sz="0" w:space="0" w:color="auto"/>
                    <w:right w:val="none" w:sz="0" w:space="0" w:color="auto"/>
                  </w:divBdr>
                  <w:divsChild>
                    <w:div w:id="1275552143">
                      <w:marLeft w:val="0"/>
                      <w:marRight w:val="0"/>
                      <w:marTop w:val="0"/>
                      <w:marBottom w:val="0"/>
                      <w:divBdr>
                        <w:top w:val="none" w:sz="0" w:space="0" w:color="auto"/>
                        <w:left w:val="none" w:sz="0" w:space="0" w:color="auto"/>
                        <w:bottom w:val="none" w:sz="0" w:space="0" w:color="auto"/>
                        <w:right w:val="none" w:sz="0" w:space="0" w:color="auto"/>
                      </w:divBdr>
                      <w:divsChild>
                        <w:div w:id="1973555336">
                          <w:marLeft w:val="0"/>
                          <w:marRight w:val="0"/>
                          <w:marTop w:val="0"/>
                          <w:marBottom w:val="0"/>
                          <w:divBdr>
                            <w:top w:val="none" w:sz="0" w:space="0" w:color="auto"/>
                            <w:left w:val="none" w:sz="0" w:space="0" w:color="auto"/>
                            <w:bottom w:val="none" w:sz="0" w:space="0" w:color="auto"/>
                            <w:right w:val="none" w:sz="0" w:space="0" w:color="auto"/>
                          </w:divBdr>
                          <w:divsChild>
                            <w:div w:id="71670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316271">
                      <w:marLeft w:val="0"/>
                      <w:marRight w:val="0"/>
                      <w:marTop w:val="0"/>
                      <w:marBottom w:val="0"/>
                      <w:divBdr>
                        <w:top w:val="none" w:sz="0" w:space="0" w:color="auto"/>
                        <w:left w:val="none" w:sz="0" w:space="0" w:color="auto"/>
                        <w:bottom w:val="single" w:sz="6" w:space="0" w:color="ECECEC"/>
                        <w:right w:val="none" w:sz="0" w:space="0" w:color="auto"/>
                      </w:divBdr>
                    </w:div>
                  </w:divsChild>
                </w:div>
                <w:div w:id="1708333082">
                  <w:marLeft w:val="0"/>
                  <w:marRight w:val="0"/>
                  <w:marTop w:val="0"/>
                  <w:marBottom w:val="0"/>
                  <w:divBdr>
                    <w:top w:val="none" w:sz="0" w:space="0" w:color="auto"/>
                    <w:left w:val="none" w:sz="0" w:space="0" w:color="auto"/>
                    <w:bottom w:val="none" w:sz="0" w:space="0" w:color="auto"/>
                    <w:right w:val="none" w:sz="0" w:space="0" w:color="auto"/>
                  </w:divBdr>
                  <w:divsChild>
                    <w:div w:id="1019697441">
                      <w:marLeft w:val="0"/>
                      <w:marRight w:val="0"/>
                      <w:marTop w:val="0"/>
                      <w:marBottom w:val="0"/>
                      <w:divBdr>
                        <w:top w:val="none" w:sz="0" w:space="0" w:color="auto"/>
                        <w:left w:val="none" w:sz="0" w:space="0" w:color="auto"/>
                        <w:bottom w:val="none" w:sz="0" w:space="0" w:color="auto"/>
                        <w:right w:val="none" w:sz="0" w:space="0" w:color="auto"/>
                      </w:divBdr>
                      <w:divsChild>
                        <w:div w:id="460148246">
                          <w:marLeft w:val="0"/>
                          <w:marRight w:val="0"/>
                          <w:marTop w:val="0"/>
                          <w:marBottom w:val="0"/>
                          <w:divBdr>
                            <w:top w:val="none" w:sz="0" w:space="0" w:color="auto"/>
                            <w:left w:val="none" w:sz="0" w:space="0" w:color="auto"/>
                            <w:bottom w:val="none" w:sz="0" w:space="0" w:color="auto"/>
                            <w:right w:val="none" w:sz="0" w:space="0" w:color="auto"/>
                          </w:divBdr>
                        </w:div>
                      </w:divsChild>
                    </w:div>
                    <w:div w:id="152452327">
                      <w:marLeft w:val="0"/>
                      <w:marRight w:val="0"/>
                      <w:marTop w:val="0"/>
                      <w:marBottom w:val="0"/>
                      <w:divBdr>
                        <w:top w:val="none" w:sz="0" w:space="0" w:color="auto"/>
                        <w:left w:val="none" w:sz="0" w:space="0" w:color="auto"/>
                        <w:bottom w:val="none" w:sz="0" w:space="0" w:color="auto"/>
                        <w:right w:val="none" w:sz="0" w:space="0" w:color="auto"/>
                      </w:divBdr>
                    </w:div>
                    <w:div w:id="707485598">
                      <w:marLeft w:val="0"/>
                      <w:marRight w:val="0"/>
                      <w:marTop w:val="0"/>
                      <w:marBottom w:val="0"/>
                      <w:divBdr>
                        <w:top w:val="none" w:sz="0" w:space="0" w:color="auto"/>
                        <w:left w:val="none" w:sz="0" w:space="0" w:color="auto"/>
                        <w:bottom w:val="none" w:sz="0" w:space="0" w:color="auto"/>
                        <w:right w:val="none" w:sz="0" w:space="0" w:color="auto"/>
                      </w:divBdr>
                      <w:divsChild>
                        <w:div w:id="25638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5783903">
      <w:bodyDiv w:val="1"/>
      <w:marLeft w:val="0"/>
      <w:marRight w:val="0"/>
      <w:marTop w:val="0"/>
      <w:marBottom w:val="0"/>
      <w:divBdr>
        <w:top w:val="none" w:sz="0" w:space="0" w:color="auto"/>
        <w:left w:val="none" w:sz="0" w:space="0" w:color="auto"/>
        <w:bottom w:val="none" w:sz="0" w:space="0" w:color="auto"/>
        <w:right w:val="none" w:sz="0" w:space="0" w:color="auto"/>
      </w:divBdr>
    </w:div>
    <w:div w:id="2145848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9B906A-4F77-4400-9004-B3788E3ED8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TotalTime>
  <Pages>7</Pages>
  <Words>2609</Words>
  <Characters>14354</Characters>
  <Application>Microsoft Office Word</Application>
  <DocSecurity>0</DocSecurity>
  <Lines>119</Lines>
  <Paragraphs>33</Paragraphs>
  <ScaleCrop>false</ScaleCrop>
  <HeadingPairs>
    <vt:vector size="2" baseType="variant">
      <vt:variant>
        <vt:lpstr>Título</vt:lpstr>
      </vt:variant>
      <vt:variant>
        <vt:i4>1</vt:i4>
      </vt:variant>
    </vt:vector>
  </HeadingPairs>
  <TitlesOfParts>
    <vt:vector size="1" baseType="lpstr">
      <vt:lpstr/>
    </vt:vector>
  </TitlesOfParts>
  <Company> </Company>
  <LinksUpToDate>false</LinksUpToDate>
  <CharactersWithSpaces>16930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VOSTRO</dc:creator>
  <cp:lastModifiedBy>Diego Fernando Betancour Palacios</cp:lastModifiedBy>
  <cp:revision>70</cp:revision>
  <dcterms:created xsi:type="dcterms:W3CDTF">2021-12-23T04:19:00Z</dcterms:created>
  <dcterms:modified xsi:type="dcterms:W3CDTF">2021-12-23T05:32:00Z</dcterms:modified>
</cp:coreProperties>
</file>