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39DA7" w14:textId="77777777" w:rsidR="00166343" w:rsidRPr="007F09C3" w:rsidRDefault="00166343" w:rsidP="007F09C3">
      <w:pPr>
        <w:pStyle w:val="Prrafodelista"/>
        <w:numPr>
          <w:ilvl w:val="0"/>
          <w:numId w:val="1"/>
        </w:numPr>
        <w:shd w:val="clear" w:color="auto" w:fill="385623" w:themeFill="accent6" w:themeFillShade="80"/>
        <w:ind w:right="48"/>
        <w:contextualSpacing/>
        <w:jc w:val="center"/>
        <w:rPr>
          <w:rFonts w:ascii="Arial Narrow" w:hAnsi="Arial Narrow"/>
          <w:b/>
          <w:color w:val="FFFFFF" w:themeColor="background1"/>
          <w:sz w:val="24"/>
          <w:szCs w:val="24"/>
        </w:rPr>
      </w:pPr>
      <w:r w:rsidRPr="007F09C3">
        <w:rPr>
          <w:rFonts w:ascii="Arial Narrow" w:hAnsi="Arial Narrow" w:cs="Calibri"/>
          <w:b/>
          <w:color w:val="FFFFFF" w:themeColor="background1"/>
          <w:sz w:val="24"/>
          <w:szCs w:val="24"/>
          <w:lang w:val="es-CO"/>
        </w:rPr>
        <w:t>ANÁLISIS DE COYUNTURA</w:t>
      </w:r>
    </w:p>
    <w:p w14:paraId="7DC3D92B" w14:textId="77777777" w:rsidR="00166343" w:rsidRPr="007F09C3" w:rsidRDefault="00166343" w:rsidP="007F09C3">
      <w:pPr>
        <w:jc w:val="both"/>
        <w:rPr>
          <w:rFonts w:ascii="Arial Narrow" w:hAnsi="Arial Narrow"/>
          <w:sz w:val="24"/>
          <w:szCs w:val="24"/>
        </w:rPr>
      </w:pPr>
    </w:p>
    <w:p w14:paraId="4AC1E47F" w14:textId="3631E6B4" w:rsidR="000D4473" w:rsidRPr="007F09C3" w:rsidRDefault="00CB3F0B"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Luego de una contracción económica en 2020 de -6,8%</w:t>
      </w:r>
      <w:r w:rsidR="000271B4" w:rsidRPr="007F09C3">
        <w:rPr>
          <w:rFonts w:ascii="Arial Narrow" w:hAnsi="Arial Narrow"/>
          <w:color w:val="333333"/>
        </w:rPr>
        <w:t>,</w:t>
      </w:r>
      <w:r w:rsidRPr="007F09C3">
        <w:rPr>
          <w:rFonts w:ascii="Arial Narrow" w:hAnsi="Arial Narrow"/>
          <w:color w:val="333333"/>
        </w:rPr>
        <w:t xml:space="preserve"> el rebote de la economía en 2021 apunta a un crecimiento económico cercano al 10% y las proyecciones de la encuesta de expectativas de Analistas Económicos EME del Banco de la República del mes de enero de 2022</w:t>
      </w:r>
      <w:r w:rsidRPr="007F09C3">
        <w:rPr>
          <w:rStyle w:val="Refdenotaalpie"/>
          <w:rFonts w:ascii="Arial Narrow" w:hAnsi="Arial Narrow"/>
          <w:color w:val="333333"/>
        </w:rPr>
        <w:footnoteReference w:id="1"/>
      </w:r>
      <w:r w:rsidRPr="007F09C3">
        <w:rPr>
          <w:rFonts w:ascii="Arial Narrow" w:hAnsi="Arial Narrow"/>
          <w:color w:val="333333"/>
        </w:rPr>
        <w:t xml:space="preserve"> apuntan a una media de crecimiento económico para el 2022 de 4,26%.</w:t>
      </w:r>
    </w:p>
    <w:p w14:paraId="0E89CFF5" w14:textId="277E97A7" w:rsidR="00CB3F0B" w:rsidRPr="007F09C3" w:rsidRDefault="00CB3F0B" w:rsidP="007F09C3">
      <w:pPr>
        <w:pStyle w:val="parrafo"/>
        <w:spacing w:before="0" w:beforeAutospacing="0" w:after="0" w:afterAutospacing="0"/>
        <w:jc w:val="both"/>
        <w:textAlignment w:val="baseline"/>
        <w:rPr>
          <w:rFonts w:ascii="Arial Narrow" w:hAnsi="Arial Narrow"/>
          <w:color w:val="333333"/>
        </w:rPr>
      </w:pPr>
    </w:p>
    <w:p w14:paraId="1C4D6C76" w14:textId="47529D1C" w:rsidR="0091129E" w:rsidRPr="007F09C3" w:rsidRDefault="00CB3F0B"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Así las cosas, a medida que avanza la vacunación se reactivan todos los sectores económicos con aforos </w:t>
      </w:r>
      <w:r w:rsidR="0091129E" w:rsidRPr="007F09C3">
        <w:rPr>
          <w:rFonts w:ascii="Arial Narrow" w:hAnsi="Arial Narrow"/>
          <w:color w:val="333333"/>
        </w:rPr>
        <w:t xml:space="preserve">inclusive </w:t>
      </w:r>
      <w:r w:rsidRPr="007F09C3">
        <w:rPr>
          <w:rFonts w:ascii="Arial Narrow" w:hAnsi="Arial Narrow"/>
          <w:color w:val="333333"/>
        </w:rPr>
        <w:t>del 100% para espectáculos y establecimientos públicos</w:t>
      </w:r>
      <w:r w:rsidR="0091129E" w:rsidRPr="007F09C3">
        <w:rPr>
          <w:rFonts w:ascii="Arial Narrow" w:hAnsi="Arial Narrow"/>
          <w:color w:val="333333"/>
        </w:rPr>
        <w:t xml:space="preserve"> y</w:t>
      </w:r>
      <w:r w:rsidR="00D7240E" w:rsidRPr="007F09C3">
        <w:rPr>
          <w:rFonts w:ascii="Arial Narrow" w:hAnsi="Arial Narrow"/>
          <w:color w:val="333333"/>
        </w:rPr>
        <w:t xml:space="preserve"> aún a pesar de las nuevas variantes, poco a poco el panorama en general mejora, sobre todo para el empleo </w:t>
      </w:r>
      <w:r w:rsidR="0091129E" w:rsidRPr="007F09C3">
        <w:rPr>
          <w:rFonts w:ascii="Arial Narrow" w:hAnsi="Arial Narrow"/>
          <w:color w:val="333333"/>
        </w:rPr>
        <w:t xml:space="preserve">cuya tasa desestacionalizada cierra 2021 en 12,7% para las 13 principales ciudades frente al 16,7% observado al cierre del año 2020 recuperándose frente al máximo alcanzado de 24,5% en julio de 2020 pero todavía superior al 11,3% de diciembre de 2019.  </w:t>
      </w:r>
    </w:p>
    <w:p w14:paraId="6D9FC2DA" w14:textId="77777777" w:rsidR="0091129E" w:rsidRPr="007F09C3" w:rsidRDefault="0091129E" w:rsidP="007F09C3">
      <w:pPr>
        <w:pStyle w:val="parrafo"/>
        <w:spacing w:before="0" w:beforeAutospacing="0" w:after="0" w:afterAutospacing="0"/>
        <w:jc w:val="both"/>
        <w:textAlignment w:val="baseline"/>
        <w:rPr>
          <w:rFonts w:ascii="Arial Narrow" w:hAnsi="Arial Narrow"/>
          <w:color w:val="333333"/>
        </w:rPr>
      </w:pPr>
    </w:p>
    <w:p w14:paraId="4684B417" w14:textId="4186032D" w:rsidR="00DC33BC" w:rsidRPr="007F09C3" w:rsidRDefault="0091129E"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La informalidad </w:t>
      </w:r>
      <w:r w:rsidR="00DC33BC" w:rsidRPr="007F09C3">
        <w:rPr>
          <w:rFonts w:ascii="Arial Narrow" w:hAnsi="Arial Narrow"/>
          <w:color w:val="333333"/>
        </w:rPr>
        <w:t xml:space="preserve">que afecta casi a la mitad de los colombianos ocupados </w:t>
      </w:r>
      <w:r w:rsidRPr="007F09C3">
        <w:rPr>
          <w:rFonts w:ascii="Arial Narrow" w:hAnsi="Arial Narrow"/>
          <w:color w:val="333333"/>
        </w:rPr>
        <w:t>sin embargo</w:t>
      </w:r>
      <w:r w:rsidR="000271B4" w:rsidRPr="007F09C3">
        <w:rPr>
          <w:rFonts w:ascii="Arial Narrow" w:hAnsi="Arial Narrow"/>
          <w:color w:val="333333"/>
        </w:rPr>
        <w:t>,</w:t>
      </w:r>
      <w:r w:rsidRPr="007F09C3">
        <w:rPr>
          <w:rFonts w:ascii="Arial Narrow" w:hAnsi="Arial Narrow"/>
          <w:color w:val="333333"/>
        </w:rPr>
        <w:t xml:space="preserve"> sigue siendo el </w:t>
      </w:r>
      <w:r w:rsidR="00DC33BC" w:rsidRPr="007F09C3">
        <w:rPr>
          <w:rFonts w:ascii="Arial Narrow" w:hAnsi="Arial Narrow"/>
          <w:color w:val="333333"/>
        </w:rPr>
        <w:t>gran lunar estructural del empleo y el reciente aumento del salario mínimo del 10%</w:t>
      </w:r>
      <w:r w:rsidR="000271B4" w:rsidRPr="007F09C3">
        <w:rPr>
          <w:rFonts w:ascii="Arial Narrow" w:hAnsi="Arial Narrow"/>
          <w:color w:val="333333"/>
        </w:rPr>
        <w:t>,</w:t>
      </w:r>
      <w:r w:rsidR="00DC33BC" w:rsidRPr="007F09C3">
        <w:rPr>
          <w:rFonts w:ascii="Arial Narrow" w:hAnsi="Arial Narrow"/>
          <w:color w:val="333333"/>
        </w:rPr>
        <w:t xml:space="preserve"> así como la reducción de la jornada laboral de 48 a 42 horas semanales</w:t>
      </w:r>
      <w:r w:rsidR="000271B4" w:rsidRPr="007F09C3">
        <w:rPr>
          <w:rFonts w:ascii="Arial Narrow" w:hAnsi="Arial Narrow"/>
          <w:color w:val="333333"/>
        </w:rPr>
        <w:t>,</w:t>
      </w:r>
      <w:r w:rsidR="00DC33BC" w:rsidRPr="007F09C3">
        <w:rPr>
          <w:rFonts w:ascii="Arial Narrow" w:hAnsi="Arial Narrow"/>
          <w:color w:val="333333"/>
        </w:rPr>
        <w:t xml:space="preserve"> hace pensar que el panorama podría no cambiar en el corto plazo</w:t>
      </w:r>
      <w:r w:rsidR="000271B4" w:rsidRPr="007F09C3">
        <w:rPr>
          <w:rFonts w:ascii="Arial Narrow" w:hAnsi="Arial Narrow"/>
          <w:color w:val="333333"/>
        </w:rPr>
        <w:t>,</w:t>
      </w:r>
      <w:r w:rsidR="00DC33BC" w:rsidRPr="007F09C3">
        <w:rPr>
          <w:rFonts w:ascii="Arial Narrow" w:hAnsi="Arial Narrow"/>
          <w:color w:val="333333"/>
        </w:rPr>
        <w:t xml:space="preserve"> como lo ratifica la encuesta citada precedentemente del Banco de la República</w:t>
      </w:r>
      <w:r w:rsidR="000271B4" w:rsidRPr="007F09C3">
        <w:rPr>
          <w:rFonts w:ascii="Arial Narrow" w:hAnsi="Arial Narrow"/>
          <w:color w:val="333333"/>
        </w:rPr>
        <w:t>,</w:t>
      </w:r>
      <w:r w:rsidR="00DC33BC" w:rsidRPr="007F09C3">
        <w:rPr>
          <w:rFonts w:ascii="Arial Narrow" w:hAnsi="Arial Narrow"/>
          <w:color w:val="333333"/>
        </w:rPr>
        <w:t xml:space="preserve"> que le apunta a un promedio de 11,30% de desempleo al cierre del IV trimestre de 2022y del 10,98% en el III trimestre de 2023</w:t>
      </w:r>
    </w:p>
    <w:p w14:paraId="3E8C9778" w14:textId="6BFDB630" w:rsidR="00CB3F0B" w:rsidRPr="007F09C3" w:rsidRDefault="00CB3F0B" w:rsidP="007F09C3">
      <w:pPr>
        <w:pStyle w:val="parrafo"/>
        <w:spacing w:before="0" w:beforeAutospacing="0" w:after="0" w:afterAutospacing="0"/>
        <w:jc w:val="both"/>
        <w:textAlignment w:val="baseline"/>
        <w:rPr>
          <w:rFonts w:ascii="Arial Narrow" w:hAnsi="Arial Narrow"/>
          <w:color w:val="333333"/>
        </w:rPr>
      </w:pPr>
    </w:p>
    <w:p w14:paraId="2E070287" w14:textId="0C3D08D8" w:rsidR="00DC33BC" w:rsidRPr="007F09C3" w:rsidRDefault="00DC33BC"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Sin embargo, la principal preocupación macroeconómica tiene que ver en el corto plazo con la inflación y las elecciones presidenciales.</w:t>
      </w:r>
      <w:r w:rsidR="006945EB" w:rsidRPr="007F09C3">
        <w:rPr>
          <w:rFonts w:ascii="Arial Narrow" w:hAnsi="Arial Narrow"/>
          <w:color w:val="333333"/>
        </w:rPr>
        <w:t xml:space="preserve">  </w:t>
      </w:r>
      <w:r w:rsidR="00266AD8" w:rsidRPr="007F09C3">
        <w:rPr>
          <w:rFonts w:ascii="Arial Narrow" w:hAnsi="Arial Narrow"/>
          <w:color w:val="333333"/>
        </w:rPr>
        <w:t>La meta de largo plazo del Banco de la República en materia de inflación se mueve en un rango de 2-4% con una meta de 3% como rango medio.  En el periodo 01-08 el promedio anual de inflación fue 6,17% el cual descendió en los 6 años siguientes al 2,82%, así que las cosas iban por buen camino hasta el paro camionero, el verano y la disparada del dólar durante el año 2015 que llevó la inflación fuera del rango meta al 6,77% ese año y 5,75% para el 2016.  Del 2017 al 2019 las cosas volvieron a la normalidad</w:t>
      </w:r>
      <w:r w:rsidR="005C3F96" w:rsidRPr="007F09C3">
        <w:rPr>
          <w:rFonts w:ascii="Arial Narrow" w:hAnsi="Arial Narrow"/>
          <w:color w:val="333333"/>
        </w:rPr>
        <w:t xml:space="preserve"> con 3,69% promedio</w:t>
      </w:r>
      <w:r w:rsidR="000271B4" w:rsidRPr="007F09C3">
        <w:rPr>
          <w:rFonts w:ascii="Arial Narrow" w:hAnsi="Arial Narrow"/>
          <w:color w:val="333333"/>
        </w:rPr>
        <w:t>,</w:t>
      </w:r>
      <w:r w:rsidR="005C3F96" w:rsidRPr="007F09C3">
        <w:rPr>
          <w:rFonts w:ascii="Arial Narrow" w:hAnsi="Arial Narrow"/>
          <w:color w:val="333333"/>
        </w:rPr>
        <w:t xml:space="preserve"> pero la pandemia contrajo la demanda cayendo la inflación a 1,61% y el rebote económico del 2020 nuevamente la llevó a </w:t>
      </w:r>
      <w:r w:rsidR="0058163B" w:rsidRPr="007F09C3">
        <w:rPr>
          <w:rFonts w:ascii="Arial Narrow" w:hAnsi="Arial Narrow"/>
          <w:color w:val="333333"/>
        </w:rPr>
        <w:t xml:space="preserve">5,62% en 2021 </w:t>
      </w:r>
      <w:r w:rsidR="000271B4" w:rsidRPr="007F09C3">
        <w:rPr>
          <w:rFonts w:ascii="Arial Narrow" w:hAnsi="Arial Narrow"/>
          <w:color w:val="333333"/>
        </w:rPr>
        <w:t>mientras</w:t>
      </w:r>
      <w:r w:rsidR="0058163B" w:rsidRPr="007F09C3">
        <w:rPr>
          <w:rFonts w:ascii="Arial Narrow" w:hAnsi="Arial Narrow"/>
          <w:color w:val="333333"/>
        </w:rPr>
        <w:t xml:space="preserve"> las proyecciones de los analistas económicos apuntan a una media del 4,63% y 3,41% para </w:t>
      </w:r>
      <w:r w:rsidR="000271B4" w:rsidRPr="007F09C3">
        <w:rPr>
          <w:rFonts w:ascii="Arial Narrow" w:hAnsi="Arial Narrow"/>
          <w:color w:val="333333"/>
        </w:rPr>
        <w:t>2022 y 2023 respectivamente</w:t>
      </w:r>
      <w:r w:rsidR="0058163B" w:rsidRPr="007F09C3">
        <w:rPr>
          <w:rFonts w:ascii="Arial Narrow" w:hAnsi="Arial Narrow"/>
          <w:color w:val="333333"/>
        </w:rPr>
        <w:t>.</w:t>
      </w:r>
    </w:p>
    <w:p w14:paraId="14DC0140" w14:textId="5728A57A" w:rsidR="0058163B" w:rsidRPr="007F09C3" w:rsidRDefault="0058163B" w:rsidP="007F09C3">
      <w:pPr>
        <w:pStyle w:val="parrafo"/>
        <w:spacing w:before="0" w:beforeAutospacing="0" w:after="0" w:afterAutospacing="0"/>
        <w:jc w:val="both"/>
        <w:textAlignment w:val="baseline"/>
        <w:rPr>
          <w:rFonts w:ascii="Arial Narrow" w:hAnsi="Arial Narrow"/>
          <w:color w:val="333333"/>
        </w:rPr>
      </w:pPr>
    </w:p>
    <w:p w14:paraId="4D61201F" w14:textId="5C73B40C" w:rsidR="0058163B" w:rsidRPr="007F09C3" w:rsidRDefault="000271B4"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La</w:t>
      </w:r>
      <w:r w:rsidR="0058163B" w:rsidRPr="007F09C3">
        <w:rPr>
          <w:rFonts w:ascii="Arial Narrow" w:hAnsi="Arial Narrow"/>
          <w:color w:val="333333"/>
        </w:rPr>
        <w:t xml:space="preserve"> inflación sin embargo, no obedece exclusivamente a causas locales como el aumento del salario mínimo del 10% y el encarecimiento del dólar entre otras</w:t>
      </w:r>
      <w:r w:rsidRPr="007F09C3">
        <w:rPr>
          <w:rFonts w:ascii="Arial Narrow" w:hAnsi="Arial Narrow"/>
          <w:color w:val="333333"/>
        </w:rPr>
        <w:t>, ni</w:t>
      </w:r>
      <w:r w:rsidR="0058163B" w:rsidRPr="007F09C3">
        <w:rPr>
          <w:rFonts w:ascii="Arial Narrow" w:hAnsi="Arial Narrow"/>
          <w:color w:val="333333"/>
        </w:rPr>
        <w:t xml:space="preserve"> por la incertidumbre frente al modelo económico y las elecciones presidenciales de 2022 (El precio promedio del dólar durante enero de 2022 fue de casi $4.000 y durante 2021 fue de $3.743 aumentando de manera constante cada año desde su piso histórico de $1.798 durante 2012</w:t>
      </w:r>
      <w:r w:rsidR="00E724A8" w:rsidRPr="007F09C3">
        <w:rPr>
          <w:rFonts w:ascii="Arial Narrow" w:hAnsi="Arial Narrow"/>
          <w:color w:val="333333"/>
        </w:rPr>
        <w:t xml:space="preserve"> aunque se pronostica una TRM de $3.827 para finales de 2022 y de $3.746 a finales de 2023</w:t>
      </w:r>
      <w:r w:rsidR="0058163B" w:rsidRPr="007F09C3">
        <w:rPr>
          <w:rFonts w:ascii="Arial Narrow" w:hAnsi="Arial Narrow"/>
          <w:color w:val="333333"/>
        </w:rPr>
        <w:t xml:space="preserve">), sino que obedecen a restricciones en el comercio mundial derivadas de la escasez de algunas  materias primas y </w:t>
      </w:r>
      <w:r w:rsidRPr="007F09C3">
        <w:rPr>
          <w:rFonts w:ascii="Arial Narrow" w:hAnsi="Arial Narrow"/>
          <w:color w:val="333333"/>
        </w:rPr>
        <w:t xml:space="preserve">de </w:t>
      </w:r>
      <w:r w:rsidR="0058163B" w:rsidRPr="007F09C3">
        <w:rPr>
          <w:rFonts w:ascii="Arial Narrow" w:hAnsi="Arial Narrow"/>
          <w:color w:val="333333"/>
        </w:rPr>
        <w:t>contenedores.</w:t>
      </w:r>
    </w:p>
    <w:p w14:paraId="4805DA96" w14:textId="239F8BF4" w:rsidR="0058163B" w:rsidRPr="007F09C3" w:rsidRDefault="0058163B" w:rsidP="007F09C3">
      <w:pPr>
        <w:pStyle w:val="parrafo"/>
        <w:spacing w:before="0" w:beforeAutospacing="0" w:after="0" w:afterAutospacing="0"/>
        <w:jc w:val="both"/>
        <w:textAlignment w:val="baseline"/>
        <w:rPr>
          <w:rFonts w:ascii="Arial Narrow" w:hAnsi="Arial Narrow"/>
          <w:color w:val="333333"/>
        </w:rPr>
      </w:pPr>
    </w:p>
    <w:p w14:paraId="67BEBEBF" w14:textId="77777777" w:rsidR="000271B4" w:rsidRPr="007F09C3" w:rsidRDefault="0058163B"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En todo caso el Banco </w:t>
      </w:r>
      <w:r w:rsidR="00B0253A" w:rsidRPr="007F09C3">
        <w:rPr>
          <w:rFonts w:ascii="Arial Narrow" w:hAnsi="Arial Narrow"/>
          <w:color w:val="333333"/>
        </w:rPr>
        <w:t>de la república</w:t>
      </w:r>
      <w:r w:rsidR="000271B4" w:rsidRPr="007F09C3">
        <w:rPr>
          <w:rFonts w:ascii="Arial Narrow" w:hAnsi="Arial Narrow"/>
          <w:color w:val="333333"/>
        </w:rPr>
        <w:t>,</w:t>
      </w:r>
      <w:r w:rsidR="00B0253A" w:rsidRPr="007F09C3">
        <w:rPr>
          <w:rFonts w:ascii="Arial Narrow" w:hAnsi="Arial Narrow"/>
          <w:color w:val="333333"/>
        </w:rPr>
        <w:t xml:space="preserve"> que había reducido aceleradamente su tasa desde el 4,25% en marzo de 2020 1,75% en octubre del mismo propiciando la caída de la DTF hasta el 1,7% en abril de 2021 y del IBR al mismo nivel en enero de 2021, ha iniciado una rápida corrección de su tasa de intervención comenzando en octubre de 2021 </w:t>
      </w:r>
      <w:r w:rsidR="000271B4" w:rsidRPr="007F09C3">
        <w:rPr>
          <w:rFonts w:ascii="Arial Narrow" w:hAnsi="Arial Narrow"/>
          <w:color w:val="333333"/>
        </w:rPr>
        <w:t>llegando inclusive</w:t>
      </w:r>
      <w:r w:rsidR="00B0253A" w:rsidRPr="007F09C3">
        <w:rPr>
          <w:rFonts w:ascii="Arial Narrow" w:hAnsi="Arial Narrow"/>
          <w:color w:val="333333"/>
        </w:rPr>
        <w:t xml:space="preserve"> en enero de 2022 </w:t>
      </w:r>
      <w:r w:rsidR="000271B4" w:rsidRPr="007F09C3">
        <w:rPr>
          <w:rFonts w:ascii="Arial Narrow" w:hAnsi="Arial Narrow"/>
          <w:color w:val="333333"/>
        </w:rPr>
        <w:t xml:space="preserve">a incrementarla de una </w:t>
      </w:r>
      <w:r w:rsidR="00B0253A" w:rsidRPr="007F09C3">
        <w:rPr>
          <w:rFonts w:ascii="Arial Narrow" w:hAnsi="Arial Narrow"/>
          <w:color w:val="333333"/>
        </w:rPr>
        <w:t>vez del 3% al 4%</w:t>
      </w:r>
      <w:r w:rsidR="000271B4" w:rsidRPr="007F09C3">
        <w:rPr>
          <w:rFonts w:ascii="Arial Narrow" w:hAnsi="Arial Narrow"/>
          <w:color w:val="333333"/>
        </w:rPr>
        <w:t xml:space="preserve"> anual</w:t>
      </w:r>
      <w:r w:rsidR="00B0253A" w:rsidRPr="007F09C3">
        <w:rPr>
          <w:rFonts w:ascii="Arial Narrow" w:hAnsi="Arial Narrow"/>
          <w:color w:val="333333"/>
        </w:rPr>
        <w:t xml:space="preserve">.  </w:t>
      </w:r>
    </w:p>
    <w:p w14:paraId="2A76221F" w14:textId="77777777" w:rsidR="000271B4" w:rsidRPr="007F09C3" w:rsidRDefault="000271B4" w:rsidP="007F09C3">
      <w:pPr>
        <w:pStyle w:val="parrafo"/>
        <w:spacing w:before="0" w:beforeAutospacing="0" w:after="0" w:afterAutospacing="0"/>
        <w:jc w:val="both"/>
        <w:textAlignment w:val="baseline"/>
        <w:rPr>
          <w:rFonts w:ascii="Arial Narrow" w:hAnsi="Arial Narrow"/>
          <w:color w:val="333333"/>
        </w:rPr>
      </w:pPr>
    </w:p>
    <w:p w14:paraId="3AC8D2DA" w14:textId="1BA88154" w:rsidR="0058163B" w:rsidRPr="007F09C3" w:rsidRDefault="00B0253A"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Las expectativas de los principales analistas económicos de la encuesta del Banco de la República pronostican una tasa de intervención </w:t>
      </w:r>
      <w:r w:rsidR="000D42EA" w:rsidRPr="007F09C3">
        <w:rPr>
          <w:rFonts w:ascii="Arial Narrow" w:hAnsi="Arial Narrow"/>
          <w:color w:val="333333"/>
        </w:rPr>
        <w:t>que llegará a niveles del 5% para mediados del 2022 y podría llegar inclusive al 6% si la inflación no se contiene, niveles que se mantendrán estables inclusive hasta principios de 2024.</w:t>
      </w:r>
    </w:p>
    <w:p w14:paraId="4D24163B" w14:textId="7C75B87C" w:rsidR="000D42EA" w:rsidRPr="007F09C3" w:rsidRDefault="000D42EA" w:rsidP="007F09C3">
      <w:pPr>
        <w:pStyle w:val="parrafo"/>
        <w:spacing w:before="0" w:beforeAutospacing="0" w:after="0" w:afterAutospacing="0"/>
        <w:jc w:val="both"/>
        <w:textAlignment w:val="baseline"/>
        <w:rPr>
          <w:rFonts w:ascii="Arial Narrow" w:hAnsi="Arial Narrow"/>
          <w:color w:val="333333"/>
        </w:rPr>
      </w:pPr>
    </w:p>
    <w:p w14:paraId="1C6E6C57" w14:textId="77777777" w:rsidR="000271B4" w:rsidRPr="007F09C3" w:rsidRDefault="000D42EA"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Algunos consideran contraproducente el incremento de las tasas de interés por el esperado encarecimiento del crédito y los efectos negativos que pueda tener sobre la demanda interna, el crecimiento económico y la </w:t>
      </w:r>
      <w:r w:rsidRPr="007F09C3">
        <w:rPr>
          <w:rFonts w:ascii="Arial Narrow" w:hAnsi="Arial Narrow"/>
          <w:color w:val="333333"/>
        </w:rPr>
        <w:lastRenderedPageBreak/>
        <w:t xml:space="preserve">disminución del desempleo, sobre todo si se tiene en cuenta que la mayoría de las causas de dicha inflación son externas.  </w:t>
      </w:r>
    </w:p>
    <w:p w14:paraId="367B45EC" w14:textId="77777777" w:rsidR="000271B4" w:rsidRPr="007F09C3" w:rsidRDefault="000271B4" w:rsidP="007F09C3">
      <w:pPr>
        <w:pStyle w:val="parrafo"/>
        <w:spacing w:before="0" w:beforeAutospacing="0" w:after="0" w:afterAutospacing="0"/>
        <w:jc w:val="both"/>
        <w:textAlignment w:val="baseline"/>
        <w:rPr>
          <w:rFonts w:ascii="Arial Narrow" w:hAnsi="Arial Narrow"/>
          <w:color w:val="333333"/>
        </w:rPr>
      </w:pPr>
    </w:p>
    <w:p w14:paraId="4B337232" w14:textId="2902D6E7" w:rsidR="000D42EA" w:rsidRPr="007F09C3" w:rsidRDefault="000D42EA"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En todo caso, el IBR a 90 días ya se ubica cercan</w:t>
      </w:r>
      <w:r w:rsidR="000271B4" w:rsidRPr="007F09C3">
        <w:rPr>
          <w:rFonts w:ascii="Arial Narrow" w:hAnsi="Arial Narrow"/>
          <w:color w:val="333333"/>
        </w:rPr>
        <w:t>o</w:t>
      </w:r>
      <w:r w:rsidRPr="007F09C3">
        <w:rPr>
          <w:rFonts w:ascii="Arial Narrow" w:hAnsi="Arial Narrow"/>
          <w:color w:val="333333"/>
        </w:rPr>
        <w:t xml:space="preserve"> al 4,4% a inicios de febrero de 2022 así como la D</w:t>
      </w:r>
      <w:r w:rsidR="00E724A8" w:rsidRPr="007F09C3">
        <w:rPr>
          <w:rFonts w:ascii="Arial Narrow" w:hAnsi="Arial Narrow"/>
          <w:color w:val="333333"/>
        </w:rPr>
        <w:t>TF que llega a 3,54%</w:t>
      </w:r>
      <w:r w:rsidR="00E724A8" w:rsidRPr="007F09C3">
        <w:rPr>
          <w:rStyle w:val="Refdenotaalpie"/>
          <w:rFonts w:ascii="Arial Narrow" w:hAnsi="Arial Narrow"/>
          <w:color w:val="333333"/>
        </w:rPr>
        <w:footnoteReference w:id="2"/>
      </w:r>
      <w:r w:rsidR="000271B4" w:rsidRPr="007F09C3">
        <w:rPr>
          <w:rFonts w:ascii="Arial Narrow" w:hAnsi="Arial Narrow"/>
          <w:color w:val="333333"/>
        </w:rPr>
        <w:t>,</w:t>
      </w:r>
      <w:r w:rsidR="00E724A8" w:rsidRPr="007F09C3">
        <w:rPr>
          <w:rFonts w:ascii="Arial Narrow" w:hAnsi="Arial Narrow"/>
          <w:color w:val="333333"/>
        </w:rPr>
        <w:t xml:space="preserve"> aunque las tasas pasivas al 31 de enero de 2022 publicadas por la Superfinanciera</w:t>
      </w:r>
      <w:r w:rsidR="00E724A8" w:rsidRPr="007F09C3">
        <w:rPr>
          <w:rStyle w:val="Refdenotaalpie"/>
          <w:rFonts w:ascii="Arial Narrow" w:hAnsi="Arial Narrow"/>
          <w:color w:val="333333"/>
        </w:rPr>
        <w:footnoteReference w:id="3"/>
      </w:r>
      <w:r w:rsidR="000271B4" w:rsidRPr="007F09C3">
        <w:rPr>
          <w:rFonts w:ascii="Arial Narrow" w:hAnsi="Arial Narrow"/>
          <w:color w:val="333333"/>
        </w:rPr>
        <w:t>,</w:t>
      </w:r>
      <w:r w:rsidR="00E724A8" w:rsidRPr="007F09C3">
        <w:rPr>
          <w:rFonts w:ascii="Arial Narrow" w:hAnsi="Arial Narrow"/>
          <w:color w:val="333333"/>
        </w:rPr>
        <w:t xml:space="preserve"> muestran una oferta superior al 6% anual para CDT a un año en entidades como Banco de Bogotá y Occidente entre otros y una tasa promedio a ese plazo del 5,3% en 33 entidades.</w:t>
      </w:r>
    </w:p>
    <w:p w14:paraId="643392D7" w14:textId="29951F51" w:rsidR="00B36B1B" w:rsidRPr="007F09C3" w:rsidRDefault="00B36B1B" w:rsidP="007F09C3">
      <w:pPr>
        <w:pStyle w:val="parrafo"/>
        <w:spacing w:before="0" w:beforeAutospacing="0" w:after="0" w:afterAutospacing="0"/>
        <w:jc w:val="both"/>
        <w:textAlignment w:val="baseline"/>
        <w:rPr>
          <w:rFonts w:ascii="Arial Narrow" w:hAnsi="Arial Narrow"/>
          <w:color w:val="333333"/>
        </w:rPr>
      </w:pPr>
    </w:p>
    <w:p w14:paraId="58DF3EC4" w14:textId="0F62C178" w:rsidR="00B36B1B" w:rsidRPr="007F09C3" w:rsidRDefault="00B36B1B"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En conclusión se acabó el ciclo de tasas de interés bajas y poco a poco veremos como ya de hecho ocurre, el encarecimiento del crédito en todas las modalidades y del apalancamiento a través de ahorros y depósitos a término.</w:t>
      </w:r>
    </w:p>
    <w:p w14:paraId="18D7AC87" w14:textId="250283D9" w:rsidR="000D42EA" w:rsidRPr="007F09C3" w:rsidRDefault="000D42EA" w:rsidP="007F09C3">
      <w:pPr>
        <w:pStyle w:val="parrafo"/>
        <w:spacing w:before="0" w:beforeAutospacing="0" w:after="0" w:afterAutospacing="0"/>
        <w:jc w:val="both"/>
        <w:textAlignment w:val="baseline"/>
        <w:rPr>
          <w:rFonts w:ascii="Arial Narrow" w:hAnsi="Arial Narrow"/>
          <w:color w:val="333333"/>
        </w:rPr>
      </w:pPr>
    </w:p>
    <w:p w14:paraId="2355B9A9" w14:textId="5CCC38DA" w:rsidR="00BF745E" w:rsidRPr="007F09C3" w:rsidRDefault="00B36B1B" w:rsidP="007F09C3">
      <w:pPr>
        <w:pStyle w:val="Prrafodelista"/>
        <w:numPr>
          <w:ilvl w:val="0"/>
          <w:numId w:val="1"/>
        </w:numPr>
        <w:shd w:val="clear" w:color="auto" w:fill="385623" w:themeFill="accent6" w:themeFillShade="80"/>
        <w:ind w:right="48"/>
        <w:contextualSpacing/>
        <w:jc w:val="center"/>
        <w:rPr>
          <w:rFonts w:ascii="Arial Narrow" w:hAnsi="Arial Narrow" w:cs="Calibri"/>
          <w:b/>
          <w:color w:val="FFFFFF" w:themeColor="background1"/>
          <w:sz w:val="24"/>
          <w:szCs w:val="24"/>
          <w:lang w:val="es-CO"/>
        </w:rPr>
      </w:pPr>
      <w:r w:rsidRPr="007F09C3">
        <w:rPr>
          <w:rFonts w:ascii="Arial Narrow" w:hAnsi="Arial Narrow" w:cs="Calibri"/>
          <w:b/>
          <w:color w:val="FFFFFF" w:themeColor="background1"/>
          <w:sz w:val="24"/>
          <w:szCs w:val="24"/>
          <w:lang w:val="es-CO"/>
        </w:rPr>
        <w:t>COOPERATIVAS CON ACTIVIDAD FINANCIERA</w:t>
      </w:r>
    </w:p>
    <w:p w14:paraId="2AC04BD5" w14:textId="21ADF636" w:rsidR="00BF745E" w:rsidRPr="007F09C3" w:rsidRDefault="00BF745E" w:rsidP="007F09C3">
      <w:pPr>
        <w:pStyle w:val="parrafo"/>
        <w:spacing w:before="0" w:beforeAutospacing="0" w:after="0" w:afterAutospacing="0"/>
        <w:jc w:val="both"/>
        <w:textAlignment w:val="baseline"/>
        <w:rPr>
          <w:rFonts w:ascii="Arial Narrow" w:hAnsi="Arial Narrow"/>
          <w:color w:val="333333"/>
        </w:rPr>
      </w:pPr>
    </w:p>
    <w:p w14:paraId="73DDDE85" w14:textId="24EE3F94" w:rsidR="00E4447A" w:rsidRPr="007F09C3" w:rsidRDefault="00B36B1B"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El crecimiento promedio del activo de las 176 cooperativas con actividad financiera </w:t>
      </w:r>
      <w:r w:rsidR="0075512C" w:rsidRPr="007F09C3">
        <w:rPr>
          <w:rFonts w:ascii="Arial Narrow" w:hAnsi="Arial Narrow"/>
          <w:color w:val="333333"/>
        </w:rPr>
        <w:t>activas durante 2019,2020 y 2021</w:t>
      </w:r>
      <w:r w:rsidR="0075512C" w:rsidRPr="007F09C3">
        <w:rPr>
          <w:rStyle w:val="Refdenotaalpie"/>
          <w:rFonts w:ascii="Arial Narrow" w:hAnsi="Arial Narrow"/>
          <w:color w:val="333333"/>
        </w:rPr>
        <w:footnoteReference w:id="4"/>
      </w:r>
      <w:r w:rsidR="0075512C" w:rsidRPr="007F09C3">
        <w:rPr>
          <w:rFonts w:ascii="Arial Narrow" w:hAnsi="Arial Narrow"/>
          <w:color w:val="333333"/>
        </w:rPr>
        <w:t xml:space="preserve"> </w:t>
      </w:r>
      <w:r w:rsidRPr="007F09C3">
        <w:rPr>
          <w:rFonts w:ascii="Arial Narrow" w:hAnsi="Arial Narrow"/>
          <w:color w:val="333333"/>
        </w:rPr>
        <w:t xml:space="preserve">vigiladas por la Supersolidaria es del </w:t>
      </w:r>
      <w:r w:rsidR="00E4447A" w:rsidRPr="007F09C3">
        <w:rPr>
          <w:rFonts w:ascii="Arial Narrow" w:hAnsi="Arial Narrow"/>
          <w:color w:val="333333"/>
        </w:rPr>
        <w:t xml:space="preserve">9,20% promedio (anualizado con datos a noviembre de 2021) frente al 8,17% de 2020 y en total los activos de las 176 cooperativas crecieron 10,51% frente al 8,05% del 2020.  </w:t>
      </w:r>
      <w:r w:rsidR="00AB0983" w:rsidRPr="007F09C3">
        <w:rPr>
          <w:rFonts w:ascii="Arial Narrow" w:hAnsi="Arial Narrow"/>
          <w:color w:val="333333"/>
        </w:rPr>
        <w:t xml:space="preserve"> </w:t>
      </w:r>
      <w:r w:rsidR="0015486B" w:rsidRPr="007F09C3">
        <w:rPr>
          <w:rFonts w:ascii="Arial Narrow" w:hAnsi="Arial Narrow"/>
          <w:color w:val="333333"/>
        </w:rPr>
        <w:t>La cartera de crédito que es el principal activo con una participación del 73% promedio (</w:t>
      </w:r>
      <w:r w:rsidR="00A14E64" w:rsidRPr="007F09C3">
        <w:rPr>
          <w:rFonts w:ascii="Arial Narrow" w:hAnsi="Arial Narrow"/>
          <w:color w:val="333333"/>
        </w:rPr>
        <w:t>COOPEJEMPLO</w:t>
      </w:r>
      <w:r w:rsidR="0015486B" w:rsidRPr="007F09C3">
        <w:rPr>
          <w:rFonts w:ascii="Arial Narrow" w:hAnsi="Arial Narrow"/>
          <w:color w:val="333333"/>
        </w:rPr>
        <w:t xml:space="preserve"> 92%), presenta un crecimiento promedio del 8,52% y total del 10,87% (</w:t>
      </w:r>
      <w:r w:rsidR="00A14E64" w:rsidRPr="007F09C3">
        <w:rPr>
          <w:rFonts w:ascii="Arial Narrow" w:hAnsi="Arial Narrow"/>
          <w:color w:val="333333"/>
        </w:rPr>
        <w:t>COOPEJEMPLO</w:t>
      </w:r>
      <w:r w:rsidR="0015486B" w:rsidRPr="007F09C3">
        <w:rPr>
          <w:rFonts w:ascii="Arial Narrow" w:hAnsi="Arial Narrow"/>
          <w:color w:val="333333"/>
        </w:rPr>
        <w:t xml:space="preserve"> 15% en 2021 y casi 22%</w:t>
      </w:r>
      <w:r w:rsidR="0075512C" w:rsidRPr="007F09C3">
        <w:rPr>
          <w:rFonts w:ascii="Arial Narrow" w:hAnsi="Arial Narrow"/>
          <w:color w:val="333333"/>
        </w:rPr>
        <w:t xml:space="preserve"> en 2020</w:t>
      </w:r>
      <w:r w:rsidR="0015486B" w:rsidRPr="007F09C3">
        <w:rPr>
          <w:rFonts w:ascii="Arial Narrow" w:hAnsi="Arial Narrow"/>
          <w:color w:val="333333"/>
        </w:rPr>
        <w:t>) mejorando sin duda frente al 2020 cuando apenas tuvo un crecimiento promedio del 1,23% y total del 2,19%.</w:t>
      </w:r>
    </w:p>
    <w:p w14:paraId="41AB6950" w14:textId="67F3E772" w:rsidR="0015486B" w:rsidRPr="007F09C3" w:rsidRDefault="0015486B" w:rsidP="007F09C3">
      <w:pPr>
        <w:pStyle w:val="parrafo"/>
        <w:spacing w:before="0" w:beforeAutospacing="0" w:after="0" w:afterAutospacing="0"/>
        <w:jc w:val="both"/>
        <w:textAlignment w:val="baseline"/>
        <w:rPr>
          <w:rFonts w:ascii="Arial Narrow" w:hAnsi="Arial Narrow"/>
          <w:color w:val="333333"/>
        </w:rPr>
      </w:pPr>
    </w:p>
    <w:p w14:paraId="1302E1E6" w14:textId="0D941854" w:rsidR="0015486B" w:rsidRPr="007F09C3" w:rsidRDefault="0015486B"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El total de aportes y ahorros creció un 10,08% en 2021 y en total 10,55% frente al 11,61% y 11,34% respectivamente de 2020 (</w:t>
      </w:r>
      <w:r w:rsidR="00A14E64" w:rsidRPr="007F09C3">
        <w:rPr>
          <w:rFonts w:ascii="Arial Narrow" w:hAnsi="Arial Narrow"/>
          <w:color w:val="333333"/>
        </w:rPr>
        <w:t>COOPEJEMPLO</w:t>
      </w:r>
      <w:r w:rsidRPr="007F09C3">
        <w:rPr>
          <w:rFonts w:ascii="Arial Narrow" w:hAnsi="Arial Narrow"/>
          <w:color w:val="333333"/>
        </w:rPr>
        <w:t xml:space="preserve"> creció </w:t>
      </w:r>
      <w:r w:rsidR="0075512C" w:rsidRPr="007F09C3">
        <w:rPr>
          <w:rFonts w:ascii="Arial Narrow" w:hAnsi="Arial Narrow"/>
          <w:color w:val="333333"/>
        </w:rPr>
        <w:t>15,8% en 2021 y 23,4% en 2020).</w:t>
      </w:r>
    </w:p>
    <w:p w14:paraId="3F215850" w14:textId="7D45D651" w:rsidR="0075512C" w:rsidRPr="007F09C3" w:rsidRDefault="0075512C" w:rsidP="007F09C3">
      <w:pPr>
        <w:pStyle w:val="parrafo"/>
        <w:spacing w:before="0" w:beforeAutospacing="0" w:after="0" w:afterAutospacing="0"/>
        <w:jc w:val="both"/>
        <w:textAlignment w:val="baseline"/>
        <w:rPr>
          <w:rFonts w:ascii="Arial Narrow" w:hAnsi="Arial Narrow"/>
          <w:color w:val="333333"/>
        </w:rPr>
      </w:pPr>
    </w:p>
    <w:p w14:paraId="7B3BD8C9" w14:textId="1E8FD869" w:rsidR="0075512C" w:rsidRPr="007F09C3" w:rsidRDefault="0075512C"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 xml:space="preserve">El crecimiento de los asociados durante el 2021 fue en promedio del 2,3% mientras en </w:t>
      </w:r>
      <w:r w:rsidR="00A14E64" w:rsidRPr="007F09C3">
        <w:rPr>
          <w:rFonts w:ascii="Arial Narrow" w:hAnsi="Arial Narrow"/>
          <w:color w:val="333333"/>
        </w:rPr>
        <w:t>COOPEJEMPLO</w:t>
      </w:r>
      <w:r w:rsidRPr="007F09C3">
        <w:rPr>
          <w:rFonts w:ascii="Arial Narrow" w:hAnsi="Arial Narrow"/>
          <w:color w:val="333333"/>
        </w:rPr>
        <w:t xml:space="preserve"> se completan tres años de crecimiento anual de asociados entre 13% y 14%.</w:t>
      </w:r>
    </w:p>
    <w:p w14:paraId="3602FFD2" w14:textId="2C1CF4C1" w:rsidR="0075512C" w:rsidRPr="007F09C3" w:rsidRDefault="0075512C" w:rsidP="007F09C3">
      <w:pPr>
        <w:pStyle w:val="parrafo"/>
        <w:spacing w:before="0" w:beforeAutospacing="0" w:after="0" w:afterAutospacing="0"/>
        <w:jc w:val="both"/>
        <w:textAlignment w:val="baseline"/>
        <w:rPr>
          <w:rFonts w:ascii="Arial Narrow" w:hAnsi="Arial Narrow"/>
          <w:color w:val="333333"/>
        </w:rPr>
      </w:pPr>
    </w:p>
    <w:p w14:paraId="6DE6654E" w14:textId="416631F1" w:rsidR="0075512C" w:rsidRPr="007F09C3" w:rsidRDefault="0075512C" w:rsidP="007F09C3">
      <w:pPr>
        <w:pStyle w:val="parrafo"/>
        <w:spacing w:before="0" w:beforeAutospacing="0" w:after="0" w:afterAutospacing="0"/>
        <w:jc w:val="both"/>
        <w:textAlignment w:val="baseline"/>
        <w:rPr>
          <w:rFonts w:ascii="Arial Narrow" w:hAnsi="Arial Narrow"/>
          <w:color w:val="333333"/>
        </w:rPr>
      </w:pPr>
      <w:r w:rsidRPr="007F09C3">
        <w:rPr>
          <w:rFonts w:ascii="Arial Narrow" w:hAnsi="Arial Narrow"/>
          <w:color w:val="333333"/>
        </w:rPr>
        <w:t>En Conclusión, el cooperativismo financiero recupera el crecimiento de su cartera luego de un 2020 estático en el que sin embargo las captaciones y los asociados continuaron incrementándose, mejorando su situación de liquidez y con perspectivas favorables de crecimiento para 2021.</w:t>
      </w:r>
    </w:p>
    <w:p w14:paraId="3D38DD56" w14:textId="77777777" w:rsidR="00716326" w:rsidRPr="007F09C3" w:rsidRDefault="00716326" w:rsidP="007F09C3">
      <w:pPr>
        <w:rPr>
          <w:rFonts w:ascii="Arial Narrow" w:hAnsi="Arial Narrow"/>
          <w:color w:val="333333"/>
          <w:sz w:val="24"/>
          <w:szCs w:val="24"/>
          <w:lang w:val="es-CO" w:eastAsia="es-CO"/>
        </w:rPr>
      </w:pPr>
    </w:p>
    <w:p w14:paraId="3887E053" w14:textId="063911FD" w:rsidR="00DF77DA" w:rsidRPr="007F09C3" w:rsidRDefault="00A14E64" w:rsidP="007F09C3">
      <w:pPr>
        <w:pStyle w:val="Prrafodelista"/>
        <w:numPr>
          <w:ilvl w:val="0"/>
          <w:numId w:val="1"/>
        </w:numPr>
        <w:shd w:val="clear" w:color="auto" w:fill="385623" w:themeFill="accent6" w:themeFillShade="80"/>
        <w:ind w:right="48"/>
        <w:contextualSpacing/>
        <w:jc w:val="center"/>
        <w:rPr>
          <w:rFonts w:ascii="Arial Narrow" w:hAnsi="Arial Narrow" w:cs="Calibri"/>
          <w:b/>
          <w:color w:val="FFFFFF" w:themeColor="background1"/>
          <w:sz w:val="24"/>
          <w:szCs w:val="24"/>
          <w:lang w:val="es-CO"/>
        </w:rPr>
      </w:pPr>
      <w:r w:rsidRPr="007F09C3">
        <w:rPr>
          <w:rFonts w:ascii="Arial Narrow" w:hAnsi="Arial Narrow" w:cs="Calibri"/>
          <w:b/>
          <w:color w:val="FFFFFF" w:themeColor="background1"/>
          <w:sz w:val="24"/>
          <w:szCs w:val="24"/>
          <w:lang w:val="es-CO"/>
        </w:rPr>
        <w:t>COOPEJEMPLO</w:t>
      </w:r>
      <w:r w:rsidR="00DF77DA" w:rsidRPr="007F09C3">
        <w:rPr>
          <w:rFonts w:ascii="Arial Narrow" w:hAnsi="Arial Narrow" w:cs="Calibri"/>
          <w:b/>
          <w:color w:val="FFFFFF" w:themeColor="background1"/>
          <w:sz w:val="24"/>
          <w:szCs w:val="24"/>
          <w:lang w:val="es-CO"/>
        </w:rPr>
        <w:t xml:space="preserve"> – </w:t>
      </w:r>
      <w:r w:rsidR="00D957B4" w:rsidRPr="007F09C3">
        <w:rPr>
          <w:rFonts w:ascii="Arial Narrow" w:hAnsi="Arial Narrow" w:cs="Calibri"/>
          <w:b/>
          <w:color w:val="FFFFFF" w:themeColor="background1"/>
          <w:sz w:val="24"/>
          <w:szCs w:val="24"/>
          <w:lang w:val="es-CO"/>
        </w:rPr>
        <w:t>ANALISIS FINANCIERO</w:t>
      </w:r>
    </w:p>
    <w:p w14:paraId="041F8B4A" w14:textId="77777777" w:rsidR="00DF77DA" w:rsidRPr="007F09C3" w:rsidRDefault="00DF77DA" w:rsidP="007F09C3">
      <w:pPr>
        <w:jc w:val="both"/>
        <w:rPr>
          <w:rFonts w:ascii="Arial Narrow" w:hAnsi="Arial Narrow" w:cstheme="minorHAnsi"/>
          <w:sz w:val="24"/>
          <w:szCs w:val="24"/>
          <w:lang w:val="es-CO"/>
        </w:rPr>
      </w:pPr>
    </w:p>
    <w:p w14:paraId="1ACD2922" w14:textId="34C03746" w:rsidR="003B2CB4" w:rsidRPr="007F09C3" w:rsidRDefault="003B2CB4"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En los últimos tres años el crecimiento de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ha sido excepcional </w:t>
      </w:r>
      <w:r w:rsidR="00A30212" w:rsidRPr="007F09C3">
        <w:rPr>
          <w:rFonts w:ascii="Arial Narrow" w:hAnsi="Arial Narrow" w:cstheme="minorHAnsi"/>
          <w:sz w:val="24"/>
          <w:szCs w:val="24"/>
          <w:lang w:val="es-CO"/>
        </w:rPr>
        <w:t>pues en plena pandemia ha logrado un</w:t>
      </w:r>
      <w:r w:rsidRPr="007F09C3">
        <w:rPr>
          <w:rFonts w:ascii="Arial Narrow" w:hAnsi="Arial Narrow" w:cstheme="minorHAnsi"/>
          <w:sz w:val="24"/>
          <w:szCs w:val="24"/>
          <w:lang w:val="es-CO"/>
        </w:rPr>
        <w:t xml:space="preserve"> destacado crecimiento de asociados, cartera, depósitos y aportes</w:t>
      </w:r>
      <w:r w:rsidR="00A30212" w:rsidRPr="007F09C3">
        <w:rPr>
          <w:rFonts w:ascii="Arial Narrow" w:hAnsi="Arial Narrow" w:cstheme="minorHAnsi"/>
          <w:sz w:val="24"/>
          <w:szCs w:val="24"/>
          <w:lang w:val="es-CO"/>
        </w:rPr>
        <w:t xml:space="preserve"> sin precedentes en la última década</w:t>
      </w:r>
      <w:r w:rsidR="00E12190" w:rsidRPr="007F09C3">
        <w:rPr>
          <w:rFonts w:ascii="Arial Narrow" w:hAnsi="Arial Narrow" w:cstheme="minorHAnsi"/>
          <w:sz w:val="24"/>
          <w:szCs w:val="24"/>
          <w:lang w:val="es-CO"/>
        </w:rPr>
        <w:t>,</w:t>
      </w:r>
      <w:r w:rsidR="00795DA6" w:rsidRPr="007F09C3">
        <w:rPr>
          <w:rFonts w:ascii="Arial Narrow" w:hAnsi="Arial Narrow" w:cstheme="minorHAnsi"/>
          <w:sz w:val="24"/>
          <w:szCs w:val="24"/>
          <w:lang w:val="es-CO"/>
        </w:rPr>
        <w:t xml:space="preserve"> manteniendo </w:t>
      </w:r>
      <w:r w:rsidR="00E12190" w:rsidRPr="007F09C3">
        <w:rPr>
          <w:rFonts w:ascii="Arial Narrow" w:hAnsi="Arial Narrow" w:cstheme="minorHAnsi"/>
          <w:sz w:val="24"/>
          <w:szCs w:val="24"/>
          <w:lang w:val="es-CO"/>
        </w:rPr>
        <w:t xml:space="preserve">además </w:t>
      </w:r>
      <w:r w:rsidR="00795DA6" w:rsidRPr="007F09C3">
        <w:rPr>
          <w:rFonts w:ascii="Arial Narrow" w:hAnsi="Arial Narrow" w:cstheme="minorHAnsi"/>
          <w:sz w:val="24"/>
          <w:szCs w:val="24"/>
          <w:lang w:val="es-CO"/>
        </w:rPr>
        <w:t>bajas tasas de interés en la cartera y mejores rentabilidades en los depósitos frente a lo observado en el sector cooperativo con actividad financiera y en general mejor que lo observado en el sistema financiero</w:t>
      </w:r>
      <w:r w:rsidR="00E12190" w:rsidRPr="007F09C3">
        <w:rPr>
          <w:rFonts w:ascii="Arial Narrow" w:hAnsi="Arial Narrow" w:cstheme="minorHAnsi"/>
          <w:sz w:val="24"/>
          <w:szCs w:val="24"/>
          <w:lang w:val="es-CO"/>
        </w:rPr>
        <w:t xml:space="preserve"> mientras simultáneamente invierte una gran cantidad de recursos en beneficios sociales vía gasto o excedentes </w:t>
      </w:r>
      <w:r w:rsidR="00AB3731" w:rsidRPr="007F09C3">
        <w:rPr>
          <w:rFonts w:ascii="Arial Narrow" w:hAnsi="Arial Narrow" w:cstheme="minorHAnsi"/>
          <w:sz w:val="24"/>
          <w:szCs w:val="24"/>
          <w:lang w:val="es-CO"/>
        </w:rPr>
        <w:t xml:space="preserve">que implican un retorno o transferencia solidaria </w:t>
      </w:r>
      <w:r w:rsidR="00DF0544" w:rsidRPr="007F09C3">
        <w:rPr>
          <w:rFonts w:ascii="Arial Narrow" w:hAnsi="Arial Narrow" w:cstheme="minorHAnsi"/>
          <w:sz w:val="24"/>
          <w:szCs w:val="24"/>
          <w:lang w:val="es-CO"/>
        </w:rPr>
        <w:t xml:space="preserve">sobre el total de aportes y ahorros recibidos de los asociados, </w:t>
      </w:r>
      <w:r w:rsidR="00AB3731" w:rsidRPr="007F09C3">
        <w:rPr>
          <w:rFonts w:ascii="Arial Narrow" w:hAnsi="Arial Narrow" w:cstheme="minorHAnsi"/>
          <w:sz w:val="24"/>
          <w:szCs w:val="24"/>
          <w:lang w:val="es-CO"/>
        </w:rPr>
        <w:t xml:space="preserve">equivalente a casi </w:t>
      </w:r>
      <w:r w:rsidR="00DF0544" w:rsidRPr="007F09C3">
        <w:rPr>
          <w:rFonts w:ascii="Arial Narrow" w:hAnsi="Arial Narrow" w:cstheme="minorHAnsi"/>
          <w:sz w:val="24"/>
          <w:szCs w:val="24"/>
          <w:lang w:val="es-CO"/>
        </w:rPr>
        <w:t>dos veces el nivel medio del rango meta de inflación del banco de la república</w:t>
      </w:r>
      <w:r w:rsidR="00AB3731" w:rsidRPr="007F09C3">
        <w:rPr>
          <w:rFonts w:ascii="Arial Narrow" w:hAnsi="Arial Narrow" w:cstheme="minorHAnsi"/>
          <w:sz w:val="24"/>
          <w:szCs w:val="24"/>
          <w:lang w:val="es-CO"/>
        </w:rPr>
        <w:t xml:space="preserve"> promedio</w:t>
      </w:r>
      <w:r w:rsidR="00DF0544" w:rsidRPr="007F09C3">
        <w:rPr>
          <w:rFonts w:ascii="Arial Narrow" w:hAnsi="Arial Narrow" w:cstheme="minorHAnsi"/>
          <w:sz w:val="24"/>
          <w:szCs w:val="24"/>
          <w:lang w:val="es-CO"/>
        </w:rPr>
        <w:t xml:space="preserve">.  </w:t>
      </w:r>
    </w:p>
    <w:p w14:paraId="6E666FEF" w14:textId="77777777" w:rsidR="00B336CD" w:rsidRPr="007F09C3" w:rsidRDefault="00B336CD" w:rsidP="007F09C3">
      <w:pPr>
        <w:jc w:val="both"/>
        <w:rPr>
          <w:rFonts w:ascii="Arial Narrow" w:hAnsi="Arial Narrow" w:cstheme="minorHAnsi"/>
          <w:sz w:val="24"/>
          <w:szCs w:val="24"/>
          <w:lang w:val="es-CO"/>
        </w:rPr>
      </w:pPr>
    </w:p>
    <w:p w14:paraId="1C90B9D6" w14:textId="58358627" w:rsidR="00B336CD" w:rsidRPr="007F09C3" w:rsidRDefault="00E24BAE"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crecimiento de los activos sin embargo ha sido superior al crecimiento de los excedentes netos por la gran inversión social que se ha efectuado y la reducción de la tasa activa mientras se mantiene </w:t>
      </w:r>
      <w:r w:rsidR="00E65B0B" w:rsidRPr="007F09C3">
        <w:rPr>
          <w:rFonts w:ascii="Arial Narrow" w:hAnsi="Arial Narrow" w:cstheme="minorHAnsi"/>
          <w:sz w:val="24"/>
          <w:szCs w:val="24"/>
          <w:lang w:val="es-CO"/>
        </w:rPr>
        <w:t xml:space="preserve">estable la tasa </w:t>
      </w:r>
      <w:r w:rsidR="00E65B0B" w:rsidRPr="007F09C3">
        <w:rPr>
          <w:rFonts w:ascii="Arial Narrow" w:hAnsi="Arial Narrow" w:cstheme="minorHAnsi"/>
          <w:sz w:val="24"/>
          <w:szCs w:val="24"/>
          <w:lang w:val="es-CO"/>
        </w:rPr>
        <w:lastRenderedPageBreak/>
        <w:t>pasiva, motivo por el cual el total de reservas y fondos patrimoniales crecen a menor ritmo</w:t>
      </w:r>
      <w:r w:rsidR="00CE46D2" w:rsidRPr="007F09C3">
        <w:rPr>
          <w:rFonts w:ascii="Arial Narrow" w:hAnsi="Arial Narrow" w:cstheme="minorHAnsi"/>
          <w:sz w:val="24"/>
          <w:szCs w:val="24"/>
          <w:lang w:val="es-CO"/>
        </w:rPr>
        <w:t xml:space="preserve">.  El total del activo creció un 70% en los últimos tres años </w:t>
      </w:r>
      <w:r w:rsidR="00C928A4" w:rsidRPr="007F09C3">
        <w:rPr>
          <w:rFonts w:ascii="Arial Narrow" w:hAnsi="Arial Narrow" w:cstheme="minorHAnsi"/>
          <w:sz w:val="24"/>
          <w:szCs w:val="24"/>
          <w:lang w:val="es-CO"/>
        </w:rPr>
        <w:t>(2021 vs 2018)</w:t>
      </w:r>
      <w:r w:rsidR="009534EA" w:rsidRPr="007F09C3">
        <w:rPr>
          <w:rFonts w:ascii="Arial Narrow" w:hAnsi="Arial Narrow" w:cstheme="minorHAnsi"/>
          <w:sz w:val="24"/>
          <w:szCs w:val="24"/>
          <w:lang w:val="es-CO"/>
        </w:rPr>
        <w:t xml:space="preserve"> mientras las reservas y fondos patrimoniales apenas lo hicieron un 21%</w:t>
      </w:r>
      <w:r w:rsidR="00363BC5" w:rsidRPr="007F09C3">
        <w:rPr>
          <w:rFonts w:ascii="Arial Narrow" w:hAnsi="Arial Narrow" w:cstheme="minorHAnsi"/>
          <w:sz w:val="24"/>
          <w:szCs w:val="24"/>
          <w:lang w:val="es-CO"/>
        </w:rPr>
        <w:t xml:space="preserve"> por lo que el principal reto a largo plazo de la entidad será crear las condiciones y tomar las decisiones que permitan revertir la tendencia y </w:t>
      </w:r>
      <w:r w:rsidR="008870EC" w:rsidRPr="007F09C3">
        <w:rPr>
          <w:rFonts w:ascii="Arial Narrow" w:hAnsi="Arial Narrow" w:cstheme="minorHAnsi"/>
          <w:sz w:val="24"/>
          <w:szCs w:val="24"/>
          <w:lang w:val="es-CO"/>
        </w:rPr>
        <w:t>lograr un crecimiento del capital institucional superior al crecimiento del total de activos.</w:t>
      </w:r>
    </w:p>
    <w:p w14:paraId="17AC73A9" w14:textId="77777777" w:rsidR="00E65B0B" w:rsidRPr="007F09C3" w:rsidRDefault="00E65B0B" w:rsidP="007F09C3">
      <w:pPr>
        <w:jc w:val="both"/>
        <w:rPr>
          <w:rFonts w:ascii="Arial Narrow" w:hAnsi="Arial Narrow" w:cstheme="minorHAnsi"/>
          <w:sz w:val="24"/>
          <w:szCs w:val="24"/>
          <w:lang w:val="es-CO"/>
        </w:rPr>
      </w:pPr>
    </w:p>
    <w:p w14:paraId="6F1CC8F5" w14:textId="227150C5" w:rsidR="00D957B4" w:rsidRPr="007F09C3" w:rsidRDefault="00D957B4" w:rsidP="007F09C3">
      <w:pPr>
        <w:pStyle w:val="Prrafodelista"/>
        <w:numPr>
          <w:ilvl w:val="1"/>
          <w:numId w:val="1"/>
        </w:numPr>
        <w:shd w:val="clear" w:color="auto" w:fill="538135" w:themeFill="accent6" w:themeFillShade="BF"/>
        <w:ind w:right="48"/>
        <w:contextualSpacing/>
        <w:rPr>
          <w:rFonts w:ascii="Arial Narrow" w:hAnsi="Arial Narrow" w:cs="Calibri"/>
          <w:b/>
          <w:color w:val="FFFFFF" w:themeColor="background1"/>
          <w:sz w:val="24"/>
          <w:szCs w:val="24"/>
          <w:lang w:val="es-CO"/>
        </w:rPr>
      </w:pPr>
      <w:r w:rsidRPr="007F09C3">
        <w:rPr>
          <w:rFonts w:ascii="Arial Narrow" w:hAnsi="Arial Narrow" w:cs="Calibri"/>
          <w:b/>
          <w:color w:val="FFFFFF" w:themeColor="background1"/>
          <w:sz w:val="24"/>
          <w:szCs w:val="24"/>
          <w:lang w:val="es-CO"/>
        </w:rPr>
        <w:t>Evolución financiera</w:t>
      </w:r>
    </w:p>
    <w:p w14:paraId="2F732345" w14:textId="77777777" w:rsidR="00D957B4" w:rsidRPr="007F09C3" w:rsidRDefault="00D957B4" w:rsidP="007F09C3">
      <w:pPr>
        <w:jc w:val="both"/>
        <w:rPr>
          <w:rFonts w:ascii="Arial Narrow" w:hAnsi="Arial Narrow" w:cstheme="minorHAnsi"/>
          <w:sz w:val="24"/>
          <w:szCs w:val="24"/>
          <w:lang w:val="es-CO"/>
        </w:rPr>
      </w:pPr>
    </w:p>
    <w:p w14:paraId="32BCFA0A" w14:textId="45686852" w:rsidR="00743B4F" w:rsidRPr="007F09C3" w:rsidRDefault="00743B4F" w:rsidP="007F09C3">
      <w:pPr>
        <w:pStyle w:val="Prrafodelista"/>
        <w:numPr>
          <w:ilvl w:val="2"/>
          <w:numId w:val="1"/>
        </w:numPr>
        <w:shd w:val="clear" w:color="auto" w:fill="C5E0B3" w:themeFill="accent6" w:themeFillTint="66"/>
        <w:jc w:val="both"/>
        <w:rPr>
          <w:rFonts w:ascii="Arial Narrow" w:hAnsi="Arial Narrow" w:cstheme="minorHAnsi"/>
          <w:b/>
          <w:bCs/>
          <w:sz w:val="24"/>
          <w:szCs w:val="24"/>
          <w:lang w:val="es-CO"/>
        </w:rPr>
      </w:pPr>
      <w:r w:rsidRPr="007F09C3">
        <w:rPr>
          <w:rFonts w:ascii="Arial Narrow" w:hAnsi="Arial Narrow" w:cstheme="minorHAnsi"/>
          <w:b/>
          <w:bCs/>
          <w:sz w:val="24"/>
          <w:szCs w:val="24"/>
          <w:lang w:val="es-CO"/>
        </w:rPr>
        <w:t>Situación Financiera</w:t>
      </w:r>
    </w:p>
    <w:p w14:paraId="5948DC06" w14:textId="77777777" w:rsidR="00743B4F" w:rsidRPr="007F09C3" w:rsidRDefault="00743B4F" w:rsidP="007F09C3">
      <w:pPr>
        <w:pStyle w:val="Prrafodelista"/>
        <w:ind w:left="1080"/>
        <w:jc w:val="both"/>
        <w:rPr>
          <w:rFonts w:ascii="Arial Narrow" w:hAnsi="Arial Narrow" w:cstheme="minorHAnsi"/>
          <w:sz w:val="24"/>
          <w:szCs w:val="24"/>
          <w:lang w:val="es-CO"/>
        </w:rPr>
      </w:pPr>
    </w:p>
    <w:p w14:paraId="6E7DE2B9" w14:textId="447B0454" w:rsidR="00716326" w:rsidRPr="007F09C3" w:rsidRDefault="00B107E3"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crecimiento en activos de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w:t>
      </w:r>
      <w:r w:rsidR="007A4D8E" w:rsidRPr="007F09C3">
        <w:rPr>
          <w:rFonts w:ascii="Arial Narrow" w:hAnsi="Arial Narrow" w:cstheme="minorHAnsi"/>
          <w:sz w:val="24"/>
          <w:szCs w:val="24"/>
          <w:lang w:val="es-CO"/>
        </w:rPr>
        <w:t xml:space="preserve">en el 2021 fue del </w:t>
      </w:r>
      <w:r w:rsidR="00192E6F" w:rsidRPr="007F09C3">
        <w:rPr>
          <w:rFonts w:ascii="Arial Narrow" w:hAnsi="Arial Narrow" w:cstheme="minorHAnsi"/>
          <w:sz w:val="24"/>
          <w:szCs w:val="24"/>
          <w:lang w:val="es-CO"/>
        </w:rPr>
        <w:t xml:space="preserve">16,3%, un poco inferior al destacado 21,6% observado en el 2020 cuando se alcanzó el máximo histórico </w:t>
      </w:r>
      <w:r w:rsidR="00A10A50" w:rsidRPr="007F09C3">
        <w:rPr>
          <w:rFonts w:ascii="Arial Narrow" w:hAnsi="Arial Narrow" w:cstheme="minorHAnsi"/>
          <w:sz w:val="24"/>
          <w:szCs w:val="24"/>
          <w:lang w:val="es-CO"/>
        </w:rPr>
        <w:t xml:space="preserve">de la última década en plena pandemia y se superó el dato del 2019 </w:t>
      </w:r>
      <w:r w:rsidR="00911055" w:rsidRPr="007F09C3">
        <w:rPr>
          <w:rFonts w:ascii="Arial Narrow" w:hAnsi="Arial Narrow" w:cstheme="minorHAnsi"/>
          <w:sz w:val="24"/>
          <w:szCs w:val="24"/>
          <w:lang w:val="es-CO"/>
        </w:rPr>
        <w:t xml:space="preserve">que es el segundo más alto de la década con 20,3%.  </w:t>
      </w:r>
    </w:p>
    <w:p w14:paraId="4E820958" w14:textId="77777777" w:rsidR="00716326" w:rsidRPr="007F09C3" w:rsidRDefault="00716326" w:rsidP="007F09C3">
      <w:pPr>
        <w:jc w:val="both"/>
        <w:rPr>
          <w:rFonts w:ascii="Arial Narrow" w:hAnsi="Arial Narrow" w:cstheme="minorHAnsi"/>
          <w:sz w:val="24"/>
          <w:szCs w:val="24"/>
          <w:lang w:val="es-CO"/>
        </w:rPr>
      </w:pPr>
    </w:p>
    <w:p w14:paraId="22E7076D" w14:textId="4A32235F" w:rsidR="00D957B4" w:rsidRPr="007F09C3" w:rsidRDefault="00911055"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En conclusión, en los últimos tres años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completa una racha de crecimiento continuo sin precedentes con 3 de los 4 datos más altos de crecimiento anual de la década</w:t>
      </w:r>
      <w:r w:rsidR="00AC09B8" w:rsidRPr="007F09C3">
        <w:rPr>
          <w:rFonts w:ascii="Arial Narrow" w:hAnsi="Arial Narrow" w:cstheme="minorHAnsi"/>
          <w:sz w:val="24"/>
          <w:szCs w:val="24"/>
          <w:lang w:val="es-CO"/>
        </w:rPr>
        <w:t xml:space="preserve">, cerrando con activos por casi $108 mil millones de pesos frente a $93 mil millones de pesos </w:t>
      </w:r>
      <w:r w:rsidR="00716326" w:rsidRPr="007F09C3">
        <w:rPr>
          <w:rFonts w:ascii="Arial Narrow" w:hAnsi="Arial Narrow" w:cstheme="minorHAnsi"/>
          <w:sz w:val="24"/>
          <w:szCs w:val="24"/>
          <w:lang w:val="es-CO"/>
        </w:rPr>
        <w:t xml:space="preserve">del año anterior </w:t>
      </w:r>
      <w:r w:rsidR="00AC09B8" w:rsidRPr="007F09C3">
        <w:rPr>
          <w:rFonts w:ascii="Arial Narrow" w:hAnsi="Arial Narrow" w:cstheme="minorHAnsi"/>
          <w:sz w:val="24"/>
          <w:szCs w:val="24"/>
          <w:lang w:val="es-CO"/>
        </w:rPr>
        <w:t xml:space="preserve">y </w:t>
      </w:r>
      <w:r w:rsidR="00632603" w:rsidRPr="007F09C3">
        <w:rPr>
          <w:rFonts w:ascii="Arial Narrow" w:hAnsi="Arial Narrow" w:cstheme="minorHAnsi"/>
          <w:sz w:val="24"/>
          <w:szCs w:val="24"/>
          <w:lang w:val="es-CO"/>
        </w:rPr>
        <w:t>duplicándose frente al dato de inicio cinco años atrás cuando al cierre de 2016 presentaba casi $55 mil millones.</w:t>
      </w:r>
      <w:r w:rsidR="00656A07" w:rsidRPr="007F09C3">
        <w:rPr>
          <w:rFonts w:ascii="Arial Narrow" w:hAnsi="Arial Narrow" w:cstheme="minorHAnsi"/>
          <w:sz w:val="24"/>
          <w:szCs w:val="24"/>
          <w:lang w:val="es-CO"/>
        </w:rPr>
        <w:t xml:space="preserve">  </w:t>
      </w:r>
      <w:r w:rsidR="00834C72" w:rsidRPr="007F09C3">
        <w:rPr>
          <w:rFonts w:ascii="Arial Narrow" w:hAnsi="Arial Narrow" w:cstheme="minorHAnsi"/>
          <w:sz w:val="24"/>
          <w:szCs w:val="24"/>
          <w:lang w:val="es-CO"/>
        </w:rPr>
        <w:t xml:space="preserve">Buena parte de </w:t>
      </w:r>
      <w:proofErr w:type="gramStart"/>
      <w:r w:rsidR="00834C72" w:rsidRPr="007F09C3">
        <w:rPr>
          <w:rFonts w:ascii="Arial Narrow" w:hAnsi="Arial Narrow" w:cstheme="minorHAnsi"/>
          <w:sz w:val="24"/>
          <w:szCs w:val="24"/>
          <w:lang w:val="es-CO"/>
        </w:rPr>
        <w:t>éste</w:t>
      </w:r>
      <w:proofErr w:type="gramEnd"/>
      <w:r w:rsidR="00834C72" w:rsidRPr="007F09C3">
        <w:rPr>
          <w:rFonts w:ascii="Arial Narrow" w:hAnsi="Arial Narrow" w:cstheme="minorHAnsi"/>
          <w:sz w:val="24"/>
          <w:szCs w:val="24"/>
          <w:lang w:val="es-CO"/>
        </w:rPr>
        <w:t xml:space="preserve"> acelerado crecimiento tiene que ver con el crecimiento de la base social que cierra 2021 en casi 6500 asociados </w:t>
      </w:r>
      <w:r w:rsidR="001C6949" w:rsidRPr="007F09C3">
        <w:rPr>
          <w:rFonts w:ascii="Arial Narrow" w:hAnsi="Arial Narrow" w:cstheme="minorHAnsi"/>
          <w:sz w:val="24"/>
          <w:szCs w:val="24"/>
          <w:lang w:val="es-CO"/>
        </w:rPr>
        <w:t xml:space="preserve">completando así tres años consecutivos de crecimiento </w:t>
      </w:r>
      <w:r w:rsidR="00860640" w:rsidRPr="007F09C3">
        <w:rPr>
          <w:rFonts w:ascii="Arial Narrow" w:hAnsi="Arial Narrow" w:cstheme="minorHAnsi"/>
          <w:sz w:val="24"/>
          <w:szCs w:val="24"/>
          <w:lang w:val="es-CO"/>
        </w:rPr>
        <w:t>del</w:t>
      </w:r>
      <w:r w:rsidR="001C6949" w:rsidRPr="007F09C3">
        <w:rPr>
          <w:rFonts w:ascii="Arial Narrow" w:hAnsi="Arial Narrow" w:cstheme="minorHAnsi"/>
          <w:sz w:val="24"/>
          <w:szCs w:val="24"/>
          <w:lang w:val="es-CO"/>
        </w:rPr>
        <w:t xml:space="preserve"> 14%</w:t>
      </w:r>
      <w:r w:rsidR="00860640" w:rsidRPr="007F09C3">
        <w:rPr>
          <w:rFonts w:ascii="Arial Narrow" w:hAnsi="Arial Narrow" w:cstheme="minorHAnsi"/>
          <w:sz w:val="24"/>
          <w:szCs w:val="24"/>
          <w:lang w:val="es-CO"/>
        </w:rPr>
        <w:t xml:space="preserve"> anual</w:t>
      </w:r>
      <w:r w:rsidR="001C6949" w:rsidRPr="007F09C3">
        <w:rPr>
          <w:rFonts w:ascii="Arial Narrow" w:hAnsi="Arial Narrow" w:cstheme="minorHAnsi"/>
          <w:sz w:val="24"/>
          <w:szCs w:val="24"/>
          <w:lang w:val="es-CO"/>
        </w:rPr>
        <w:t xml:space="preserve"> en el número de asociados</w:t>
      </w:r>
      <w:r w:rsidR="00860640" w:rsidRPr="007F09C3">
        <w:rPr>
          <w:rFonts w:ascii="Arial Narrow" w:hAnsi="Arial Narrow" w:cstheme="minorHAnsi"/>
          <w:sz w:val="24"/>
          <w:szCs w:val="24"/>
          <w:lang w:val="es-CO"/>
        </w:rPr>
        <w:t>, luego de crecer apenas 5% y 4% en 2017 y 2018 respectivamente.</w:t>
      </w:r>
    </w:p>
    <w:p w14:paraId="2384825A" w14:textId="77777777" w:rsidR="00415586" w:rsidRPr="007F09C3" w:rsidRDefault="00415586" w:rsidP="007F09C3">
      <w:pPr>
        <w:jc w:val="both"/>
        <w:rPr>
          <w:rFonts w:ascii="Arial Narrow" w:hAnsi="Arial Narrow" w:cstheme="minorHAnsi"/>
          <w:sz w:val="24"/>
          <w:szCs w:val="24"/>
          <w:lang w:val="es-CO"/>
        </w:rPr>
      </w:pPr>
    </w:p>
    <w:p w14:paraId="22711F74" w14:textId="77777777" w:rsidR="00716326" w:rsidRPr="007F09C3" w:rsidRDefault="00587389"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Este dinamismo en el crecimiento del activo es armónico con el crecimiento de la cartera </w:t>
      </w:r>
      <w:r w:rsidR="0086321F" w:rsidRPr="007F09C3">
        <w:rPr>
          <w:rFonts w:ascii="Arial Narrow" w:hAnsi="Arial Narrow" w:cstheme="minorHAnsi"/>
          <w:sz w:val="24"/>
          <w:szCs w:val="24"/>
          <w:lang w:val="es-CO"/>
        </w:rPr>
        <w:t>cuya variación positiva para 2021 fue de casi 16% frente al 23% anual de los dos años anteriores</w:t>
      </w:r>
      <w:r w:rsidR="009A3FE3" w:rsidRPr="007F09C3">
        <w:rPr>
          <w:rFonts w:ascii="Arial Narrow" w:hAnsi="Arial Narrow" w:cstheme="minorHAnsi"/>
          <w:sz w:val="24"/>
          <w:szCs w:val="24"/>
          <w:lang w:val="es-CO"/>
        </w:rPr>
        <w:t xml:space="preserve"> y luego de haber crecido en 2017 y 2018 13,4% y 11,4% respectivamente.</w:t>
      </w:r>
      <w:r w:rsidR="00B73E1C" w:rsidRPr="007F09C3">
        <w:rPr>
          <w:rFonts w:ascii="Arial Narrow" w:hAnsi="Arial Narrow" w:cstheme="minorHAnsi"/>
          <w:sz w:val="24"/>
          <w:szCs w:val="24"/>
          <w:lang w:val="es-CO"/>
        </w:rPr>
        <w:t xml:space="preserve"> </w:t>
      </w:r>
    </w:p>
    <w:p w14:paraId="201A6693" w14:textId="77777777" w:rsidR="00716326" w:rsidRPr="007F09C3" w:rsidRDefault="00716326" w:rsidP="007F09C3">
      <w:pPr>
        <w:jc w:val="both"/>
        <w:rPr>
          <w:rFonts w:ascii="Arial Narrow" w:hAnsi="Arial Narrow" w:cstheme="minorHAnsi"/>
          <w:sz w:val="24"/>
          <w:szCs w:val="24"/>
          <w:lang w:val="es-CO"/>
        </w:rPr>
      </w:pPr>
    </w:p>
    <w:p w14:paraId="1B4DAECA" w14:textId="77777777" w:rsidR="00716326" w:rsidRPr="007F09C3" w:rsidRDefault="00B73E1C"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En total la cartera se duplicó en 5 años pasando de casi $52 mil millones en 2016 a $</w:t>
      </w:r>
      <w:r w:rsidR="00806E91" w:rsidRPr="007F09C3">
        <w:rPr>
          <w:rFonts w:ascii="Arial Narrow" w:hAnsi="Arial Narrow" w:cstheme="minorHAnsi"/>
          <w:sz w:val="24"/>
          <w:szCs w:val="24"/>
          <w:lang w:val="es-CO"/>
        </w:rPr>
        <w:t>89</w:t>
      </w:r>
      <w:r w:rsidRPr="007F09C3">
        <w:rPr>
          <w:rFonts w:ascii="Arial Narrow" w:hAnsi="Arial Narrow" w:cstheme="minorHAnsi"/>
          <w:sz w:val="24"/>
          <w:szCs w:val="24"/>
          <w:lang w:val="es-CO"/>
        </w:rPr>
        <w:t xml:space="preserve"> mil millones </w:t>
      </w:r>
      <w:r w:rsidR="00806E91" w:rsidRPr="007F09C3">
        <w:rPr>
          <w:rFonts w:ascii="Arial Narrow" w:hAnsi="Arial Narrow" w:cstheme="minorHAnsi"/>
          <w:sz w:val="24"/>
          <w:szCs w:val="24"/>
          <w:lang w:val="es-CO"/>
        </w:rPr>
        <w:t>en 2020 y $103 mil millones en 2021 manteniendo una</w:t>
      </w:r>
      <w:r w:rsidR="00CD193C" w:rsidRPr="007F09C3">
        <w:rPr>
          <w:rFonts w:ascii="Arial Narrow" w:hAnsi="Arial Narrow" w:cstheme="minorHAnsi"/>
          <w:sz w:val="24"/>
          <w:szCs w:val="24"/>
          <w:lang w:val="es-CO"/>
        </w:rPr>
        <w:t xml:space="preserve"> participación superior al 90% del activo </w:t>
      </w:r>
      <w:r w:rsidR="0076002E" w:rsidRPr="007F09C3">
        <w:rPr>
          <w:rFonts w:ascii="Arial Narrow" w:hAnsi="Arial Narrow" w:cstheme="minorHAnsi"/>
          <w:sz w:val="24"/>
          <w:szCs w:val="24"/>
          <w:lang w:val="es-CO"/>
        </w:rPr>
        <w:t>de manera</w:t>
      </w:r>
      <w:r w:rsidR="00CD193C" w:rsidRPr="007F09C3">
        <w:rPr>
          <w:rFonts w:ascii="Arial Narrow" w:hAnsi="Arial Narrow" w:cstheme="minorHAnsi"/>
          <w:sz w:val="24"/>
          <w:szCs w:val="24"/>
          <w:lang w:val="es-CO"/>
        </w:rPr>
        <w:t xml:space="preserve"> constante </w:t>
      </w:r>
      <w:r w:rsidR="00DD59F4" w:rsidRPr="007F09C3">
        <w:rPr>
          <w:rFonts w:ascii="Arial Narrow" w:hAnsi="Arial Narrow" w:cstheme="minorHAnsi"/>
          <w:sz w:val="24"/>
          <w:szCs w:val="24"/>
          <w:lang w:val="es-CO"/>
        </w:rPr>
        <w:t>durante los últimos 6 años</w:t>
      </w:r>
      <w:r w:rsidR="00716326" w:rsidRPr="007F09C3">
        <w:rPr>
          <w:rFonts w:ascii="Arial Narrow" w:hAnsi="Arial Narrow" w:cstheme="minorHAnsi"/>
          <w:sz w:val="24"/>
          <w:szCs w:val="24"/>
          <w:lang w:val="es-CO"/>
        </w:rPr>
        <w:t>.</w:t>
      </w:r>
    </w:p>
    <w:p w14:paraId="7635BDC8" w14:textId="77777777" w:rsidR="00716326" w:rsidRPr="007F09C3" w:rsidRDefault="00716326" w:rsidP="007F09C3">
      <w:pPr>
        <w:jc w:val="both"/>
        <w:rPr>
          <w:rFonts w:ascii="Arial Narrow" w:hAnsi="Arial Narrow" w:cstheme="minorHAnsi"/>
          <w:sz w:val="24"/>
          <w:szCs w:val="24"/>
          <w:lang w:val="es-CO"/>
        </w:rPr>
      </w:pPr>
    </w:p>
    <w:p w14:paraId="0D0B3C87" w14:textId="2641F942" w:rsidR="00415586" w:rsidRPr="007F09C3" w:rsidRDefault="00716326"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La</w:t>
      </w:r>
      <w:r w:rsidR="00DD59F4" w:rsidRPr="007F09C3">
        <w:rPr>
          <w:rFonts w:ascii="Arial Narrow" w:hAnsi="Arial Narrow" w:cstheme="minorHAnsi"/>
          <w:sz w:val="24"/>
          <w:szCs w:val="24"/>
          <w:lang w:val="es-CO"/>
        </w:rPr>
        <w:t xml:space="preserve"> cartera además presenta niveles históricos de calidad por riesgo inferiores a la mitad del observado en </w:t>
      </w:r>
      <w:r w:rsidR="0067242F" w:rsidRPr="007F09C3">
        <w:rPr>
          <w:rFonts w:ascii="Arial Narrow" w:hAnsi="Arial Narrow" w:cstheme="minorHAnsi"/>
          <w:sz w:val="24"/>
          <w:szCs w:val="24"/>
          <w:lang w:val="es-CO"/>
        </w:rPr>
        <w:t xml:space="preserve">el promedio del sector año tras año, con un 3,7% al cierre de 2021, se incrementa ligeramente frente al 3% del año 2020 </w:t>
      </w:r>
      <w:r w:rsidR="001B7730" w:rsidRPr="007F09C3">
        <w:rPr>
          <w:rFonts w:ascii="Arial Narrow" w:hAnsi="Arial Narrow" w:cstheme="minorHAnsi"/>
          <w:sz w:val="24"/>
          <w:szCs w:val="24"/>
          <w:lang w:val="es-CO"/>
        </w:rPr>
        <w:t>y al promedio del 2,7% del periodo 17-18, lo cual se debe a políticas más exigentes en materia de recalificación de cartera.</w:t>
      </w:r>
    </w:p>
    <w:p w14:paraId="6ED5FB9A" w14:textId="77777777" w:rsidR="001B7730" w:rsidRPr="007F09C3" w:rsidRDefault="001B7730" w:rsidP="007F09C3">
      <w:pPr>
        <w:jc w:val="both"/>
        <w:rPr>
          <w:rFonts w:ascii="Arial Narrow" w:hAnsi="Arial Narrow" w:cstheme="minorHAnsi"/>
          <w:sz w:val="24"/>
          <w:szCs w:val="24"/>
          <w:lang w:val="es-CO"/>
        </w:rPr>
      </w:pPr>
    </w:p>
    <w:p w14:paraId="12FECE07" w14:textId="60B8EE65" w:rsidR="001B7730" w:rsidRPr="007F09C3" w:rsidRDefault="00CA5459"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La cartera por libranza que llegó a ser de casi 80% en 2016 perdió participación hasta el 2019 cuando alcanzó 62%, momento a partir del cual la administración decidió darle más impulso a este medio de recaudo, gracias a lo cual al cierre de 2020 y 2021 la cartera de libranza representa el </w:t>
      </w:r>
      <w:r w:rsidR="009A1600" w:rsidRPr="007F09C3">
        <w:rPr>
          <w:rFonts w:ascii="Arial Narrow" w:hAnsi="Arial Narrow" w:cstheme="minorHAnsi"/>
          <w:sz w:val="24"/>
          <w:szCs w:val="24"/>
          <w:lang w:val="es-CO"/>
        </w:rPr>
        <w:t>67,1% y 75,4% respectivamente completando dos años continuos de crecimiento.</w:t>
      </w:r>
    </w:p>
    <w:p w14:paraId="2A45B2EB" w14:textId="77777777" w:rsidR="009A1600" w:rsidRPr="007F09C3" w:rsidRDefault="009A1600" w:rsidP="007F09C3">
      <w:pPr>
        <w:jc w:val="both"/>
        <w:rPr>
          <w:rFonts w:ascii="Arial Narrow" w:hAnsi="Arial Narrow" w:cstheme="minorHAnsi"/>
          <w:sz w:val="24"/>
          <w:szCs w:val="24"/>
          <w:lang w:val="es-CO"/>
        </w:rPr>
      </w:pPr>
    </w:p>
    <w:p w14:paraId="576935BE" w14:textId="77777777" w:rsidR="00716326" w:rsidRPr="007F09C3" w:rsidRDefault="0076002E"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Igual de destacado al crecimiento del activo y de la cartera </w:t>
      </w:r>
      <w:r w:rsidR="00AD4B4C" w:rsidRPr="007F09C3">
        <w:rPr>
          <w:rFonts w:ascii="Arial Narrow" w:hAnsi="Arial Narrow" w:cstheme="minorHAnsi"/>
          <w:sz w:val="24"/>
          <w:szCs w:val="24"/>
          <w:lang w:val="es-CO"/>
        </w:rPr>
        <w:t xml:space="preserve">ha sido el aumento de las captaciones de aportes y ahorros de los asociados </w:t>
      </w:r>
      <w:r w:rsidR="00ED2732" w:rsidRPr="007F09C3">
        <w:rPr>
          <w:rFonts w:ascii="Arial Narrow" w:hAnsi="Arial Narrow" w:cstheme="minorHAnsi"/>
          <w:sz w:val="24"/>
          <w:szCs w:val="24"/>
          <w:lang w:val="es-CO"/>
        </w:rPr>
        <w:t xml:space="preserve">que se duplicaron solo en 4 años pasando de $41 mil millones en 2017 a casi $80 mil millones al cierre de 2021 </w:t>
      </w:r>
      <w:r w:rsidR="00193435" w:rsidRPr="007F09C3">
        <w:rPr>
          <w:rFonts w:ascii="Arial Narrow" w:hAnsi="Arial Narrow" w:cstheme="minorHAnsi"/>
          <w:sz w:val="24"/>
          <w:szCs w:val="24"/>
          <w:lang w:val="es-CO"/>
        </w:rPr>
        <w:t xml:space="preserve">y que en solo los dos años de pandemia crecieron desde los $56 mil millones al cierre de 2019 hasta los </w:t>
      </w:r>
      <w:r w:rsidR="005617AF" w:rsidRPr="007F09C3">
        <w:rPr>
          <w:rFonts w:ascii="Arial Narrow" w:hAnsi="Arial Narrow" w:cstheme="minorHAnsi"/>
          <w:sz w:val="24"/>
          <w:szCs w:val="24"/>
          <w:lang w:val="es-CO"/>
        </w:rPr>
        <w:t xml:space="preserve">$69 mil millones en 2020.  </w:t>
      </w:r>
    </w:p>
    <w:p w14:paraId="7870C4E8" w14:textId="77777777" w:rsidR="00716326" w:rsidRPr="007F09C3" w:rsidRDefault="00716326" w:rsidP="007F09C3">
      <w:pPr>
        <w:jc w:val="both"/>
        <w:rPr>
          <w:rFonts w:ascii="Arial Narrow" w:hAnsi="Arial Narrow" w:cstheme="minorHAnsi"/>
          <w:sz w:val="24"/>
          <w:szCs w:val="24"/>
          <w:lang w:val="es-CO"/>
        </w:rPr>
      </w:pPr>
    </w:p>
    <w:p w14:paraId="1C76E556" w14:textId="77777777" w:rsidR="00716326" w:rsidRPr="007F09C3" w:rsidRDefault="005617AF"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Es decir los aportes y ahorros en total crecieron 23% </w:t>
      </w:r>
      <w:r w:rsidR="008B2153" w:rsidRPr="007F09C3">
        <w:rPr>
          <w:rFonts w:ascii="Arial Narrow" w:hAnsi="Arial Narrow" w:cstheme="minorHAnsi"/>
          <w:sz w:val="24"/>
          <w:szCs w:val="24"/>
          <w:lang w:val="es-CO"/>
        </w:rPr>
        <w:t>anualmente durante los años 2019 y 2020 desacelerando ligeramente en 2021 con un crecimiento de 16% y apalancando</w:t>
      </w:r>
      <w:r w:rsidR="004C7C0A" w:rsidRPr="007F09C3">
        <w:rPr>
          <w:rFonts w:ascii="Arial Narrow" w:hAnsi="Arial Narrow" w:cstheme="minorHAnsi"/>
          <w:sz w:val="24"/>
          <w:szCs w:val="24"/>
          <w:lang w:val="es-CO"/>
        </w:rPr>
        <w:t xml:space="preserve"> casi un 78% del total de la cartera</w:t>
      </w:r>
      <w:r w:rsidR="008B2153" w:rsidRPr="007F09C3">
        <w:rPr>
          <w:rFonts w:ascii="Arial Narrow" w:hAnsi="Arial Narrow" w:cstheme="minorHAnsi"/>
          <w:sz w:val="24"/>
          <w:szCs w:val="24"/>
          <w:lang w:val="es-CO"/>
        </w:rPr>
        <w:t xml:space="preserve">, participación ligeramente superior </w:t>
      </w:r>
      <w:r w:rsidR="00FF1F01" w:rsidRPr="007F09C3">
        <w:rPr>
          <w:rFonts w:ascii="Arial Narrow" w:hAnsi="Arial Narrow" w:cstheme="minorHAnsi"/>
          <w:sz w:val="24"/>
          <w:szCs w:val="24"/>
          <w:lang w:val="es-CO"/>
        </w:rPr>
        <w:t>al 77% del 2020 y</w:t>
      </w:r>
      <w:r w:rsidR="00E4544B" w:rsidRPr="007F09C3">
        <w:rPr>
          <w:rFonts w:ascii="Arial Narrow" w:hAnsi="Arial Narrow" w:cstheme="minorHAnsi"/>
          <w:sz w:val="24"/>
          <w:szCs w:val="24"/>
          <w:lang w:val="es-CO"/>
        </w:rPr>
        <w:t xml:space="preserve"> con una clara tendencia constante al alza desde el 69% que mostraba en 2016 reduciendo la dependencia de las obligaciones financieras y por ende, el riesgo de mercado</w:t>
      </w:r>
      <w:r w:rsidR="00247A6D" w:rsidRPr="007F09C3">
        <w:rPr>
          <w:rFonts w:ascii="Arial Narrow" w:hAnsi="Arial Narrow" w:cstheme="minorHAnsi"/>
          <w:sz w:val="24"/>
          <w:szCs w:val="24"/>
          <w:lang w:val="es-CO"/>
        </w:rPr>
        <w:t xml:space="preserve">.  </w:t>
      </w:r>
    </w:p>
    <w:p w14:paraId="3C2E037D" w14:textId="77777777" w:rsidR="00716326" w:rsidRPr="007F09C3" w:rsidRDefault="00716326" w:rsidP="007F09C3">
      <w:pPr>
        <w:jc w:val="both"/>
        <w:rPr>
          <w:rFonts w:ascii="Arial Narrow" w:hAnsi="Arial Narrow" w:cstheme="minorHAnsi"/>
          <w:sz w:val="24"/>
          <w:szCs w:val="24"/>
          <w:lang w:val="es-CO"/>
        </w:rPr>
      </w:pPr>
    </w:p>
    <w:p w14:paraId="1105DA5D" w14:textId="1848CEB0" w:rsidR="009A1600" w:rsidRPr="007F09C3" w:rsidRDefault="00247A6D"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lastRenderedPageBreak/>
        <w:t xml:space="preserve">Es así como el endeudamiento bancario que llegó a representar el 22,1% del activo en 2016 </w:t>
      </w:r>
      <w:r w:rsidR="003535D2" w:rsidRPr="007F09C3">
        <w:rPr>
          <w:rFonts w:ascii="Arial Narrow" w:hAnsi="Arial Narrow" w:cstheme="minorHAnsi"/>
          <w:sz w:val="24"/>
          <w:szCs w:val="24"/>
          <w:lang w:val="es-CO"/>
        </w:rPr>
        <w:t>se ha reducido constantemente hasta llegar a niveles del 16% promedio en los últimos 4 años y de hecho se mantiene comparativamente estable en 2021 y 2020 con 15,7% y 16,1% respectivamente.</w:t>
      </w:r>
    </w:p>
    <w:p w14:paraId="638EE36E" w14:textId="77777777" w:rsidR="00743B4F" w:rsidRPr="007F09C3" w:rsidRDefault="00743B4F" w:rsidP="007F09C3">
      <w:pPr>
        <w:jc w:val="both"/>
        <w:rPr>
          <w:rFonts w:ascii="Arial Narrow" w:hAnsi="Arial Narrow" w:cstheme="minorHAnsi"/>
          <w:sz w:val="24"/>
          <w:szCs w:val="24"/>
          <w:lang w:val="es-CO"/>
        </w:rPr>
      </w:pPr>
    </w:p>
    <w:p w14:paraId="35E7D033" w14:textId="6DFE407D" w:rsidR="00743B4F" w:rsidRPr="007F09C3" w:rsidRDefault="00743B4F" w:rsidP="007F09C3">
      <w:pPr>
        <w:pStyle w:val="Prrafodelista"/>
        <w:numPr>
          <w:ilvl w:val="2"/>
          <w:numId w:val="1"/>
        </w:numPr>
        <w:shd w:val="clear" w:color="auto" w:fill="C5E0B3" w:themeFill="accent6" w:themeFillTint="66"/>
        <w:jc w:val="both"/>
        <w:rPr>
          <w:rFonts w:ascii="Arial Narrow" w:hAnsi="Arial Narrow" w:cstheme="minorHAnsi"/>
          <w:b/>
          <w:bCs/>
          <w:sz w:val="24"/>
          <w:szCs w:val="24"/>
          <w:lang w:val="es-CO"/>
        </w:rPr>
      </w:pPr>
      <w:r w:rsidRPr="007F09C3">
        <w:rPr>
          <w:rFonts w:ascii="Arial Narrow" w:hAnsi="Arial Narrow" w:cstheme="minorHAnsi"/>
          <w:b/>
          <w:bCs/>
          <w:sz w:val="24"/>
          <w:szCs w:val="24"/>
          <w:lang w:val="es-CO"/>
        </w:rPr>
        <w:t xml:space="preserve">Resultados </w:t>
      </w:r>
    </w:p>
    <w:p w14:paraId="03036FE2" w14:textId="77777777" w:rsidR="00743B4F" w:rsidRPr="007F09C3" w:rsidRDefault="00743B4F" w:rsidP="007F09C3">
      <w:pPr>
        <w:jc w:val="both"/>
        <w:rPr>
          <w:rFonts w:ascii="Arial Narrow" w:hAnsi="Arial Narrow" w:cstheme="minorHAnsi"/>
          <w:sz w:val="24"/>
          <w:szCs w:val="24"/>
          <w:lang w:val="es-CO"/>
        </w:rPr>
      </w:pPr>
    </w:p>
    <w:p w14:paraId="45E19A01" w14:textId="5C163F9B" w:rsidR="00716326" w:rsidRPr="007F09C3" w:rsidRDefault="0033061F"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Las mejoras en eficiencia por volumen de cartera se han traducido en menores costos de endeudamiento para los asociados quienes han podido encontrar en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una opción altamente competitiva en términos de tasa, servicio y transparencia en cuanto a las condiciones de los servicios.</w:t>
      </w:r>
    </w:p>
    <w:p w14:paraId="4F494EE9" w14:textId="4A652220" w:rsidR="0033061F" w:rsidRPr="007F09C3" w:rsidRDefault="0033061F" w:rsidP="007F09C3">
      <w:pPr>
        <w:jc w:val="both"/>
        <w:rPr>
          <w:rFonts w:ascii="Arial Narrow" w:hAnsi="Arial Narrow" w:cstheme="minorHAnsi"/>
          <w:sz w:val="24"/>
          <w:szCs w:val="24"/>
          <w:lang w:val="es-CO"/>
        </w:rPr>
      </w:pPr>
    </w:p>
    <w:p w14:paraId="24DB0B88" w14:textId="02F8528C" w:rsidR="0033061F" w:rsidRPr="007F09C3" w:rsidRDefault="0033061F"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Como es de esperarse los ingresos de la cartera de créditos representan el 93% del total de ingresos</w:t>
      </w:r>
      <w:r w:rsidR="004F048A" w:rsidRPr="007F09C3">
        <w:rPr>
          <w:rFonts w:ascii="Arial Narrow" w:hAnsi="Arial Narrow" w:cstheme="minorHAnsi"/>
          <w:sz w:val="24"/>
          <w:szCs w:val="24"/>
          <w:lang w:val="es-CO"/>
        </w:rPr>
        <w:t xml:space="preserve"> del 2021</w:t>
      </w:r>
      <w:r w:rsidRPr="007F09C3">
        <w:rPr>
          <w:rFonts w:ascii="Arial Narrow" w:hAnsi="Arial Narrow" w:cstheme="minorHAnsi"/>
          <w:sz w:val="24"/>
          <w:szCs w:val="24"/>
          <w:lang w:val="es-CO"/>
        </w:rPr>
        <w:t xml:space="preserve"> reduciéndose ligeramente frente al 94% del 2020</w:t>
      </w:r>
      <w:r w:rsidR="004F048A" w:rsidRPr="007F09C3">
        <w:rPr>
          <w:rFonts w:ascii="Arial Narrow" w:hAnsi="Arial Narrow" w:cstheme="minorHAnsi"/>
          <w:sz w:val="24"/>
          <w:szCs w:val="24"/>
          <w:lang w:val="es-CO"/>
        </w:rPr>
        <w:t xml:space="preserve"> con una tasa de rentabilidad de la cartera que se viene reduciendo de manera constante desde el 12,5% en 2018 hasta 11,9% en 2020 y 11,7% en 2021</w:t>
      </w:r>
      <w:r w:rsidR="005E4EEA" w:rsidRPr="007F09C3">
        <w:rPr>
          <w:rFonts w:ascii="Arial Narrow" w:hAnsi="Arial Narrow" w:cstheme="minorHAnsi"/>
          <w:sz w:val="24"/>
          <w:szCs w:val="24"/>
          <w:lang w:val="es-CO"/>
        </w:rPr>
        <w:t xml:space="preserve"> siendo muy inferior al 15% promedio del sector</w:t>
      </w:r>
      <w:r w:rsidR="004F048A" w:rsidRPr="007F09C3">
        <w:rPr>
          <w:rFonts w:ascii="Arial Narrow" w:hAnsi="Arial Narrow" w:cstheme="minorHAnsi"/>
          <w:sz w:val="24"/>
          <w:szCs w:val="24"/>
          <w:lang w:val="es-CO"/>
        </w:rPr>
        <w:t>.  Aunque nominalmente parezca poco</w:t>
      </w:r>
      <w:r w:rsidR="00532048" w:rsidRPr="007F09C3">
        <w:rPr>
          <w:rFonts w:ascii="Arial Narrow" w:hAnsi="Arial Narrow" w:cstheme="minorHAnsi"/>
          <w:sz w:val="24"/>
          <w:szCs w:val="24"/>
          <w:lang w:val="es-CO"/>
        </w:rPr>
        <w:t>,</w:t>
      </w:r>
      <w:r w:rsidR="004F048A" w:rsidRPr="007F09C3">
        <w:rPr>
          <w:rFonts w:ascii="Arial Narrow" w:hAnsi="Arial Narrow" w:cstheme="minorHAnsi"/>
          <w:sz w:val="24"/>
          <w:szCs w:val="24"/>
          <w:lang w:val="es-CO"/>
        </w:rPr>
        <w:t xml:space="preserve"> la reducción de 0,8% en la tasa de rentabilidad de la cartera representa un ahorro en el pago de intereses a los deudores de casi $700 millones de pesos durante el año 2021 equivalente al 58% de los excedentes.</w:t>
      </w:r>
    </w:p>
    <w:p w14:paraId="5E18C769" w14:textId="77A6E301" w:rsidR="004F048A" w:rsidRPr="007F09C3" w:rsidRDefault="004F048A" w:rsidP="007F09C3">
      <w:pPr>
        <w:jc w:val="both"/>
        <w:rPr>
          <w:rFonts w:ascii="Arial Narrow" w:hAnsi="Arial Narrow" w:cstheme="minorHAnsi"/>
          <w:sz w:val="24"/>
          <w:szCs w:val="24"/>
          <w:lang w:val="es-CO"/>
        </w:rPr>
      </w:pPr>
    </w:p>
    <w:p w14:paraId="585F91BA" w14:textId="5D10C336" w:rsidR="004F048A" w:rsidRPr="007F09C3" w:rsidRDefault="00532048"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El costo promedio de los depósitos fue del 5,6% anual tanto en el 2020 como en los dos años precedentes y</w:t>
      </w:r>
      <w:r w:rsidR="004F048A" w:rsidRPr="007F09C3">
        <w:rPr>
          <w:rFonts w:ascii="Arial Narrow" w:hAnsi="Arial Narrow" w:cstheme="minorHAnsi"/>
          <w:sz w:val="24"/>
          <w:szCs w:val="24"/>
          <w:lang w:val="es-CO"/>
        </w:rPr>
        <w:t xml:space="preserve"> se redujo al 4,6% teniendo en cuenta </w:t>
      </w:r>
      <w:r w:rsidRPr="007F09C3">
        <w:rPr>
          <w:rFonts w:ascii="Arial Narrow" w:hAnsi="Arial Narrow" w:cstheme="minorHAnsi"/>
          <w:sz w:val="24"/>
          <w:szCs w:val="24"/>
          <w:lang w:val="es-CO"/>
        </w:rPr>
        <w:t>el comportamiento del mercado.  Esta tasa equivale al doble del promedio de</w:t>
      </w:r>
      <w:r w:rsidR="00B13157" w:rsidRPr="007F09C3">
        <w:rPr>
          <w:rFonts w:ascii="Arial Narrow" w:hAnsi="Arial Narrow" w:cstheme="minorHAnsi"/>
          <w:sz w:val="24"/>
          <w:szCs w:val="24"/>
          <w:lang w:val="es-CO"/>
        </w:rPr>
        <w:t xml:space="preserve"> la IBR a 90 días durante 2021</w:t>
      </w:r>
      <w:r w:rsidRPr="007F09C3">
        <w:rPr>
          <w:rFonts w:ascii="Arial Narrow" w:hAnsi="Arial Narrow" w:cstheme="minorHAnsi"/>
          <w:sz w:val="24"/>
          <w:szCs w:val="24"/>
          <w:lang w:val="es-CO"/>
        </w:rPr>
        <w:t xml:space="preserve"> que apenas fué un 2,13%</w:t>
      </w:r>
      <w:r w:rsidR="005E4EEA" w:rsidRPr="007F09C3">
        <w:rPr>
          <w:rFonts w:ascii="Arial Narrow" w:hAnsi="Arial Narrow" w:cstheme="minorHAnsi"/>
          <w:sz w:val="24"/>
          <w:szCs w:val="24"/>
          <w:lang w:val="es-CO"/>
        </w:rPr>
        <w:t xml:space="preserve"> y es superior al 4% promedio observado en el sector</w:t>
      </w:r>
      <w:r w:rsidR="00B13157" w:rsidRPr="007F09C3">
        <w:rPr>
          <w:rFonts w:ascii="Arial Narrow" w:hAnsi="Arial Narrow" w:cstheme="minorHAnsi"/>
          <w:sz w:val="24"/>
          <w:szCs w:val="24"/>
          <w:lang w:val="es-CO"/>
        </w:rPr>
        <w:t xml:space="preserve">. </w:t>
      </w:r>
      <w:r w:rsidRPr="007F09C3">
        <w:rPr>
          <w:rFonts w:ascii="Arial Narrow" w:hAnsi="Arial Narrow" w:cstheme="minorHAnsi"/>
          <w:sz w:val="24"/>
          <w:szCs w:val="24"/>
          <w:lang w:val="es-CO"/>
        </w:rPr>
        <w:t>La reducción de ese</w:t>
      </w:r>
      <w:r w:rsidR="00B13157" w:rsidRPr="007F09C3">
        <w:rPr>
          <w:rFonts w:ascii="Arial Narrow" w:hAnsi="Arial Narrow" w:cstheme="minorHAnsi"/>
          <w:sz w:val="24"/>
          <w:szCs w:val="24"/>
          <w:lang w:val="es-CO"/>
        </w:rPr>
        <w:t xml:space="preserve"> punto </w:t>
      </w:r>
      <w:r w:rsidRPr="007F09C3">
        <w:rPr>
          <w:rFonts w:ascii="Arial Narrow" w:hAnsi="Arial Narrow" w:cstheme="minorHAnsi"/>
          <w:sz w:val="24"/>
          <w:szCs w:val="24"/>
          <w:lang w:val="es-CO"/>
        </w:rPr>
        <w:t>en el costo de los depósitos</w:t>
      </w:r>
      <w:r w:rsidR="00B13157" w:rsidRPr="007F09C3">
        <w:rPr>
          <w:rFonts w:ascii="Arial Narrow" w:hAnsi="Arial Narrow" w:cstheme="minorHAnsi"/>
          <w:sz w:val="24"/>
          <w:szCs w:val="24"/>
          <w:lang w:val="es-CO"/>
        </w:rPr>
        <w:t xml:space="preserve"> también significo un ahorro de costos financieros potenciales estimados en casi $500 millones durante 2021, costos que regresarán durante 2022 y 2023.</w:t>
      </w:r>
      <w:r w:rsidR="004F048A" w:rsidRPr="007F09C3">
        <w:rPr>
          <w:rFonts w:ascii="Arial Narrow" w:hAnsi="Arial Narrow" w:cstheme="minorHAnsi"/>
          <w:sz w:val="24"/>
          <w:szCs w:val="24"/>
          <w:lang w:val="es-CO"/>
        </w:rPr>
        <w:t xml:space="preserve"> </w:t>
      </w:r>
    </w:p>
    <w:p w14:paraId="6E8515FF" w14:textId="02A9DBF7" w:rsidR="00B7726F" w:rsidRPr="007F09C3" w:rsidRDefault="00B7726F" w:rsidP="007F09C3">
      <w:pPr>
        <w:jc w:val="both"/>
        <w:rPr>
          <w:rFonts w:ascii="Arial Narrow" w:hAnsi="Arial Narrow" w:cstheme="minorHAnsi"/>
          <w:sz w:val="24"/>
          <w:szCs w:val="24"/>
          <w:lang w:val="es-CO"/>
        </w:rPr>
      </w:pPr>
    </w:p>
    <w:p w14:paraId="49683DD0" w14:textId="0B8378A3" w:rsidR="00B7726F" w:rsidRPr="007F09C3" w:rsidRDefault="00B7726F"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Los gastos de personal y generales sin gastos varios consumen el 37% de los ingresos financieros (intereses de cartera y rendimientos financieros), </w:t>
      </w:r>
      <w:r w:rsidR="005E4EEA" w:rsidRPr="007F09C3">
        <w:rPr>
          <w:rFonts w:ascii="Arial Narrow" w:hAnsi="Arial Narrow" w:cstheme="minorHAnsi"/>
          <w:sz w:val="24"/>
          <w:szCs w:val="24"/>
          <w:lang w:val="es-CO"/>
        </w:rPr>
        <w:t>participación que se mantiene mas o menos constante desde 2018 siendo inferior en 18 puntos porcentuales al promedio observado en las cooperativas de ahorro y crédito.</w:t>
      </w:r>
    </w:p>
    <w:p w14:paraId="4DB7CC66" w14:textId="1F2944F5" w:rsidR="005E4EEA" w:rsidRPr="007F09C3" w:rsidRDefault="005E4EEA" w:rsidP="007F09C3">
      <w:pPr>
        <w:jc w:val="both"/>
        <w:rPr>
          <w:rFonts w:ascii="Arial Narrow" w:hAnsi="Arial Narrow" w:cstheme="minorHAnsi"/>
          <w:sz w:val="24"/>
          <w:szCs w:val="24"/>
          <w:lang w:val="es-CO"/>
        </w:rPr>
      </w:pPr>
    </w:p>
    <w:p w14:paraId="0D472261" w14:textId="7C78BBDC" w:rsidR="005E4EEA" w:rsidRPr="007F09C3" w:rsidRDefault="005E4EEA"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En conclusión estructuralmente el margen de intermediación en tasa (rentabilidad de la cartera – costo de los depósitos) se mantiene alrededor del 7% anual, más de cuatro puntos menos que el margen de intermediación promedio del sector.</w:t>
      </w:r>
    </w:p>
    <w:p w14:paraId="3ECBD01F" w14:textId="2BFC1000" w:rsidR="005E4EEA" w:rsidRPr="007F09C3" w:rsidRDefault="005E4EEA" w:rsidP="007F09C3">
      <w:pPr>
        <w:jc w:val="both"/>
        <w:rPr>
          <w:rFonts w:ascii="Arial Narrow" w:hAnsi="Arial Narrow" w:cstheme="minorHAnsi"/>
          <w:sz w:val="24"/>
          <w:szCs w:val="24"/>
          <w:lang w:val="es-CO"/>
        </w:rPr>
      </w:pPr>
    </w:p>
    <w:p w14:paraId="3D10A94E" w14:textId="77777777" w:rsidR="00F56C35" w:rsidRPr="007F09C3" w:rsidRDefault="005E4EEA"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Además de los excedentes netos que muestra el resultado de 2021 por $1.209 millones frente a los $901 millones de pesos del año 2020 (crecimiento del 34%) debe tenerse en cuenta que la Cooperativa incurre en gastos educativos, recreativos, atenciones y auxilios para los asociados que se registran como </w:t>
      </w:r>
      <w:r w:rsidR="00757E88" w:rsidRPr="007F09C3">
        <w:rPr>
          <w:rFonts w:ascii="Arial Narrow" w:hAnsi="Arial Narrow" w:cstheme="minorHAnsi"/>
          <w:sz w:val="24"/>
          <w:szCs w:val="24"/>
          <w:lang w:val="es-CO"/>
        </w:rPr>
        <w:t xml:space="preserve">otros gastos o gastos varios pero que en últimas no son gastos de la administración y más bien son beneficios adicionales a los excedentes.  </w:t>
      </w:r>
    </w:p>
    <w:p w14:paraId="6F27EDF0" w14:textId="77777777" w:rsidR="00F56C35" w:rsidRPr="007F09C3" w:rsidRDefault="00F56C35" w:rsidP="007F09C3">
      <w:pPr>
        <w:jc w:val="both"/>
        <w:rPr>
          <w:rFonts w:ascii="Arial Narrow" w:hAnsi="Arial Narrow" w:cstheme="minorHAnsi"/>
          <w:sz w:val="24"/>
          <w:szCs w:val="24"/>
          <w:lang w:val="es-CO"/>
        </w:rPr>
      </w:pPr>
    </w:p>
    <w:p w14:paraId="267E904C" w14:textId="444A3C8E" w:rsidR="00FB5B1F" w:rsidRPr="007F09C3" w:rsidRDefault="00757E88"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Sumados esos gastos “sociales” (511095</w:t>
      </w:r>
      <w:r w:rsidR="00F56C35" w:rsidRPr="007F09C3">
        <w:rPr>
          <w:rFonts w:ascii="Arial Narrow" w:hAnsi="Arial Narrow" w:cstheme="minorHAnsi"/>
          <w:sz w:val="24"/>
          <w:szCs w:val="24"/>
          <w:lang w:val="es-CO"/>
        </w:rPr>
        <w:t>, 523035</w:t>
      </w:r>
      <w:r w:rsidRPr="007F09C3">
        <w:rPr>
          <w:rFonts w:ascii="Arial Narrow" w:hAnsi="Arial Narrow" w:cstheme="minorHAnsi"/>
          <w:sz w:val="24"/>
          <w:szCs w:val="24"/>
          <w:lang w:val="es-CO"/>
        </w:rPr>
        <w:t xml:space="preserve"> y 523095) a los excedentes, el resultado neto positivo del 2021 fue de $</w:t>
      </w:r>
      <w:r w:rsidR="00F56C35" w:rsidRPr="007F09C3">
        <w:rPr>
          <w:rFonts w:ascii="Arial Narrow" w:hAnsi="Arial Narrow" w:cstheme="minorHAnsi"/>
          <w:sz w:val="24"/>
          <w:szCs w:val="24"/>
          <w:lang w:val="es-CO"/>
        </w:rPr>
        <w:t>2</w:t>
      </w:r>
      <w:r w:rsidRPr="007F09C3">
        <w:rPr>
          <w:rFonts w:ascii="Arial Narrow" w:hAnsi="Arial Narrow" w:cstheme="minorHAnsi"/>
          <w:sz w:val="24"/>
          <w:szCs w:val="24"/>
          <w:lang w:val="es-CO"/>
        </w:rPr>
        <w:t>.</w:t>
      </w:r>
      <w:r w:rsidR="00F56C35" w:rsidRPr="007F09C3">
        <w:rPr>
          <w:rFonts w:ascii="Arial Narrow" w:hAnsi="Arial Narrow" w:cstheme="minorHAnsi"/>
          <w:sz w:val="24"/>
          <w:szCs w:val="24"/>
          <w:lang w:val="es-CO"/>
        </w:rPr>
        <w:t>405</w:t>
      </w:r>
      <w:r w:rsidRPr="007F09C3">
        <w:rPr>
          <w:rFonts w:ascii="Arial Narrow" w:hAnsi="Arial Narrow" w:cstheme="minorHAnsi"/>
          <w:sz w:val="24"/>
          <w:szCs w:val="24"/>
          <w:lang w:val="es-CO"/>
        </w:rPr>
        <w:t xml:space="preserve"> millones frente a $1.944 millones del año 2020</w:t>
      </w:r>
      <w:r w:rsidR="00F56C35" w:rsidRPr="007F09C3">
        <w:rPr>
          <w:rFonts w:ascii="Arial Narrow" w:hAnsi="Arial Narrow" w:cstheme="minorHAnsi"/>
          <w:sz w:val="24"/>
          <w:szCs w:val="24"/>
          <w:lang w:val="es-CO"/>
        </w:rPr>
        <w:t xml:space="preserve"> </w:t>
      </w:r>
      <w:r w:rsidR="00FB5B1F" w:rsidRPr="007F09C3">
        <w:rPr>
          <w:rFonts w:ascii="Arial Narrow" w:hAnsi="Arial Narrow" w:cstheme="minorHAnsi"/>
          <w:sz w:val="24"/>
          <w:szCs w:val="24"/>
          <w:lang w:val="es-CO"/>
        </w:rPr>
        <w:t>lo que equivale a un crecimiento del</w:t>
      </w:r>
      <w:r w:rsidR="00F56C35" w:rsidRPr="007F09C3">
        <w:rPr>
          <w:rFonts w:ascii="Arial Narrow" w:hAnsi="Arial Narrow" w:cstheme="minorHAnsi"/>
          <w:sz w:val="24"/>
          <w:szCs w:val="24"/>
          <w:lang w:val="es-CO"/>
        </w:rPr>
        <w:t xml:space="preserve"> 24%</w:t>
      </w:r>
      <w:r w:rsidR="00FB5B1F" w:rsidRPr="007F09C3">
        <w:rPr>
          <w:rFonts w:ascii="Arial Narrow" w:hAnsi="Arial Narrow" w:cstheme="minorHAnsi"/>
          <w:sz w:val="24"/>
          <w:szCs w:val="24"/>
          <w:lang w:val="es-CO"/>
        </w:rPr>
        <w:t xml:space="preserve"> (A</w:t>
      </w:r>
      <w:r w:rsidRPr="007F09C3">
        <w:rPr>
          <w:rFonts w:ascii="Arial Narrow" w:hAnsi="Arial Narrow" w:cstheme="minorHAnsi"/>
          <w:sz w:val="24"/>
          <w:szCs w:val="24"/>
          <w:lang w:val="es-CO"/>
        </w:rPr>
        <w:t>ños 2019 y 2018 arrojaron $2.029 y $2.142 millones respectivamente</w:t>
      </w:r>
      <w:r w:rsidR="00FB5B1F" w:rsidRPr="007F09C3">
        <w:rPr>
          <w:rFonts w:ascii="Arial Narrow" w:hAnsi="Arial Narrow" w:cstheme="minorHAnsi"/>
          <w:sz w:val="24"/>
          <w:szCs w:val="24"/>
          <w:lang w:val="es-CO"/>
        </w:rPr>
        <w:t>)</w:t>
      </w:r>
      <w:r w:rsidRPr="007F09C3">
        <w:rPr>
          <w:rFonts w:ascii="Arial Narrow" w:hAnsi="Arial Narrow" w:cstheme="minorHAnsi"/>
          <w:sz w:val="24"/>
          <w:szCs w:val="24"/>
          <w:lang w:val="es-CO"/>
        </w:rPr>
        <w:t xml:space="preserve">. </w:t>
      </w:r>
    </w:p>
    <w:p w14:paraId="4495D32D" w14:textId="42D33633" w:rsidR="00757E88" w:rsidRPr="007F09C3" w:rsidRDefault="00757E88" w:rsidP="007F09C3">
      <w:pPr>
        <w:jc w:val="both"/>
        <w:rPr>
          <w:rFonts w:ascii="Arial Narrow" w:hAnsi="Arial Narrow" w:cstheme="minorHAnsi"/>
          <w:sz w:val="24"/>
          <w:szCs w:val="24"/>
          <w:lang w:val="es-CO"/>
        </w:rPr>
      </w:pPr>
    </w:p>
    <w:p w14:paraId="3AC527E0" w14:textId="103F65FE" w:rsidR="00D3116E" w:rsidRPr="007F09C3" w:rsidRDefault="00757E88"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Sin embargo, además de lo anterior,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ha hecho importantes esfuerzos en materia de incremento de las provisiones de la cartera </w:t>
      </w:r>
      <w:r w:rsidR="001F638A" w:rsidRPr="007F09C3">
        <w:rPr>
          <w:rFonts w:ascii="Arial Narrow" w:hAnsi="Arial Narrow" w:cstheme="minorHAnsi"/>
          <w:sz w:val="24"/>
          <w:szCs w:val="24"/>
          <w:lang w:val="es-CO"/>
        </w:rPr>
        <w:t xml:space="preserve">para mejorar la cobertura y como resultado de las mayores recalificaciones de cartera.  </w:t>
      </w:r>
    </w:p>
    <w:p w14:paraId="2A988B96" w14:textId="77777777" w:rsidR="00D3116E" w:rsidRPr="007F09C3" w:rsidRDefault="00D3116E" w:rsidP="007F09C3">
      <w:pPr>
        <w:jc w:val="both"/>
        <w:rPr>
          <w:rFonts w:ascii="Arial Narrow" w:hAnsi="Arial Narrow" w:cstheme="minorHAnsi"/>
          <w:sz w:val="24"/>
          <w:szCs w:val="24"/>
          <w:lang w:val="es-CO"/>
        </w:rPr>
      </w:pPr>
    </w:p>
    <w:p w14:paraId="3BD30CA2" w14:textId="3897976A" w:rsidR="00757E88" w:rsidRPr="007F09C3" w:rsidRDefault="001F638A"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Solo en 2021 las provisiones</w:t>
      </w:r>
      <w:r w:rsidR="00F56C35" w:rsidRPr="007F09C3">
        <w:rPr>
          <w:rFonts w:ascii="Arial Narrow" w:hAnsi="Arial Narrow" w:cstheme="minorHAnsi"/>
          <w:sz w:val="24"/>
          <w:szCs w:val="24"/>
          <w:lang w:val="es-CO"/>
        </w:rPr>
        <w:t xml:space="preserve"> netas de recuperaciones</w:t>
      </w:r>
      <w:r w:rsidRPr="007F09C3">
        <w:rPr>
          <w:rFonts w:ascii="Arial Narrow" w:hAnsi="Arial Narrow" w:cstheme="minorHAnsi"/>
          <w:sz w:val="24"/>
          <w:szCs w:val="24"/>
          <w:lang w:val="es-CO"/>
        </w:rPr>
        <w:t xml:space="preserve"> fueron $1.</w:t>
      </w:r>
      <w:r w:rsidR="00F56C35" w:rsidRPr="007F09C3">
        <w:rPr>
          <w:rFonts w:ascii="Arial Narrow" w:hAnsi="Arial Narrow" w:cstheme="minorHAnsi"/>
          <w:sz w:val="24"/>
          <w:szCs w:val="24"/>
          <w:lang w:val="es-CO"/>
        </w:rPr>
        <w:t>158</w:t>
      </w:r>
      <w:r w:rsidRPr="007F09C3">
        <w:rPr>
          <w:rFonts w:ascii="Arial Narrow" w:hAnsi="Arial Narrow" w:cstheme="minorHAnsi"/>
          <w:sz w:val="24"/>
          <w:szCs w:val="24"/>
          <w:lang w:val="es-CO"/>
        </w:rPr>
        <w:t xml:space="preserve"> millones frente a $</w:t>
      </w:r>
      <w:r w:rsidR="00F56C35" w:rsidRPr="007F09C3">
        <w:rPr>
          <w:rFonts w:ascii="Arial Narrow" w:hAnsi="Arial Narrow" w:cstheme="minorHAnsi"/>
          <w:sz w:val="24"/>
          <w:szCs w:val="24"/>
          <w:lang w:val="es-CO"/>
        </w:rPr>
        <w:t>82</w:t>
      </w:r>
      <w:r w:rsidRPr="007F09C3">
        <w:rPr>
          <w:rFonts w:ascii="Arial Narrow" w:hAnsi="Arial Narrow" w:cstheme="minorHAnsi"/>
          <w:sz w:val="24"/>
          <w:szCs w:val="24"/>
          <w:lang w:val="es-CO"/>
        </w:rPr>
        <w:t>1 millones en 2020</w:t>
      </w:r>
      <w:r w:rsidR="00F56C35" w:rsidRPr="007F09C3">
        <w:rPr>
          <w:rFonts w:ascii="Arial Narrow" w:hAnsi="Arial Narrow" w:cstheme="minorHAnsi"/>
          <w:sz w:val="24"/>
          <w:szCs w:val="24"/>
          <w:lang w:val="es-CO"/>
        </w:rPr>
        <w:t xml:space="preserve"> (crecimiento 41%)</w:t>
      </w:r>
      <w:r w:rsidRPr="007F09C3">
        <w:rPr>
          <w:rFonts w:ascii="Arial Narrow" w:hAnsi="Arial Narrow" w:cstheme="minorHAnsi"/>
          <w:sz w:val="24"/>
          <w:szCs w:val="24"/>
          <w:lang w:val="es-CO"/>
        </w:rPr>
        <w:t xml:space="preserve"> así que en solo los dos últimos años se constituyeron $</w:t>
      </w:r>
      <w:r w:rsidR="00F56C35" w:rsidRPr="007F09C3">
        <w:rPr>
          <w:rFonts w:ascii="Arial Narrow" w:hAnsi="Arial Narrow" w:cstheme="minorHAnsi"/>
          <w:sz w:val="24"/>
          <w:szCs w:val="24"/>
          <w:lang w:val="es-CO"/>
        </w:rPr>
        <w:t>1.978</w:t>
      </w:r>
      <w:r w:rsidRPr="007F09C3">
        <w:rPr>
          <w:rFonts w:ascii="Arial Narrow" w:hAnsi="Arial Narrow" w:cstheme="minorHAnsi"/>
          <w:sz w:val="24"/>
          <w:szCs w:val="24"/>
          <w:lang w:val="es-CO"/>
        </w:rPr>
        <w:t xml:space="preserve"> millones de provisiones </w:t>
      </w:r>
      <w:r w:rsidR="00F56C35" w:rsidRPr="007F09C3">
        <w:rPr>
          <w:rFonts w:ascii="Arial Narrow" w:hAnsi="Arial Narrow" w:cstheme="minorHAnsi"/>
          <w:sz w:val="24"/>
          <w:szCs w:val="24"/>
          <w:lang w:val="es-CO"/>
        </w:rPr>
        <w:t xml:space="preserve">netas equivalentes al 10% de los intereses de cartera recibidos en total durante 2020-2021, cifra </w:t>
      </w:r>
      <w:r w:rsidRPr="007F09C3">
        <w:rPr>
          <w:rFonts w:ascii="Arial Narrow" w:hAnsi="Arial Narrow" w:cstheme="minorHAnsi"/>
          <w:sz w:val="24"/>
          <w:szCs w:val="24"/>
          <w:lang w:val="es-CO"/>
        </w:rPr>
        <w:t xml:space="preserve">que </w:t>
      </w:r>
      <w:r w:rsidR="00F56C35" w:rsidRPr="007F09C3">
        <w:rPr>
          <w:rFonts w:ascii="Arial Narrow" w:hAnsi="Arial Narrow" w:cstheme="minorHAnsi"/>
          <w:sz w:val="24"/>
          <w:szCs w:val="24"/>
          <w:lang w:val="es-CO"/>
        </w:rPr>
        <w:t>duplica</w:t>
      </w:r>
      <w:r w:rsidRPr="007F09C3">
        <w:rPr>
          <w:rFonts w:ascii="Arial Narrow" w:hAnsi="Arial Narrow" w:cstheme="minorHAnsi"/>
          <w:sz w:val="24"/>
          <w:szCs w:val="24"/>
          <w:lang w:val="es-CO"/>
        </w:rPr>
        <w:t xml:space="preserve"> l</w:t>
      </w:r>
      <w:r w:rsidR="00F56C35" w:rsidRPr="007F09C3">
        <w:rPr>
          <w:rFonts w:ascii="Arial Narrow" w:hAnsi="Arial Narrow" w:cstheme="minorHAnsi"/>
          <w:sz w:val="24"/>
          <w:szCs w:val="24"/>
          <w:lang w:val="es-CO"/>
        </w:rPr>
        <w:t>o</w:t>
      </w:r>
      <w:r w:rsidRPr="007F09C3">
        <w:rPr>
          <w:rFonts w:ascii="Arial Narrow" w:hAnsi="Arial Narrow" w:cstheme="minorHAnsi"/>
          <w:sz w:val="24"/>
          <w:szCs w:val="24"/>
          <w:lang w:val="es-CO"/>
        </w:rPr>
        <w:t>s</w:t>
      </w:r>
      <w:r w:rsidR="00F56C35" w:rsidRPr="007F09C3">
        <w:rPr>
          <w:rFonts w:ascii="Arial Narrow" w:hAnsi="Arial Narrow" w:cstheme="minorHAnsi"/>
          <w:sz w:val="24"/>
          <w:szCs w:val="24"/>
          <w:lang w:val="es-CO"/>
        </w:rPr>
        <w:t xml:space="preserve"> $997 millones de</w:t>
      </w:r>
      <w:r w:rsidRPr="007F09C3">
        <w:rPr>
          <w:rFonts w:ascii="Arial Narrow" w:hAnsi="Arial Narrow" w:cstheme="minorHAnsi"/>
          <w:sz w:val="24"/>
          <w:szCs w:val="24"/>
          <w:lang w:val="es-CO"/>
        </w:rPr>
        <w:t xml:space="preserve"> provisiones</w:t>
      </w:r>
      <w:r w:rsidR="00F56C35" w:rsidRPr="007F09C3">
        <w:rPr>
          <w:rFonts w:ascii="Arial Narrow" w:hAnsi="Arial Narrow" w:cstheme="minorHAnsi"/>
          <w:sz w:val="24"/>
          <w:szCs w:val="24"/>
          <w:lang w:val="es-CO"/>
        </w:rPr>
        <w:t xml:space="preserve"> netas sumadas</w:t>
      </w:r>
      <w:r w:rsidRPr="007F09C3">
        <w:rPr>
          <w:rFonts w:ascii="Arial Narrow" w:hAnsi="Arial Narrow" w:cstheme="minorHAnsi"/>
          <w:sz w:val="24"/>
          <w:szCs w:val="24"/>
          <w:lang w:val="es-CO"/>
        </w:rPr>
        <w:t xml:space="preserve"> de los 4 años precedentes (2016-2019).</w:t>
      </w:r>
    </w:p>
    <w:p w14:paraId="50B2F8A6" w14:textId="7CF9C64D" w:rsidR="001F638A" w:rsidRPr="007F09C3" w:rsidRDefault="001F638A" w:rsidP="007F09C3">
      <w:pPr>
        <w:jc w:val="both"/>
        <w:rPr>
          <w:rFonts w:ascii="Arial Narrow" w:hAnsi="Arial Narrow" w:cstheme="minorHAnsi"/>
          <w:sz w:val="24"/>
          <w:szCs w:val="24"/>
          <w:lang w:val="es-CO"/>
        </w:rPr>
      </w:pPr>
    </w:p>
    <w:p w14:paraId="15397B8D" w14:textId="7CEBA203" w:rsidR="001F638A" w:rsidRPr="007F09C3" w:rsidRDefault="001F638A"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lastRenderedPageBreak/>
        <w:t>Las inversiones en adecuación tecnológica y física también incrementaron los gastos por amortizaciones y depreciaciones que para el 2021 fueron de $173 millones frente a $75 millones del 2020 y $85 millones de 2019 que son muy superiores a los $56, $62 y $66 millones de los años precedentes.</w:t>
      </w:r>
    </w:p>
    <w:p w14:paraId="76B3389C" w14:textId="548FABB0" w:rsidR="001F638A" w:rsidRPr="007F09C3" w:rsidRDefault="001F638A" w:rsidP="007F09C3">
      <w:pPr>
        <w:jc w:val="both"/>
        <w:rPr>
          <w:rFonts w:ascii="Arial Narrow" w:hAnsi="Arial Narrow" w:cstheme="minorHAnsi"/>
          <w:sz w:val="24"/>
          <w:szCs w:val="24"/>
          <w:lang w:val="es-CO"/>
        </w:rPr>
      </w:pPr>
    </w:p>
    <w:p w14:paraId="01DA758A" w14:textId="77777777" w:rsidR="00D3116E" w:rsidRPr="007F09C3" w:rsidRDefault="001F638A"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El resultado antes de deterioro</w:t>
      </w:r>
      <w:r w:rsidR="00F56C35" w:rsidRPr="007F09C3">
        <w:rPr>
          <w:rFonts w:ascii="Arial Narrow" w:hAnsi="Arial Narrow" w:cstheme="minorHAnsi"/>
          <w:sz w:val="24"/>
          <w:szCs w:val="24"/>
          <w:lang w:val="es-CO"/>
        </w:rPr>
        <w:t xml:space="preserve"> neto</w:t>
      </w:r>
      <w:r w:rsidRPr="007F09C3">
        <w:rPr>
          <w:rFonts w:ascii="Arial Narrow" w:hAnsi="Arial Narrow" w:cstheme="minorHAnsi"/>
          <w:sz w:val="24"/>
          <w:szCs w:val="24"/>
          <w:lang w:val="es-CO"/>
        </w:rPr>
        <w:t xml:space="preserve">, amortizaciones, depreciaciones, otros gastos y gastos varios (511095 y 523095) y descontando los ingresos por recuperaciones </w:t>
      </w:r>
      <w:r w:rsidR="00FB5B1F" w:rsidRPr="007F09C3">
        <w:rPr>
          <w:rFonts w:ascii="Arial Narrow" w:hAnsi="Arial Narrow" w:cstheme="minorHAnsi"/>
          <w:sz w:val="24"/>
          <w:szCs w:val="24"/>
          <w:lang w:val="es-CO"/>
        </w:rPr>
        <w:t xml:space="preserve">llega a los $3.542 millones de pesos frente a $2.724 millones del 2020 (aumento del 30%).  </w:t>
      </w:r>
    </w:p>
    <w:p w14:paraId="74B93383" w14:textId="77777777" w:rsidR="00D3116E" w:rsidRPr="007F09C3" w:rsidRDefault="00D3116E" w:rsidP="007F09C3">
      <w:pPr>
        <w:jc w:val="both"/>
        <w:rPr>
          <w:rFonts w:ascii="Arial Narrow" w:hAnsi="Arial Narrow" w:cstheme="minorHAnsi"/>
          <w:sz w:val="24"/>
          <w:szCs w:val="24"/>
          <w:lang w:val="es-CO"/>
        </w:rPr>
      </w:pPr>
    </w:p>
    <w:p w14:paraId="26BA51E3" w14:textId="34DBF0FF" w:rsidR="001F638A" w:rsidRPr="007F09C3" w:rsidRDefault="00FB5B1F"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En los años 2017, 2018 y 2019 esta medición arroja $2.070, $2.372 y $2.133 millones respectivamente lo cual permite afirmar sin duda que </w:t>
      </w:r>
      <w:r w:rsidR="00D85902" w:rsidRPr="007F09C3">
        <w:rPr>
          <w:rFonts w:ascii="Arial Narrow" w:hAnsi="Arial Narrow" w:cstheme="minorHAnsi"/>
          <w:sz w:val="24"/>
          <w:szCs w:val="24"/>
          <w:lang w:val="es-CO"/>
        </w:rPr>
        <w:t>este</w:t>
      </w:r>
      <w:r w:rsidRPr="007F09C3">
        <w:rPr>
          <w:rFonts w:ascii="Arial Narrow" w:hAnsi="Arial Narrow" w:cstheme="minorHAnsi"/>
          <w:sz w:val="24"/>
          <w:szCs w:val="24"/>
          <w:lang w:val="es-CO"/>
        </w:rPr>
        <w:t xml:space="preserve"> resultado es el mejor de los últimos </w:t>
      </w:r>
      <w:r w:rsidR="00D85902" w:rsidRPr="007F09C3">
        <w:rPr>
          <w:rFonts w:ascii="Arial Narrow" w:hAnsi="Arial Narrow" w:cstheme="minorHAnsi"/>
          <w:sz w:val="24"/>
          <w:szCs w:val="24"/>
          <w:lang w:val="es-CO"/>
        </w:rPr>
        <w:t>3</w:t>
      </w:r>
      <w:r w:rsidRPr="007F09C3">
        <w:rPr>
          <w:rFonts w:ascii="Arial Narrow" w:hAnsi="Arial Narrow" w:cstheme="minorHAnsi"/>
          <w:sz w:val="24"/>
          <w:szCs w:val="24"/>
          <w:lang w:val="es-CO"/>
        </w:rPr>
        <w:t xml:space="preserve"> años</w:t>
      </w:r>
      <w:r w:rsidR="00D85902" w:rsidRPr="007F09C3">
        <w:rPr>
          <w:rFonts w:ascii="Arial Narrow" w:hAnsi="Arial Narrow" w:cstheme="minorHAnsi"/>
          <w:sz w:val="24"/>
          <w:szCs w:val="24"/>
          <w:lang w:val="es-CO"/>
        </w:rPr>
        <w:t xml:space="preserve"> equivalente al 31% de los ingresos sin recuperaciones para 2021 frente a 28% y 25% de los dos años precedentes</w:t>
      </w:r>
      <w:r w:rsidRPr="007F09C3">
        <w:rPr>
          <w:rFonts w:ascii="Arial Narrow" w:hAnsi="Arial Narrow" w:cstheme="minorHAnsi"/>
          <w:sz w:val="24"/>
          <w:szCs w:val="24"/>
          <w:lang w:val="es-CO"/>
        </w:rPr>
        <w:t xml:space="preserve">.  </w:t>
      </w:r>
      <w:r w:rsidRPr="007F09C3">
        <w:rPr>
          <w:rFonts w:ascii="Arial Narrow" w:hAnsi="Arial Narrow" w:cstheme="minorHAnsi"/>
          <w:sz w:val="24"/>
          <w:szCs w:val="24"/>
          <w:lang w:val="es-CO"/>
        </w:rPr>
        <w:tab/>
      </w:r>
      <w:r w:rsidR="001F638A" w:rsidRPr="007F09C3">
        <w:rPr>
          <w:rFonts w:ascii="Arial Narrow" w:hAnsi="Arial Narrow" w:cstheme="minorHAnsi"/>
          <w:sz w:val="24"/>
          <w:szCs w:val="24"/>
          <w:lang w:val="es-CO"/>
        </w:rPr>
        <w:t xml:space="preserve"> </w:t>
      </w:r>
    </w:p>
    <w:p w14:paraId="55CCF197" w14:textId="77777777" w:rsidR="00CC1BD5" w:rsidRPr="007F09C3" w:rsidRDefault="00CC1BD5" w:rsidP="007F09C3">
      <w:pPr>
        <w:jc w:val="both"/>
        <w:rPr>
          <w:rFonts w:ascii="Arial Narrow" w:hAnsi="Arial Narrow" w:cstheme="minorHAnsi"/>
          <w:sz w:val="24"/>
          <w:szCs w:val="24"/>
          <w:lang w:val="es-CO"/>
        </w:rPr>
      </w:pPr>
    </w:p>
    <w:p w14:paraId="37AF15CF" w14:textId="585A933E" w:rsidR="00CC1BD5" w:rsidRPr="007F09C3" w:rsidRDefault="00CC1BD5"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Tratando de </w:t>
      </w:r>
      <w:r w:rsidR="00703E9A" w:rsidRPr="007F09C3">
        <w:rPr>
          <w:rFonts w:ascii="Arial Narrow" w:hAnsi="Arial Narrow" w:cstheme="minorHAnsi"/>
          <w:sz w:val="24"/>
          <w:szCs w:val="24"/>
          <w:lang w:val="es-CO"/>
        </w:rPr>
        <w:t xml:space="preserve">medir el nivel de transferencia solidaria, es decir, por cada $100 pesos administrados de aportes y ahorros de los asociados cuanto se les entregó en intereses sobre los ahorros, gastos sociales </w:t>
      </w:r>
      <w:r w:rsidR="003B2615" w:rsidRPr="007F09C3">
        <w:rPr>
          <w:rFonts w:ascii="Arial Narrow" w:hAnsi="Arial Narrow" w:cstheme="minorHAnsi"/>
          <w:sz w:val="24"/>
          <w:szCs w:val="24"/>
          <w:lang w:val="es-CO"/>
        </w:rPr>
        <w:t>(5230 y 511095) y excedentes (solo 60% porque 20% es impuesto de renta y 20% son reservas),</w:t>
      </w:r>
      <w:r w:rsidR="00D06F02" w:rsidRPr="007F09C3">
        <w:rPr>
          <w:rFonts w:ascii="Arial Narrow" w:hAnsi="Arial Narrow" w:cstheme="minorHAnsi"/>
          <w:sz w:val="24"/>
          <w:szCs w:val="24"/>
          <w:lang w:val="es-CO"/>
        </w:rPr>
        <w:t xml:space="preserve"> encontramos que el retorno equivale a</w:t>
      </w:r>
      <w:r w:rsidR="00B160D9" w:rsidRPr="007F09C3">
        <w:rPr>
          <w:rFonts w:ascii="Arial Narrow" w:hAnsi="Arial Narrow" w:cstheme="minorHAnsi"/>
          <w:sz w:val="24"/>
          <w:szCs w:val="24"/>
          <w:lang w:val="es-CO"/>
        </w:rPr>
        <w:t xml:space="preserve">proximadamente al </w:t>
      </w:r>
      <w:r w:rsidR="008628D9" w:rsidRPr="007F09C3">
        <w:rPr>
          <w:rFonts w:ascii="Arial Narrow" w:hAnsi="Arial Narrow" w:cstheme="minorHAnsi"/>
          <w:sz w:val="24"/>
          <w:szCs w:val="24"/>
          <w:lang w:val="es-CO"/>
        </w:rPr>
        <w:t>5,7</w:t>
      </w:r>
      <w:r w:rsidR="00B160D9" w:rsidRPr="007F09C3">
        <w:rPr>
          <w:rFonts w:ascii="Arial Narrow" w:hAnsi="Arial Narrow" w:cstheme="minorHAnsi"/>
          <w:sz w:val="24"/>
          <w:szCs w:val="24"/>
          <w:lang w:val="es-CO"/>
        </w:rPr>
        <w:t>%</w:t>
      </w:r>
      <w:r w:rsidR="008628D9" w:rsidRPr="007F09C3">
        <w:rPr>
          <w:rFonts w:ascii="Arial Narrow" w:hAnsi="Arial Narrow" w:cstheme="minorHAnsi"/>
          <w:sz w:val="24"/>
          <w:szCs w:val="24"/>
          <w:lang w:val="es-CO"/>
        </w:rPr>
        <w:t xml:space="preserve"> del promedio interanual de aportes y ahorros captados, ligeramente inferior al 6,2% del 2020 y</w:t>
      </w:r>
      <w:r w:rsidR="00B21C97" w:rsidRPr="007F09C3">
        <w:rPr>
          <w:rFonts w:ascii="Arial Narrow" w:hAnsi="Arial Narrow" w:cstheme="minorHAnsi"/>
          <w:sz w:val="24"/>
          <w:szCs w:val="24"/>
          <w:lang w:val="es-CO"/>
        </w:rPr>
        <w:t xml:space="preserve"> al</w:t>
      </w:r>
      <w:r w:rsidR="008628D9" w:rsidRPr="007F09C3">
        <w:rPr>
          <w:rFonts w:ascii="Arial Narrow" w:hAnsi="Arial Narrow" w:cstheme="minorHAnsi"/>
          <w:sz w:val="24"/>
          <w:szCs w:val="24"/>
          <w:lang w:val="es-CO"/>
        </w:rPr>
        <w:t xml:space="preserve"> 6,5% </w:t>
      </w:r>
      <w:r w:rsidR="00B21C97" w:rsidRPr="007F09C3">
        <w:rPr>
          <w:rFonts w:ascii="Arial Narrow" w:hAnsi="Arial Narrow" w:cstheme="minorHAnsi"/>
          <w:sz w:val="24"/>
          <w:szCs w:val="24"/>
          <w:lang w:val="es-CO"/>
        </w:rPr>
        <w:t xml:space="preserve">y 7,2% del 2019 y 2018 respectivamente, retorno que es más del doble </w:t>
      </w:r>
      <w:r w:rsidR="003D073D" w:rsidRPr="007F09C3">
        <w:rPr>
          <w:rFonts w:ascii="Arial Narrow" w:hAnsi="Arial Narrow" w:cstheme="minorHAnsi"/>
          <w:sz w:val="24"/>
          <w:szCs w:val="24"/>
          <w:lang w:val="es-CO"/>
        </w:rPr>
        <w:t>de la tasa pasiva promedio del mercado durante 2021 y 2020</w:t>
      </w:r>
      <w:r w:rsidR="00B21C97" w:rsidRPr="007F09C3">
        <w:rPr>
          <w:rFonts w:ascii="Arial Narrow" w:hAnsi="Arial Narrow" w:cstheme="minorHAnsi"/>
          <w:sz w:val="24"/>
          <w:szCs w:val="24"/>
          <w:lang w:val="es-CO"/>
        </w:rPr>
        <w:t>.</w:t>
      </w:r>
      <w:r w:rsidR="00B160D9" w:rsidRPr="007F09C3">
        <w:rPr>
          <w:rFonts w:ascii="Arial Narrow" w:hAnsi="Arial Narrow" w:cstheme="minorHAnsi"/>
          <w:sz w:val="24"/>
          <w:szCs w:val="24"/>
          <w:lang w:val="es-CO"/>
        </w:rPr>
        <w:t xml:space="preserve"> </w:t>
      </w:r>
    </w:p>
    <w:p w14:paraId="0D9095E5" w14:textId="7ED31960" w:rsidR="00757E88" w:rsidRPr="007F09C3" w:rsidRDefault="00757E88" w:rsidP="007F09C3">
      <w:pPr>
        <w:jc w:val="both"/>
        <w:rPr>
          <w:rFonts w:ascii="Arial Narrow" w:hAnsi="Arial Narrow" w:cstheme="minorHAnsi"/>
          <w:sz w:val="24"/>
          <w:szCs w:val="24"/>
          <w:lang w:val="es-CO"/>
        </w:rPr>
      </w:pPr>
    </w:p>
    <w:p w14:paraId="185488C9" w14:textId="77777777" w:rsidR="00D3116E" w:rsidRPr="007F09C3" w:rsidRDefault="009C1F4A"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Al final el excedente NETO que es el que permite revalorizar los aportes, equivale al </w:t>
      </w:r>
      <w:r w:rsidR="00004E8B" w:rsidRPr="007F09C3">
        <w:rPr>
          <w:rFonts w:ascii="Arial Narrow" w:hAnsi="Arial Narrow" w:cstheme="minorHAnsi"/>
          <w:sz w:val="24"/>
          <w:szCs w:val="24"/>
          <w:lang w:val="es-CO"/>
        </w:rPr>
        <w:t xml:space="preserve">5% sobre el promedio de aportes cuya libre disposición para la asamblea es de solo la mitad, es decir 2,5% que es inferior al 5,62% de inflación en 2021, hecho coyuntural sin embargo, como también lo fue el </w:t>
      </w:r>
      <w:r w:rsidR="00AD6051" w:rsidRPr="007F09C3">
        <w:rPr>
          <w:rFonts w:ascii="Arial Narrow" w:hAnsi="Arial Narrow" w:cstheme="minorHAnsi"/>
          <w:sz w:val="24"/>
          <w:szCs w:val="24"/>
          <w:lang w:val="es-CO"/>
        </w:rPr>
        <w:t xml:space="preserve">4,1% del 2020 frente a una inflación del 1,61% en el mismo año.  </w:t>
      </w:r>
    </w:p>
    <w:p w14:paraId="50618325" w14:textId="77777777" w:rsidR="00D3116E" w:rsidRPr="007F09C3" w:rsidRDefault="00D3116E" w:rsidP="007F09C3">
      <w:pPr>
        <w:jc w:val="both"/>
        <w:rPr>
          <w:rFonts w:ascii="Arial Narrow" w:hAnsi="Arial Narrow" w:cstheme="minorHAnsi"/>
          <w:sz w:val="24"/>
          <w:szCs w:val="24"/>
          <w:lang w:val="es-CO"/>
        </w:rPr>
      </w:pPr>
    </w:p>
    <w:p w14:paraId="1C2A64FC" w14:textId="3314EA78" w:rsidR="00D3116E" w:rsidRPr="007F09C3" w:rsidRDefault="00AD6051"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En los 4 años precedentes el “excedente” sobre aportes en promedio era de casi 6% </w:t>
      </w:r>
      <w:r w:rsidR="00D3116E" w:rsidRPr="007F09C3">
        <w:rPr>
          <w:rFonts w:ascii="Arial Narrow" w:hAnsi="Arial Narrow" w:cstheme="minorHAnsi"/>
          <w:sz w:val="24"/>
          <w:szCs w:val="24"/>
          <w:lang w:val="es-CO"/>
        </w:rPr>
        <w:t xml:space="preserve">que tomando la mitad, es decir, 3% equivale al punto medio del rango meta de inflación de largo plazo del Banco de la República que se considera adecuado, pero en todo caso insuficiente para crear capital institucional </w:t>
      </w:r>
      <w:r w:rsidR="003F135B" w:rsidRPr="007F09C3">
        <w:rPr>
          <w:rFonts w:ascii="Arial Narrow" w:hAnsi="Arial Narrow" w:cstheme="minorHAnsi"/>
          <w:sz w:val="24"/>
          <w:szCs w:val="24"/>
          <w:lang w:val="es-CO"/>
        </w:rPr>
        <w:t xml:space="preserve">cuya relación frente al total de activos viene reduciéndose de manera constante a pesar de su crecimiento nominal pasando del </w:t>
      </w:r>
      <w:r w:rsidR="00FD7D2F" w:rsidRPr="007F09C3">
        <w:rPr>
          <w:rFonts w:ascii="Arial Narrow" w:hAnsi="Arial Narrow" w:cstheme="minorHAnsi"/>
          <w:sz w:val="24"/>
          <w:szCs w:val="24"/>
          <w:lang w:val="es-CO"/>
        </w:rPr>
        <w:t>8,18% en 2016 hasta caer al 6,15% y 5,67% en 2020 y 2021 respectivamente</w:t>
      </w:r>
      <w:r w:rsidR="00D3116E" w:rsidRPr="007F09C3">
        <w:rPr>
          <w:rFonts w:ascii="Arial Narrow" w:hAnsi="Arial Narrow" w:cstheme="minorHAnsi"/>
          <w:sz w:val="24"/>
          <w:szCs w:val="24"/>
          <w:lang w:val="es-CO"/>
        </w:rPr>
        <w:t>.</w:t>
      </w:r>
    </w:p>
    <w:p w14:paraId="7B1006BC" w14:textId="756B3AE9" w:rsidR="00743B4F" w:rsidRPr="007F09C3" w:rsidRDefault="00AD6051"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 </w:t>
      </w:r>
    </w:p>
    <w:p w14:paraId="56B2FF6A" w14:textId="033CD5DA" w:rsidR="002A7FF8" w:rsidRPr="007F09C3" w:rsidRDefault="002A7FF8" w:rsidP="007F09C3">
      <w:pPr>
        <w:pStyle w:val="Prrafodelista"/>
        <w:numPr>
          <w:ilvl w:val="2"/>
          <w:numId w:val="1"/>
        </w:numPr>
        <w:shd w:val="clear" w:color="auto" w:fill="C5E0B3" w:themeFill="accent6" w:themeFillTint="66"/>
        <w:jc w:val="both"/>
        <w:rPr>
          <w:rFonts w:ascii="Arial Narrow" w:hAnsi="Arial Narrow" w:cstheme="minorHAnsi"/>
          <w:b/>
          <w:bCs/>
          <w:sz w:val="24"/>
          <w:szCs w:val="24"/>
          <w:lang w:val="es-CO"/>
        </w:rPr>
      </w:pPr>
      <w:r w:rsidRPr="007F09C3">
        <w:rPr>
          <w:rFonts w:ascii="Arial Narrow" w:hAnsi="Arial Narrow" w:cstheme="minorHAnsi"/>
          <w:b/>
          <w:bCs/>
          <w:sz w:val="24"/>
          <w:szCs w:val="24"/>
          <w:lang w:val="es-CO"/>
        </w:rPr>
        <w:t xml:space="preserve">Ejecución presupuestal </w:t>
      </w:r>
    </w:p>
    <w:p w14:paraId="367236F4" w14:textId="77777777" w:rsidR="002A7FF8" w:rsidRPr="007F09C3" w:rsidRDefault="002A7FF8" w:rsidP="007F09C3">
      <w:pPr>
        <w:jc w:val="both"/>
        <w:rPr>
          <w:rFonts w:ascii="Arial Narrow" w:hAnsi="Arial Narrow" w:cstheme="minorHAnsi"/>
          <w:sz w:val="24"/>
          <w:szCs w:val="24"/>
          <w:lang w:val="es-CO"/>
        </w:rPr>
      </w:pPr>
    </w:p>
    <w:p w14:paraId="15971B4A" w14:textId="525D2464" w:rsidR="002A7FF8" w:rsidRPr="007F09C3" w:rsidRDefault="00927B10"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Durante el año 2021 se presupuestó </w:t>
      </w:r>
      <w:r w:rsidR="00DC0CB7" w:rsidRPr="007F09C3">
        <w:rPr>
          <w:rFonts w:ascii="Arial Narrow" w:hAnsi="Arial Narrow" w:cstheme="minorHAnsi"/>
          <w:sz w:val="24"/>
          <w:szCs w:val="24"/>
          <w:lang w:val="es-CO"/>
        </w:rPr>
        <w:t xml:space="preserve">un ingreso de 1060 asociados logrando un ejecutado real de 1686 </w:t>
      </w:r>
      <w:r w:rsidR="00B53352" w:rsidRPr="007F09C3">
        <w:rPr>
          <w:rFonts w:ascii="Arial Narrow" w:hAnsi="Arial Narrow" w:cstheme="minorHAnsi"/>
          <w:sz w:val="24"/>
          <w:szCs w:val="24"/>
          <w:lang w:val="es-CO"/>
        </w:rPr>
        <w:t>(49% de</w:t>
      </w:r>
      <w:r w:rsidR="00ED1647" w:rsidRPr="007F09C3">
        <w:rPr>
          <w:rFonts w:ascii="Arial Narrow" w:hAnsi="Arial Narrow" w:cstheme="minorHAnsi"/>
          <w:sz w:val="24"/>
          <w:szCs w:val="24"/>
          <w:lang w:val="es-CO"/>
        </w:rPr>
        <w:t xml:space="preserve"> la ZONA</w:t>
      </w:r>
      <w:r w:rsidR="00B53352" w:rsidRPr="007F09C3">
        <w:rPr>
          <w:rFonts w:ascii="Arial Narrow" w:hAnsi="Arial Narrow" w:cstheme="minorHAnsi"/>
          <w:sz w:val="24"/>
          <w:szCs w:val="24"/>
          <w:lang w:val="es-CO"/>
        </w:rPr>
        <w:t xml:space="preserve"> Bogotá</w:t>
      </w:r>
      <w:r w:rsidR="00ED1647" w:rsidRPr="007F09C3">
        <w:rPr>
          <w:rFonts w:ascii="Arial Narrow" w:hAnsi="Arial Narrow" w:cstheme="minorHAnsi"/>
          <w:sz w:val="24"/>
          <w:szCs w:val="24"/>
          <w:lang w:val="es-CO"/>
        </w:rPr>
        <w:t xml:space="preserve">, solo 11% de Banco </w:t>
      </w:r>
      <w:r w:rsidR="00BF7B03">
        <w:rPr>
          <w:rFonts w:ascii="Arial Narrow" w:hAnsi="Arial Narrow" w:cstheme="minorHAnsi"/>
          <w:sz w:val="24"/>
          <w:szCs w:val="24"/>
          <w:lang w:val="es-CO"/>
        </w:rPr>
        <w:t>Davivienda</w:t>
      </w:r>
      <w:r w:rsidR="00A56005" w:rsidRPr="007F09C3">
        <w:rPr>
          <w:rFonts w:ascii="Arial Narrow" w:hAnsi="Arial Narrow" w:cstheme="minorHAnsi"/>
          <w:sz w:val="24"/>
          <w:szCs w:val="24"/>
          <w:lang w:val="es-CO"/>
        </w:rPr>
        <w:t xml:space="preserve">, 13% </w:t>
      </w:r>
      <w:r w:rsidR="00BF7B03">
        <w:rPr>
          <w:rFonts w:ascii="Arial Narrow" w:hAnsi="Arial Narrow" w:cstheme="minorHAnsi"/>
          <w:sz w:val="24"/>
          <w:szCs w:val="24"/>
          <w:lang w:val="es-CO"/>
        </w:rPr>
        <w:t>Recomendados</w:t>
      </w:r>
      <w:r w:rsidR="00A56005" w:rsidRPr="007F09C3">
        <w:rPr>
          <w:rFonts w:ascii="Arial Narrow" w:hAnsi="Arial Narrow" w:cstheme="minorHAnsi"/>
          <w:sz w:val="24"/>
          <w:szCs w:val="24"/>
          <w:lang w:val="es-CO"/>
        </w:rPr>
        <w:t>, 33</w:t>
      </w:r>
      <w:r w:rsidR="00ED1647" w:rsidRPr="007F09C3">
        <w:rPr>
          <w:rFonts w:ascii="Arial Narrow" w:hAnsi="Arial Narrow" w:cstheme="minorHAnsi"/>
          <w:sz w:val="24"/>
          <w:szCs w:val="24"/>
          <w:lang w:val="es-CO"/>
        </w:rPr>
        <w:t xml:space="preserve">% </w:t>
      </w:r>
      <w:r w:rsidR="00A56005" w:rsidRPr="007F09C3">
        <w:rPr>
          <w:rFonts w:ascii="Arial Narrow" w:hAnsi="Arial Narrow" w:cstheme="minorHAnsi"/>
          <w:sz w:val="24"/>
          <w:szCs w:val="24"/>
          <w:lang w:val="es-CO"/>
        </w:rPr>
        <w:t>Banco de Bogotá y 21% AV Villas</w:t>
      </w:r>
      <w:r w:rsidR="00B53352" w:rsidRPr="007F09C3">
        <w:rPr>
          <w:rFonts w:ascii="Arial Narrow" w:hAnsi="Arial Narrow" w:cstheme="minorHAnsi"/>
          <w:sz w:val="24"/>
          <w:szCs w:val="24"/>
          <w:lang w:val="es-CO"/>
        </w:rPr>
        <w:t xml:space="preserve">) </w:t>
      </w:r>
      <w:r w:rsidR="00DC0CB7" w:rsidRPr="007F09C3">
        <w:rPr>
          <w:rFonts w:ascii="Arial Narrow" w:hAnsi="Arial Narrow" w:cstheme="minorHAnsi"/>
          <w:sz w:val="24"/>
          <w:szCs w:val="24"/>
          <w:lang w:val="es-CO"/>
        </w:rPr>
        <w:t>para una ejecución del 159%</w:t>
      </w:r>
      <w:r w:rsidR="00A56005" w:rsidRPr="007F09C3">
        <w:rPr>
          <w:rFonts w:ascii="Arial Narrow" w:hAnsi="Arial Narrow" w:cstheme="minorHAnsi"/>
          <w:sz w:val="24"/>
          <w:szCs w:val="24"/>
          <w:lang w:val="es-CO"/>
        </w:rPr>
        <w:t>.</w:t>
      </w:r>
    </w:p>
    <w:p w14:paraId="74DD236C" w14:textId="77777777" w:rsidR="00A56005" w:rsidRPr="007F09C3" w:rsidRDefault="00A56005" w:rsidP="007F09C3">
      <w:pPr>
        <w:jc w:val="both"/>
        <w:rPr>
          <w:rFonts w:ascii="Arial Narrow" w:hAnsi="Arial Narrow" w:cstheme="minorHAnsi"/>
          <w:sz w:val="24"/>
          <w:szCs w:val="24"/>
          <w:lang w:val="es-CO"/>
        </w:rPr>
      </w:pPr>
    </w:p>
    <w:p w14:paraId="1F28D0C7" w14:textId="608C8696" w:rsidR="00CC3085" w:rsidRPr="007F09C3" w:rsidRDefault="00FD59E5"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De un total de 457 retiros presupuestados el ejecutado real alcanzó 849</w:t>
      </w:r>
      <w:r w:rsidR="00E448DF" w:rsidRPr="007F09C3">
        <w:rPr>
          <w:rFonts w:ascii="Arial Narrow" w:hAnsi="Arial Narrow" w:cstheme="minorHAnsi"/>
          <w:sz w:val="24"/>
          <w:szCs w:val="24"/>
          <w:lang w:val="es-CO"/>
        </w:rPr>
        <w:t xml:space="preserve">, la mayoría </w:t>
      </w:r>
      <w:r w:rsidR="00163738" w:rsidRPr="007F09C3">
        <w:rPr>
          <w:rFonts w:ascii="Arial Narrow" w:hAnsi="Arial Narrow" w:cstheme="minorHAnsi"/>
          <w:sz w:val="24"/>
          <w:szCs w:val="24"/>
          <w:lang w:val="es-CO"/>
        </w:rPr>
        <w:t xml:space="preserve">del grupo empresarial (30%) </w:t>
      </w:r>
      <w:r w:rsidR="00BF7B03">
        <w:rPr>
          <w:rFonts w:ascii="Arial Narrow" w:hAnsi="Arial Narrow" w:cstheme="minorHAnsi"/>
          <w:sz w:val="24"/>
          <w:szCs w:val="24"/>
          <w:lang w:val="es-CO"/>
        </w:rPr>
        <w:t>Recomendados</w:t>
      </w:r>
      <w:r w:rsidR="00B77FD4" w:rsidRPr="007F09C3">
        <w:rPr>
          <w:rFonts w:ascii="Arial Narrow" w:hAnsi="Arial Narrow" w:cstheme="minorHAnsi"/>
          <w:sz w:val="24"/>
          <w:szCs w:val="24"/>
          <w:lang w:val="es-CO"/>
        </w:rPr>
        <w:t xml:space="preserve"> (19%)</w:t>
      </w:r>
      <w:r w:rsidR="00CC3085" w:rsidRPr="007F09C3">
        <w:rPr>
          <w:rFonts w:ascii="Arial Narrow" w:hAnsi="Arial Narrow" w:cstheme="minorHAnsi"/>
          <w:sz w:val="24"/>
          <w:szCs w:val="24"/>
          <w:lang w:val="es-CO"/>
        </w:rPr>
        <w:t>,</w:t>
      </w:r>
      <w:r w:rsidR="00B77FD4" w:rsidRPr="007F09C3">
        <w:rPr>
          <w:rFonts w:ascii="Arial Narrow" w:hAnsi="Arial Narrow" w:cstheme="minorHAnsi"/>
          <w:sz w:val="24"/>
          <w:szCs w:val="24"/>
          <w:lang w:val="es-CO"/>
        </w:rPr>
        <w:t xml:space="preserve"> Banco </w:t>
      </w:r>
      <w:r w:rsidR="00BF7B03">
        <w:rPr>
          <w:rFonts w:ascii="Arial Narrow" w:hAnsi="Arial Narrow" w:cstheme="minorHAnsi"/>
          <w:sz w:val="24"/>
          <w:szCs w:val="24"/>
          <w:lang w:val="es-CO"/>
        </w:rPr>
        <w:t>Davivienda</w:t>
      </w:r>
      <w:r w:rsidR="00B77FD4" w:rsidRPr="007F09C3">
        <w:rPr>
          <w:rFonts w:ascii="Arial Narrow" w:hAnsi="Arial Narrow" w:cstheme="minorHAnsi"/>
          <w:sz w:val="24"/>
          <w:szCs w:val="24"/>
          <w:lang w:val="es-CO"/>
        </w:rPr>
        <w:t xml:space="preserve"> </w:t>
      </w:r>
      <w:r w:rsidR="00CC3085" w:rsidRPr="007F09C3">
        <w:rPr>
          <w:rFonts w:ascii="Arial Narrow" w:hAnsi="Arial Narrow" w:cstheme="minorHAnsi"/>
          <w:sz w:val="24"/>
          <w:szCs w:val="24"/>
          <w:lang w:val="es-CO"/>
        </w:rPr>
        <w:t>(</w:t>
      </w:r>
      <w:r w:rsidR="00B77FD4" w:rsidRPr="007F09C3">
        <w:rPr>
          <w:rFonts w:ascii="Arial Narrow" w:hAnsi="Arial Narrow" w:cstheme="minorHAnsi"/>
          <w:sz w:val="24"/>
          <w:szCs w:val="24"/>
          <w:lang w:val="es-CO"/>
        </w:rPr>
        <w:t>18%</w:t>
      </w:r>
      <w:r w:rsidR="00CC3085" w:rsidRPr="007F09C3">
        <w:rPr>
          <w:rFonts w:ascii="Arial Narrow" w:hAnsi="Arial Narrow" w:cstheme="minorHAnsi"/>
          <w:sz w:val="24"/>
          <w:szCs w:val="24"/>
          <w:lang w:val="es-CO"/>
        </w:rPr>
        <w:t xml:space="preserve">), </w:t>
      </w:r>
      <w:r w:rsidR="00B77FD4" w:rsidRPr="007F09C3">
        <w:rPr>
          <w:rFonts w:ascii="Arial Narrow" w:hAnsi="Arial Narrow" w:cstheme="minorHAnsi"/>
          <w:sz w:val="24"/>
          <w:szCs w:val="24"/>
          <w:lang w:val="es-CO"/>
        </w:rPr>
        <w:t xml:space="preserve">seguidos </w:t>
      </w:r>
      <w:r w:rsidR="00CC3085" w:rsidRPr="007F09C3">
        <w:rPr>
          <w:rFonts w:ascii="Arial Narrow" w:hAnsi="Arial Narrow" w:cstheme="minorHAnsi"/>
          <w:sz w:val="24"/>
          <w:szCs w:val="24"/>
          <w:lang w:val="es-CO"/>
        </w:rPr>
        <w:t>de</w:t>
      </w:r>
      <w:r w:rsidR="00163738" w:rsidRPr="007F09C3">
        <w:rPr>
          <w:rFonts w:ascii="Arial Narrow" w:hAnsi="Arial Narrow" w:cstheme="minorHAnsi"/>
          <w:sz w:val="24"/>
          <w:szCs w:val="24"/>
          <w:lang w:val="es-CO"/>
        </w:rPr>
        <w:t xml:space="preserve"> </w:t>
      </w:r>
      <w:r w:rsidR="00B77FD4" w:rsidRPr="007F09C3">
        <w:rPr>
          <w:rFonts w:ascii="Arial Narrow" w:hAnsi="Arial Narrow" w:cstheme="minorHAnsi"/>
          <w:sz w:val="24"/>
          <w:szCs w:val="24"/>
          <w:lang w:val="es-CO"/>
        </w:rPr>
        <w:t xml:space="preserve"> los sin filial y pensionados cada uno con 11%</w:t>
      </w:r>
      <w:r w:rsidR="00CC3085" w:rsidRPr="007F09C3">
        <w:rPr>
          <w:rFonts w:ascii="Arial Narrow" w:hAnsi="Arial Narrow" w:cstheme="minorHAnsi"/>
          <w:sz w:val="24"/>
          <w:szCs w:val="24"/>
          <w:lang w:val="es-CO"/>
        </w:rPr>
        <w:t>.</w:t>
      </w:r>
      <w:r w:rsidR="00895C5A" w:rsidRPr="007F09C3">
        <w:rPr>
          <w:rFonts w:ascii="Arial Narrow" w:hAnsi="Arial Narrow" w:cstheme="minorHAnsi"/>
          <w:sz w:val="24"/>
          <w:szCs w:val="24"/>
          <w:lang w:val="es-CO"/>
        </w:rPr>
        <w:t xml:space="preserve">  Un 39% de los retiros obedece a dificultades económicas y solo 12% manifiesta ser por inconformidad (101 casos)</w:t>
      </w:r>
      <w:r w:rsidR="001E5DF0" w:rsidRPr="007F09C3">
        <w:rPr>
          <w:rFonts w:ascii="Arial Narrow" w:hAnsi="Arial Narrow" w:cstheme="minorHAnsi"/>
          <w:sz w:val="24"/>
          <w:szCs w:val="24"/>
          <w:lang w:val="es-CO"/>
        </w:rPr>
        <w:t xml:space="preserve"> así como otro 7% </w:t>
      </w:r>
    </w:p>
    <w:p w14:paraId="13F2C15A" w14:textId="77777777" w:rsidR="00CC3085" w:rsidRPr="007F09C3" w:rsidRDefault="00CC3085" w:rsidP="007F09C3">
      <w:pPr>
        <w:jc w:val="both"/>
        <w:rPr>
          <w:rFonts w:ascii="Arial Narrow" w:hAnsi="Arial Narrow" w:cstheme="minorHAnsi"/>
          <w:sz w:val="24"/>
          <w:szCs w:val="24"/>
          <w:lang w:val="es-CO"/>
        </w:rPr>
      </w:pPr>
    </w:p>
    <w:p w14:paraId="671E56FD" w14:textId="548DA792" w:rsidR="00A56005" w:rsidRPr="007F09C3" w:rsidRDefault="00CC3085"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A</w:t>
      </w:r>
      <w:r w:rsidR="00B25359" w:rsidRPr="007F09C3">
        <w:rPr>
          <w:rFonts w:ascii="Arial Narrow" w:hAnsi="Arial Narrow" w:cstheme="minorHAnsi"/>
          <w:sz w:val="24"/>
          <w:szCs w:val="24"/>
          <w:lang w:val="es-CO"/>
        </w:rPr>
        <w:t>sí que de un crecimiento neto estimado de 603 asociados se logró un total de 837 reales</w:t>
      </w:r>
      <w:r w:rsidR="00D77522" w:rsidRPr="007F09C3">
        <w:rPr>
          <w:rFonts w:ascii="Arial Narrow" w:hAnsi="Arial Narrow" w:cstheme="minorHAnsi"/>
          <w:sz w:val="24"/>
          <w:szCs w:val="24"/>
          <w:lang w:val="es-CO"/>
        </w:rPr>
        <w:t xml:space="preserve"> alcanzando un total de </w:t>
      </w:r>
      <w:r w:rsidR="003937DB" w:rsidRPr="007F09C3">
        <w:rPr>
          <w:rFonts w:ascii="Arial Narrow" w:hAnsi="Arial Narrow" w:cstheme="minorHAnsi"/>
          <w:sz w:val="24"/>
          <w:szCs w:val="24"/>
          <w:lang w:val="es-CO"/>
        </w:rPr>
        <w:t>6667 asociados (102% del presupuesto)</w:t>
      </w:r>
      <w:r w:rsidR="00B25359" w:rsidRPr="007F09C3">
        <w:rPr>
          <w:rFonts w:ascii="Arial Narrow" w:hAnsi="Arial Narrow" w:cstheme="minorHAnsi"/>
          <w:sz w:val="24"/>
          <w:szCs w:val="24"/>
          <w:lang w:val="es-CO"/>
        </w:rPr>
        <w:t>.</w:t>
      </w:r>
    </w:p>
    <w:p w14:paraId="527A3F08" w14:textId="77777777" w:rsidR="00620BE4" w:rsidRPr="007F09C3" w:rsidRDefault="00620BE4" w:rsidP="007F09C3">
      <w:pPr>
        <w:jc w:val="both"/>
        <w:rPr>
          <w:rFonts w:ascii="Arial Narrow" w:hAnsi="Arial Narrow" w:cstheme="minorHAnsi"/>
          <w:sz w:val="24"/>
          <w:szCs w:val="24"/>
          <w:lang w:val="es-CO"/>
        </w:rPr>
      </w:pPr>
    </w:p>
    <w:p w14:paraId="579268D9" w14:textId="47D677B5" w:rsidR="004E6CDE" w:rsidRPr="007F09C3" w:rsidRDefault="004E6CDE"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saldo de cartera alcanzó </w:t>
      </w:r>
      <w:r w:rsidR="00F0784E" w:rsidRPr="007F09C3">
        <w:rPr>
          <w:rFonts w:ascii="Arial Narrow" w:hAnsi="Arial Narrow" w:cstheme="minorHAnsi"/>
          <w:sz w:val="24"/>
          <w:szCs w:val="24"/>
          <w:lang w:val="es-CO"/>
        </w:rPr>
        <w:t xml:space="preserve">el 99% del proyectado aún a pesar de que los desembolsos </w:t>
      </w:r>
      <w:r w:rsidR="00DE0E10" w:rsidRPr="007F09C3">
        <w:rPr>
          <w:rFonts w:ascii="Arial Narrow" w:hAnsi="Arial Narrow" w:cstheme="minorHAnsi"/>
          <w:sz w:val="24"/>
          <w:szCs w:val="24"/>
          <w:lang w:val="es-CO"/>
        </w:rPr>
        <w:t xml:space="preserve">netos por </w:t>
      </w:r>
      <w:r w:rsidR="002C3DFF" w:rsidRPr="007F09C3">
        <w:rPr>
          <w:rFonts w:ascii="Arial Narrow" w:hAnsi="Arial Narrow" w:cstheme="minorHAnsi"/>
          <w:sz w:val="24"/>
          <w:szCs w:val="24"/>
          <w:lang w:val="es-CO"/>
        </w:rPr>
        <w:t xml:space="preserve">$48 mil millones, </w:t>
      </w:r>
      <w:r w:rsidR="00312CE0" w:rsidRPr="007F09C3">
        <w:rPr>
          <w:rFonts w:ascii="Arial Narrow" w:hAnsi="Arial Narrow" w:cstheme="minorHAnsi"/>
          <w:sz w:val="24"/>
          <w:szCs w:val="24"/>
          <w:lang w:val="es-CO"/>
        </w:rPr>
        <w:t xml:space="preserve">superaron el presupuesto con una ejecución del </w:t>
      </w:r>
      <w:r w:rsidR="002C3DFF" w:rsidRPr="007F09C3">
        <w:rPr>
          <w:rFonts w:ascii="Arial Narrow" w:hAnsi="Arial Narrow" w:cstheme="minorHAnsi"/>
          <w:sz w:val="24"/>
          <w:szCs w:val="24"/>
          <w:lang w:val="es-CO"/>
        </w:rPr>
        <w:t>109</w:t>
      </w:r>
      <w:r w:rsidR="00312CE0" w:rsidRPr="007F09C3">
        <w:rPr>
          <w:rFonts w:ascii="Arial Narrow" w:hAnsi="Arial Narrow" w:cstheme="minorHAnsi"/>
          <w:sz w:val="24"/>
          <w:szCs w:val="24"/>
          <w:lang w:val="es-CO"/>
        </w:rPr>
        <w:t>% cerrando el año con casi $</w:t>
      </w:r>
      <w:r w:rsidR="002C3DFF" w:rsidRPr="007F09C3">
        <w:rPr>
          <w:rFonts w:ascii="Arial Narrow" w:hAnsi="Arial Narrow" w:cstheme="minorHAnsi"/>
          <w:sz w:val="24"/>
          <w:szCs w:val="24"/>
          <w:lang w:val="es-CO"/>
        </w:rPr>
        <w:t>12</w:t>
      </w:r>
      <w:r w:rsidR="00312CE0" w:rsidRPr="007F09C3">
        <w:rPr>
          <w:rFonts w:ascii="Arial Narrow" w:hAnsi="Arial Narrow" w:cstheme="minorHAnsi"/>
          <w:sz w:val="24"/>
          <w:szCs w:val="24"/>
          <w:lang w:val="es-CO"/>
        </w:rPr>
        <w:t xml:space="preserve"> mil millones de créditos </w:t>
      </w:r>
      <w:r w:rsidR="002C3DFF" w:rsidRPr="007F09C3">
        <w:rPr>
          <w:rFonts w:ascii="Arial Narrow" w:hAnsi="Arial Narrow" w:cstheme="minorHAnsi"/>
          <w:sz w:val="24"/>
          <w:szCs w:val="24"/>
          <w:lang w:val="es-CO"/>
        </w:rPr>
        <w:t>novados</w:t>
      </w:r>
      <w:r w:rsidR="00312CE0" w:rsidRPr="007F09C3">
        <w:rPr>
          <w:rFonts w:ascii="Arial Narrow" w:hAnsi="Arial Narrow" w:cstheme="minorHAnsi"/>
          <w:sz w:val="24"/>
          <w:szCs w:val="24"/>
          <w:lang w:val="es-CO"/>
        </w:rPr>
        <w:t xml:space="preserve"> en 2021</w:t>
      </w:r>
      <w:r w:rsidR="002C3DFF" w:rsidRPr="007F09C3">
        <w:rPr>
          <w:rFonts w:ascii="Arial Narrow" w:hAnsi="Arial Narrow" w:cstheme="minorHAnsi"/>
          <w:sz w:val="24"/>
          <w:szCs w:val="24"/>
          <w:lang w:val="es-CO"/>
        </w:rPr>
        <w:t xml:space="preserve"> equivalentes a la quinta parte del monto total de créditos aprobados</w:t>
      </w:r>
      <w:r w:rsidR="00312CE0" w:rsidRPr="007F09C3">
        <w:rPr>
          <w:rFonts w:ascii="Arial Narrow" w:hAnsi="Arial Narrow" w:cstheme="minorHAnsi"/>
          <w:sz w:val="24"/>
          <w:szCs w:val="24"/>
          <w:lang w:val="es-CO"/>
        </w:rPr>
        <w:t>.</w:t>
      </w:r>
      <w:r w:rsidR="007415AD" w:rsidRPr="007F09C3">
        <w:rPr>
          <w:rFonts w:ascii="Arial Narrow" w:hAnsi="Arial Narrow" w:cstheme="minorHAnsi"/>
          <w:sz w:val="24"/>
          <w:szCs w:val="24"/>
          <w:lang w:val="es-CO"/>
        </w:rPr>
        <w:t xml:space="preserve">  La cartera vencida es menos del 3% pero con las recalificaciones se sube casi un punto porcentual.</w:t>
      </w:r>
    </w:p>
    <w:p w14:paraId="6CE36824" w14:textId="77777777" w:rsidR="00E065C5" w:rsidRPr="007F09C3" w:rsidRDefault="00E065C5" w:rsidP="007F09C3">
      <w:pPr>
        <w:jc w:val="both"/>
        <w:rPr>
          <w:rFonts w:ascii="Arial Narrow" w:hAnsi="Arial Narrow" w:cstheme="minorHAnsi"/>
          <w:sz w:val="24"/>
          <w:szCs w:val="24"/>
          <w:lang w:val="es-CO"/>
        </w:rPr>
      </w:pPr>
    </w:p>
    <w:p w14:paraId="2244C115" w14:textId="4D801EF9" w:rsidR="00E065C5" w:rsidRPr="007F09C3" w:rsidRDefault="00E065C5"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lastRenderedPageBreak/>
        <w:t>Las captaciones estuvieron ligeramente por debajo de lo presupuestado con una ejecución al final del año de 97%</w:t>
      </w:r>
      <w:r w:rsidR="006D4793" w:rsidRPr="007F09C3">
        <w:rPr>
          <w:rFonts w:ascii="Arial Narrow" w:hAnsi="Arial Narrow" w:cstheme="minorHAnsi"/>
          <w:sz w:val="24"/>
          <w:szCs w:val="24"/>
          <w:lang w:val="es-CO"/>
        </w:rPr>
        <w:t xml:space="preserve"> al igual que los aportes con 98%.</w:t>
      </w:r>
    </w:p>
    <w:p w14:paraId="78755BF2" w14:textId="77777777" w:rsidR="00E065C5" w:rsidRPr="007F09C3" w:rsidRDefault="00E065C5" w:rsidP="007F09C3">
      <w:pPr>
        <w:jc w:val="both"/>
        <w:rPr>
          <w:rFonts w:ascii="Arial Narrow" w:hAnsi="Arial Narrow" w:cstheme="minorHAnsi"/>
          <w:sz w:val="24"/>
          <w:szCs w:val="24"/>
          <w:lang w:val="es-CO"/>
        </w:rPr>
      </w:pPr>
    </w:p>
    <w:p w14:paraId="078D4F71" w14:textId="2556ACF2" w:rsidR="00620BE4" w:rsidRPr="007F09C3" w:rsidRDefault="00AA47F8"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Los ingresos operacionales se ejecutaron en un 98% de </w:t>
      </w:r>
      <w:r w:rsidR="00810BD7" w:rsidRPr="007F09C3">
        <w:rPr>
          <w:rFonts w:ascii="Arial Narrow" w:hAnsi="Arial Narrow" w:cstheme="minorHAnsi"/>
          <w:sz w:val="24"/>
          <w:szCs w:val="24"/>
          <w:lang w:val="es-CO"/>
        </w:rPr>
        <w:t xml:space="preserve">lo presupuestado, mientras el total de ingresos alcanzó un 99,37% de ejecución que </w:t>
      </w:r>
      <w:r w:rsidR="0060144B" w:rsidRPr="007F09C3">
        <w:rPr>
          <w:rFonts w:ascii="Arial Narrow" w:hAnsi="Arial Narrow" w:cstheme="minorHAnsi"/>
          <w:sz w:val="24"/>
          <w:szCs w:val="24"/>
          <w:lang w:val="es-CO"/>
        </w:rPr>
        <w:t>es bastante bueno si se tiene en cuenta los retos que impuso la pandemia para el desarrollo normal de las actividades comerciales</w:t>
      </w:r>
      <w:r w:rsidR="00F31238" w:rsidRPr="007F09C3">
        <w:rPr>
          <w:rFonts w:ascii="Arial Narrow" w:hAnsi="Arial Narrow" w:cstheme="minorHAnsi"/>
          <w:sz w:val="24"/>
          <w:szCs w:val="24"/>
          <w:lang w:val="es-CO"/>
        </w:rPr>
        <w:t xml:space="preserve">. </w:t>
      </w:r>
    </w:p>
    <w:p w14:paraId="50927FFA" w14:textId="77777777" w:rsidR="0073795B" w:rsidRPr="007F09C3" w:rsidRDefault="0073795B" w:rsidP="007F09C3">
      <w:pPr>
        <w:jc w:val="both"/>
        <w:rPr>
          <w:rFonts w:ascii="Arial Narrow" w:hAnsi="Arial Narrow" w:cstheme="minorHAnsi"/>
          <w:sz w:val="24"/>
          <w:szCs w:val="24"/>
          <w:lang w:val="es-CO"/>
        </w:rPr>
      </w:pPr>
    </w:p>
    <w:p w14:paraId="42D47C0A" w14:textId="1FECE87E" w:rsidR="000405D2" w:rsidRPr="007F09C3" w:rsidRDefault="0073795B"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Los gastos de personal y generales </w:t>
      </w:r>
      <w:r w:rsidR="00E00519" w:rsidRPr="007F09C3">
        <w:rPr>
          <w:rFonts w:ascii="Arial Narrow" w:hAnsi="Arial Narrow" w:cstheme="minorHAnsi"/>
          <w:sz w:val="24"/>
          <w:szCs w:val="24"/>
          <w:lang w:val="es-CO"/>
        </w:rPr>
        <w:t>sumados (</w:t>
      </w:r>
      <w:r w:rsidR="001D0456" w:rsidRPr="007F09C3">
        <w:rPr>
          <w:rFonts w:ascii="Arial Narrow" w:hAnsi="Arial Narrow" w:cstheme="minorHAnsi"/>
          <w:sz w:val="24"/>
          <w:szCs w:val="24"/>
          <w:lang w:val="es-CO"/>
        </w:rPr>
        <w:t>sin gastos sociales de la 511095) en su conjunto</w:t>
      </w:r>
      <w:r w:rsidR="008456A6" w:rsidRPr="007F09C3">
        <w:rPr>
          <w:rFonts w:ascii="Arial Narrow" w:hAnsi="Arial Narrow" w:cstheme="minorHAnsi"/>
          <w:sz w:val="24"/>
          <w:szCs w:val="24"/>
          <w:lang w:val="es-CO"/>
        </w:rPr>
        <w:t xml:space="preserve"> (37% de los ingresos sin recuperaciones)</w:t>
      </w:r>
      <w:r w:rsidR="001D0456" w:rsidRPr="007F09C3">
        <w:rPr>
          <w:rFonts w:ascii="Arial Narrow" w:hAnsi="Arial Narrow" w:cstheme="minorHAnsi"/>
          <w:sz w:val="24"/>
          <w:szCs w:val="24"/>
          <w:lang w:val="es-CO"/>
        </w:rPr>
        <w:t xml:space="preserve"> alcanzan una ejecución bastante ajustada al presupuesto inicial con </w:t>
      </w:r>
      <w:r w:rsidR="00F20EEC" w:rsidRPr="007F09C3">
        <w:rPr>
          <w:rFonts w:ascii="Arial Narrow" w:hAnsi="Arial Narrow" w:cstheme="minorHAnsi"/>
          <w:sz w:val="24"/>
          <w:szCs w:val="24"/>
          <w:lang w:val="es-CO"/>
        </w:rPr>
        <w:t>101%</w:t>
      </w:r>
      <w:r w:rsidR="00A13F5E" w:rsidRPr="007F09C3">
        <w:rPr>
          <w:rFonts w:ascii="Arial Narrow" w:hAnsi="Arial Narrow" w:cstheme="minorHAnsi"/>
          <w:sz w:val="24"/>
          <w:szCs w:val="24"/>
          <w:lang w:val="es-CO"/>
        </w:rPr>
        <w:t xml:space="preserve"> siendo los mayores desfaces en servicios temporales y honorarios.</w:t>
      </w:r>
    </w:p>
    <w:p w14:paraId="6D821DE7" w14:textId="77777777" w:rsidR="000405D2" w:rsidRPr="007F09C3" w:rsidRDefault="000405D2" w:rsidP="007F09C3">
      <w:pPr>
        <w:jc w:val="both"/>
        <w:rPr>
          <w:rFonts w:ascii="Arial Narrow" w:hAnsi="Arial Narrow" w:cstheme="minorHAnsi"/>
          <w:sz w:val="24"/>
          <w:szCs w:val="24"/>
          <w:lang w:val="es-CO"/>
        </w:rPr>
      </w:pPr>
    </w:p>
    <w:p w14:paraId="798BC6FD" w14:textId="31655D90" w:rsidR="00F148A1" w:rsidRPr="007F09C3" w:rsidRDefault="000405D2"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Los gastos financieros </w:t>
      </w:r>
      <w:r w:rsidR="00E10B7C" w:rsidRPr="007F09C3">
        <w:rPr>
          <w:rFonts w:ascii="Arial Narrow" w:hAnsi="Arial Narrow" w:cstheme="minorHAnsi"/>
          <w:sz w:val="24"/>
          <w:szCs w:val="24"/>
          <w:lang w:val="es-CO"/>
        </w:rPr>
        <w:t xml:space="preserve">(29% de los ingresos sin recuperaciones) </w:t>
      </w:r>
      <w:r w:rsidR="00A4382F" w:rsidRPr="007F09C3">
        <w:rPr>
          <w:rFonts w:ascii="Arial Narrow" w:hAnsi="Arial Narrow" w:cstheme="minorHAnsi"/>
          <w:sz w:val="24"/>
          <w:szCs w:val="24"/>
          <w:lang w:val="es-CO"/>
        </w:rPr>
        <w:t xml:space="preserve">tuvieron una menor ejecución con casi 94% al igual que los no operacionales </w:t>
      </w:r>
      <w:r w:rsidR="00370200" w:rsidRPr="007F09C3">
        <w:rPr>
          <w:rFonts w:ascii="Arial Narrow" w:hAnsi="Arial Narrow" w:cstheme="minorHAnsi"/>
          <w:sz w:val="24"/>
          <w:szCs w:val="24"/>
          <w:lang w:val="es-CO"/>
        </w:rPr>
        <w:t xml:space="preserve">(11% de los ingresos sin recuperaciones) </w:t>
      </w:r>
      <w:r w:rsidR="00A4382F" w:rsidRPr="007F09C3">
        <w:rPr>
          <w:rFonts w:ascii="Arial Narrow" w:hAnsi="Arial Narrow" w:cstheme="minorHAnsi"/>
          <w:sz w:val="24"/>
          <w:szCs w:val="24"/>
          <w:lang w:val="es-CO"/>
        </w:rPr>
        <w:t>con 97%</w:t>
      </w:r>
      <w:r w:rsidR="00370200" w:rsidRPr="007F09C3">
        <w:rPr>
          <w:rFonts w:ascii="Arial Narrow" w:hAnsi="Arial Narrow" w:cstheme="minorHAnsi"/>
          <w:sz w:val="24"/>
          <w:szCs w:val="24"/>
          <w:lang w:val="es-CO"/>
        </w:rPr>
        <w:t>,</w:t>
      </w:r>
      <w:r w:rsidR="00A4382F" w:rsidRPr="007F09C3">
        <w:rPr>
          <w:rFonts w:ascii="Arial Narrow" w:hAnsi="Arial Narrow" w:cstheme="minorHAnsi"/>
          <w:sz w:val="24"/>
          <w:szCs w:val="24"/>
          <w:lang w:val="es-CO"/>
        </w:rPr>
        <w:t xml:space="preserve"> pero el deterioro </w:t>
      </w:r>
      <w:r w:rsidR="00903C6D" w:rsidRPr="007F09C3">
        <w:rPr>
          <w:rFonts w:ascii="Arial Narrow" w:hAnsi="Arial Narrow" w:cstheme="minorHAnsi"/>
          <w:sz w:val="24"/>
          <w:szCs w:val="24"/>
          <w:lang w:val="es-CO"/>
        </w:rPr>
        <w:t xml:space="preserve">(13% de los ingresos sin recuperaciones) </w:t>
      </w:r>
      <w:r w:rsidR="00A4382F" w:rsidRPr="007F09C3">
        <w:rPr>
          <w:rFonts w:ascii="Arial Narrow" w:hAnsi="Arial Narrow" w:cstheme="minorHAnsi"/>
          <w:sz w:val="24"/>
          <w:szCs w:val="24"/>
          <w:lang w:val="es-CO"/>
        </w:rPr>
        <w:t>superó el presupuesto con una ejecución del 138%</w:t>
      </w:r>
      <w:r w:rsidR="00F148A1" w:rsidRPr="007F09C3">
        <w:rPr>
          <w:rFonts w:ascii="Arial Narrow" w:hAnsi="Arial Narrow" w:cstheme="minorHAnsi"/>
          <w:sz w:val="24"/>
          <w:szCs w:val="24"/>
          <w:lang w:val="es-CO"/>
        </w:rPr>
        <w:t xml:space="preserve"> lo que en últimas explica la menor ejecución del excedente con apenas 81% del presupuesto inicial.</w:t>
      </w:r>
    </w:p>
    <w:p w14:paraId="5700F6F7" w14:textId="1B64CA16" w:rsidR="00A56005" w:rsidRPr="007F09C3" w:rsidRDefault="001D0456" w:rsidP="007F09C3">
      <w:p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 </w:t>
      </w:r>
    </w:p>
    <w:p w14:paraId="78D188C8" w14:textId="69B26E06" w:rsidR="00D957B4" w:rsidRPr="007F09C3" w:rsidRDefault="00D957B4" w:rsidP="007F09C3">
      <w:pPr>
        <w:pStyle w:val="Prrafodelista"/>
        <w:numPr>
          <w:ilvl w:val="1"/>
          <w:numId w:val="1"/>
        </w:numPr>
        <w:shd w:val="clear" w:color="auto" w:fill="538135" w:themeFill="accent6" w:themeFillShade="BF"/>
        <w:ind w:right="48"/>
        <w:contextualSpacing/>
        <w:rPr>
          <w:rFonts w:ascii="Arial Narrow" w:hAnsi="Arial Narrow" w:cs="Calibri"/>
          <w:b/>
          <w:color w:val="FFFFFF" w:themeColor="background1"/>
          <w:sz w:val="24"/>
          <w:szCs w:val="24"/>
          <w:lang w:val="es-CO"/>
        </w:rPr>
      </w:pPr>
      <w:r w:rsidRPr="007F09C3">
        <w:rPr>
          <w:rFonts w:ascii="Arial Narrow" w:hAnsi="Arial Narrow" w:cs="Calibri"/>
          <w:b/>
          <w:color w:val="FFFFFF" w:themeColor="background1"/>
          <w:sz w:val="24"/>
          <w:szCs w:val="24"/>
          <w:lang w:val="es-CO"/>
        </w:rPr>
        <w:t>Indicadores Financieros</w:t>
      </w:r>
    </w:p>
    <w:p w14:paraId="768F76E8" w14:textId="77777777" w:rsidR="00D957B4" w:rsidRPr="007F09C3" w:rsidRDefault="00D957B4" w:rsidP="007F09C3">
      <w:pPr>
        <w:jc w:val="both"/>
        <w:rPr>
          <w:rFonts w:ascii="Arial Narrow" w:hAnsi="Arial Narrow" w:cstheme="minorHAnsi"/>
          <w:sz w:val="24"/>
          <w:szCs w:val="24"/>
          <w:lang w:val="es-CO"/>
        </w:rPr>
      </w:pPr>
    </w:p>
    <w:tbl>
      <w:tblPr>
        <w:tblW w:w="10277" w:type="dxa"/>
        <w:tblInd w:w="-5" w:type="dxa"/>
        <w:tblCellMar>
          <w:left w:w="70" w:type="dxa"/>
          <w:right w:w="70" w:type="dxa"/>
        </w:tblCellMar>
        <w:tblLook w:val="04A0" w:firstRow="1" w:lastRow="0" w:firstColumn="1" w:lastColumn="0" w:noHBand="0" w:noVBand="1"/>
      </w:tblPr>
      <w:tblGrid>
        <w:gridCol w:w="849"/>
        <w:gridCol w:w="3694"/>
        <w:gridCol w:w="858"/>
        <w:gridCol w:w="858"/>
        <w:gridCol w:w="858"/>
        <w:gridCol w:w="858"/>
        <w:gridCol w:w="853"/>
        <w:gridCol w:w="159"/>
        <w:gridCol w:w="610"/>
        <w:gridCol w:w="680"/>
      </w:tblGrid>
      <w:tr w:rsidR="00D957B4" w:rsidRPr="007A7BFB" w14:paraId="4E41E078" w14:textId="77777777" w:rsidTr="007C7566">
        <w:trPr>
          <w:trHeight w:val="113"/>
        </w:trPr>
        <w:tc>
          <w:tcPr>
            <w:tcW w:w="0" w:type="auto"/>
            <w:tcBorders>
              <w:top w:val="single" w:sz="4" w:space="0" w:color="auto"/>
              <w:left w:val="single" w:sz="4" w:space="0" w:color="auto"/>
              <w:bottom w:val="single" w:sz="4" w:space="0" w:color="auto"/>
              <w:right w:val="single" w:sz="4" w:space="0" w:color="auto"/>
            </w:tcBorders>
            <w:shd w:val="clear" w:color="000000" w:fill="80C1DB"/>
            <w:vAlign w:val="center"/>
            <w:hideMark/>
          </w:tcPr>
          <w:p w14:paraId="256DF0F5"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RIESGO</w:t>
            </w:r>
          </w:p>
        </w:tc>
        <w:tc>
          <w:tcPr>
            <w:tcW w:w="3694" w:type="dxa"/>
            <w:tcBorders>
              <w:top w:val="single" w:sz="4" w:space="0" w:color="auto"/>
              <w:left w:val="nil"/>
              <w:bottom w:val="single" w:sz="4" w:space="0" w:color="auto"/>
              <w:right w:val="single" w:sz="4" w:space="0" w:color="auto"/>
            </w:tcBorders>
            <w:shd w:val="clear" w:color="000000" w:fill="80C1DB"/>
            <w:vAlign w:val="center"/>
            <w:hideMark/>
          </w:tcPr>
          <w:p w14:paraId="05C1A0DA"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NOMBRE</w:t>
            </w:r>
          </w:p>
        </w:tc>
        <w:tc>
          <w:tcPr>
            <w:tcW w:w="0" w:type="auto"/>
            <w:tcBorders>
              <w:top w:val="single" w:sz="4" w:space="0" w:color="auto"/>
              <w:left w:val="nil"/>
              <w:bottom w:val="single" w:sz="4" w:space="0" w:color="auto"/>
              <w:right w:val="single" w:sz="4" w:space="0" w:color="auto"/>
            </w:tcBorders>
            <w:shd w:val="clear" w:color="000000" w:fill="80C1DB"/>
            <w:vAlign w:val="center"/>
            <w:hideMark/>
          </w:tcPr>
          <w:p w14:paraId="7044875C"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dic-17</w:t>
            </w:r>
          </w:p>
        </w:tc>
        <w:tc>
          <w:tcPr>
            <w:tcW w:w="0" w:type="auto"/>
            <w:tcBorders>
              <w:top w:val="single" w:sz="4" w:space="0" w:color="auto"/>
              <w:left w:val="nil"/>
              <w:bottom w:val="single" w:sz="4" w:space="0" w:color="auto"/>
              <w:right w:val="single" w:sz="4" w:space="0" w:color="auto"/>
            </w:tcBorders>
            <w:shd w:val="clear" w:color="000000" w:fill="80C1DB"/>
            <w:vAlign w:val="center"/>
            <w:hideMark/>
          </w:tcPr>
          <w:p w14:paraId="1009CF28"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dic-18</w:t>
            </w:r>
          </w:p>
        </w:tc>
        <w:tc>
          <w:tcPr>
            <w:tcW w:w="0" w:type="auto"/>
            <w:tcBorders>
              <w:top w:val="single" w:sz="4" w:space="0" w:color="auto"/>
              <w:left w:val="nil"/>
              <w:bottom w:val="single" w:sz="4" w:space="0" w:color="auto"/>
              <w:right w:val="single" w:sz="4" w:space="0" w:color="auto"/>
            </w:tcBorders>
            <w:shd w:val="clear" w:color="000000" w:fill="80C1DB"/>
            <w:vAlign w:val="center"/>
            <w:hideMark/>
          </w:tcPr>
          <w:p w14:paraId="635CF963"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dic-19</w:t>
            </w:r>
          </w:p>
        </w:tc>
        <w:tc>
          <w:tcPr>
            <w:tcW w:w="0" w:type="auto"/>
            <w:tcBorders>
              <w:top w:val="single" w:sz="4" w:space="0" w:color="auto"/>
              <w:left w:val="nil"/>
              <w:bottom w:val="single" w:sz="4" w:space="0" w:color="auto"/>
              <w:right w:val="single" w:sz="4" w:space="0" w:color="auto"/>
            </w:tcBorders>
            <w:shd w:val="clear" w:color="000000" w:fill="80C1DB"/>
            <w:vAlign w:val="center"/>
            <w:hideMark/>
          </w:tcPr>
          <w:p w14:paraId="00D82C3A"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dic-20</w:t>
            </w:r>
          </w:p>
        </w:tc>
        <w:tc>
          <w:tcPr>
            <w:tcW w:w="853" w:type="dxa"/>
            <w:tcBorders>
              <w:top w:val="single" w:sz="4" w:space="0" w:color="auto"/>
              <w:left w:val="nil"/>
              <w:bottom w:val="single" w:sz="4" w:space="0" w:color="auto"/>
              <w:right w:val="nil"/>
            </w:tcBorders>
            <w:shd w:val="clear" w:color="000000" w:fill="80C1DB"/>
            <w:vAlign w:val="center"/>
            <w:hideMark/>
          </w:tcPr>
          <w:p w14:paraId="002557B5" w14:textId="77777777" w:rsidR="00DF77DA" w:rsidRPr="007A7BFB" w:rsidRDefault="00DF77DA" w:rsidP="007F09C3">
            <w:pPr>
              <w:jc w:val="center"/>
              <w:rPr>
                <w:rFonts w:ascii="Arial Narrow" w:hAnsi="Arial Narrow" w:cs="Calibri"/>
                <w:b/>
                <w:bCs/>
                <w:lang w:val="es-CO" w:eastAsia="es-CO"/>
              </w:rPr>
            </w:pPr>
            <w:r w:rsidRPr="007A7BFB">
              <w:rPr>
                <w:rFonts w:ascii="Arial Narrow" w:hAnsi="Arial Narrow" w:cs="Calibri"/>
                <w:b/>
                <w:bCs/>
                <w:lang w:val="es-CO" w:eastAsia="es-CO"/>
              </w:rPr>
              <w:t>dic-21</w:t>
            </w:r>
          </w:p>
        </w:tc>
        <w:tc>
          <w:tcPr>
            <w:tcW w:w="0" w:type="auto"/>
            <w:tcBorders>
              <w:top w:val="nil"/>
              <w:left w:val="nil"/>
              <w:bottom w:val="nil"/>
              <w:right w:val="nil"/>
            </w:tcBorders>
            <w:shd w:val="clear" w:color="auto" w:fill="auto"/>
            <w:vAlign w:val="center"/>
            <w:hideMark/>
          </w:tcPr>
          <w:p w14:paraId="33A27BCB" w14:textId="77777777" w:rsidR="00DF77DA" w:rsidRPr="007A7BFB" w:rsidRDefault="00DF77DA" w:rsidP="007F09C3">
            <w:pPr>
              <w:jc w:val="center"/>
              <w:rPr>
                <w:rFonts w:ascii="Arial Narrow" w:hAnsi="Arial Narrow" w:cs="Calibri"/>
                <w:b/>
                <w:bCs/>
                <w:lang w:val="es-CO" w:eastAsia="es-CO"/>
              </w:rPr>
            </w:pPr>
          </w:p>
        </w:tc>
        <w:tc>
          <w:tcPr>
            <w:tcW w:w="0" w:type="auto"/>
            <w:tcBorders>
              <w:top w:val="nil"/>
              <w:left w:val="single" w:sz="4" w:space="0" w:color="auto"/>
              <w:bottom w:val="single" w:sz="4" w:space="0" w:color="auto"/>
              <w:right w:val="single" w:sz="4" w:space="0" w:color="auto"/>
            </w:tcBorders>
            <w:shd w:val="clear" w:color="000000" w:fill="000000"/>
            <w:vAlign w:val="center"/>
            <w:hideMark/>
          </w:tcPr>
          <w:p w14:paraId="7B73F332" w14:textId="1F89C3AD" w:rsidR="00DF77DA" w:rsidRPr="007A7BFB" w:rsidRDefault="007C7566"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Meta</w:t>
            </w:r>
          </w:p>
        </w:tc>
        <w:tc>
          <w:tcPr>
            <w:tcW w:w="0" w:type="auto"/>
            <w:tcBorders>
              <w:top w:val="nil"/>
              <w:left w:val="nil"/>
              <w:bottom w:val="single" w:sz="4" w:space="0" w:color="auto"/>
              <w:right w:val="single" w:sz="4" w:space="0" w:color="auto"/>
            </w:tcBorders>
            <w:shd w:val="clear" w:color="000000" w:fill="000000"/>
            <w:vAlign w:val="center"/>
            <w:hideMark/>
          </w:tcPr>
          <w:p w14:paraId="2A45AE71" w14:textId="4B1B210F" w:rsidR="00DF77DA" w:rsidRPr="007A7BFB" w:rsidRDefault="007C7566"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Limite</w:t>
            </w:r>
          </w:p>
        </w:tc>
      </w:tr>
      <w:tr w:rsidR="00D957B4" w:rsidRPr="007A7BFB" w14:paraId="37C9534D"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504D3701"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SARC</w:t>
            </w:r>
          </w:p>
        </w:tc>
        <w:tc>
          <w:tcPr>
            <w:tcW w:w="3694" w:type="dxa"/>
            <w:tcBorders>
              <w:top w:val="nil"/>
              <w:left w:val="nil"/>
              <w:bottom w:val="single" w:sz="4" w:space="0" w:color="auto"/>
              <w:right w:val="single" w:sz="4" w:space="0" w:color="auto"/>
            </w:tcBorders>
            <w:shd w:val="clear" w:color="000000" w:fill="D0E7F7"/>
            <w:vAlign w:val="center"/>
            <w:hideMark/>
          </w:tcPr>
          <w:p w14:paraId="3D441248"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calidad por riesgo</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77E23BA"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1,91%</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3D2D930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2,49%</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86E422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2,40%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8EC4DA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2,84%</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7C6C9D37"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3,68%</w:t>
            </w:r>
          </w:p>
        </w:tc>
        <w:tc>
          <w:tcPr>
            <w:tcW w:w="0" w:type="auto"/>
            <w:tcBorders>
              <w:top w:val="nil"/>
              <w:left w:val="nil"/>
              <w:bottom w:val="nil"/>
              <w:right w:val="nil"/>
            </w:tcBorders>
            <w:shd w:val="clear" w:color="auto" w:fill="auto"/>
            <w:vAlign w:val="center"/>
            <w:hideMark/>
          </w:tcPr>
          <w:p w14:paraId="6DD85019"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1E85B882"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w:t>
            </w:r>
          </w:p>
        </w:tc>
        <w:tc>
          <w:tcPr>
            <w:tcW w:w="0" w:type="auto"/>
            <w:tcBorders>
              <w:top w:val="nil"/>
              <w:left w:val="nil"/>
              <w:bottom w:val="single" w:sz="4" w:space="0" w:color="auto"/>
              <w:right w:val="single" w:sz="4" w:space="0" w:color="auto"/>
            </w:tcBorders>
            <w:shd w:val="clear" w:color="000000" w:fill="C00000"/>
            <w:vAlign w:val="center"/>
            <w:hideMark/>
          </w:tcPr>
          <w:p w14:paraId="0B041C9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6%</w:t>
            </w:r>
          </w:p>
        </w:tc>
      </w:tr>
      <w:tr w:rsidR="00D957B4" w:rsidRPr="007A7BFB" w14:paraId="4C1AE3E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418D7C47"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SARC</w:t>
            </w:r>
          </w:p>
        </w:tc>
        <w:tc>
          <w:tcPr>
            <w:tcW w:w="3694" w:type="dxa"/>
            <w:tcBorders>
              <w:top w:val="nil"/>
              <w:left w:val="nil"/>
              <w:bottom w:val="single" w:sz="4" w:space="0" w:color="auto"/>
              <w:right w:val="single" w:sz="4" w:space="0" w:color="auto"/>
            </w:tcBorders>
            <w:shd w:val="clear" w:color="000000" w:fill="D0E7F7"/>
            <w:vAlign w:val="center"/>
            <w:hideMark/>
          </w:tcPr>
          <w:p w14:paraId="6BE57852" w14:textId="7B876C10" w:rsidR="00DF77DA" w:rsidRPr="007A7BFB" w:rsidRDefault="00F63EFB"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w:t>
            </w:r>
            <w:r w:rsidR="00DF77DA" w:rsidRPr="007A7BFB">
              <w:rPr>
                <w:rFonts w:ascii="Arial Narrow" w:hAnsi="Arial Narrow" w:cs="Calibri"/>
                <w:color w:val="000000"/>
                <w:lang w:val="es-CO" w:eastAsia="es-CO"/>
              </w:rPr>
              <w:t>alidad por riesgo con castigos</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D45DB6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2,13%</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BFEAA6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2,78%</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3DBFCC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2,72%</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397DED9C"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3,10%</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2F1148CC"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4,07%</w:t>
            </w:r>
          </w:p>
        </w:tc>
        <w:tc>
          <w:tcPr>
            <w:tcW w:w="0" w:type="auto"/>
            <w:tcBorders>
              <w:top w:val="nil"/>
              <w:left w:val="nil"/>
              <w:bottom w:val="nil"/>
              <w:right w:val="nil"/>
            </w:tcBorders>
            <w:shd w:val="clear" w:color="auto" w:fill="auto"/>
            <w:vAlign w:val="center"/>
            <w:hideMark/>
          </w:tcPr>
          <w:p w14:paraId="45228CC1"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597EAF5D"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w:t>
            </w:r>
          </w:p>
        </w:tc>
        <w:tc>
          <w:tcPr>
            <w:tcW w:w="0" w:type="auto"/>
            <w:tcBorders>
              <w:top w:val="nil"/>
              <w:left w:val="nil"/>
              <w:bottom w:val="single" w:sz="4" w:space="0" w:color="auto"/>
              <w:right w:val="single" w:sz="4" w:space="0" w:color="auto"/>
            </w:tcBorders>
            <w:shd w:val="clear" w:color="000000" w:fill="C00000"/>
            <w:vAlign w:val="center"/>
            <w:hideMark/>
          </w:tcPr>
          <w:p w14:paraId="6C1A682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6%</w:t>
            </w:r>
          </w:p>
        </w:tc>
      </w:tr>
      <w:tr w:rsidR="00D957B4" w:rsidRPr="007A7BFB" w14:paraId="0530079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2594F6E9"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SARC</w:t>
            </w:r>
          </w:p>
        </w:tc>
        <w:tc>
          <w:tcPr>
            <w:tcW w:w="3694" w:type="dxa"/>
            <w:tcBorders>
              <w:top w:val="nil"/>
              <w:left w:val="nil"/>
              <w:bottom w:val="single" w:sz="4" w:space="0" w:color="auto"/>
              <w:right w:val="single" w:sz="4" w:space="0" w:color="auto"/>
            </w:tcBorders>
            <w:shd w:val="clear" w:color="000000" w:fill="D0E7F7"/>
            <w:vAlign w:val="center"/>
            <w:hideMark/>
          </w:tcPr>
          <w:p w14:paraId="5ED10F3A"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Cobertura de la Cartera Total en Riesgo</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154201F5"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2,45%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051DE56"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2,70%</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7FCB43E8"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2,36%</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33F9241A"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2,68%</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77EAC6F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3,35%</w:t>
            </w:r>
          </w:p>
        </w:tc>
        <w:tc>
          <w:tcPr>
            <w:tcW w:w="0" w:type="auto"/>
            <w:tcBorders>
              <w:top w:val="nil"/>
              <w:left w:val="nil"/>
              <w:bottom w:val="nil"/>
              <w:right w:val="nil"/>
            </w:tcBorders>
            <w:shd w:val="clear" w:color="auto" w:fill="auto"/>
            <w:vAlign w:val="center"/>
            <w:hideMark/>
          </w:tcPr>
          <w:p w14:paraId="04E0FE68"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468C804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w:t>
            </w:r>
          </w:p>
        </w:tc>
        <w:tc>
          <w:tcPr>
            <w:tcW w:w="0" w:type="auto"/>
            <w:tcBorders>
              <w:top w:val="nil"/>
              <w:left w:val="nil"/>
              <w:bottom w:val="single" w:sz="4" w:space="0" w:color="auto"/>
              <w:right w:val="single" w:sz="4" w:space="0" w:color="auto"/>
            </w:tcBorders>
            <w:shd w:val="clear" w:color="000000" w:fill="C00000"/>
            <w:vAlign w:val="center"/>
            <w:hideMark/>
          </w:tcPr>
          <w:p w14:paraId="1721C284"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w:t>
            </w:r>
          </w:p>
        </w:tc>
      </w:tr>
      <w:tr w:rsidR="00D957B4" w:rsidRPr="007A7BFB" w14:paraId="1356B1C6"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34F1C558"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SARC</w:t>
            </w:r>
          </w:p>
        </w:tc>
        <w:tc>
          <w:tcPr>
            <w:tcW w:w="3694" w:type="dxa"/>
            <w:tcBorders>
              <w:top w:val="nil"/>
              <w:left w:val="nil"/>
              <w:bottom w:val="single" w:sz="4" w:space="0" w:color="auto"/>
              <w:right w:val="single" w:sz="4" w:space="0" w:color="auto"/>
            </w:tcBorders>
            <w:shd w:val="clear" w:color="000000" w:fill="D0E7F7"/>
            <w:vAlign w:val="center"/>
            <w:hideMark/>
          </w:tcPr>
          <w:p w14:paraId="3A2C8F6B"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Crecimiento Cartera Bruta total</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A86DC8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10,27%</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02C70D06"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6,34%</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94B5AD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20,45%</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AE81A9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21,73%</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4551A7D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14,86%</w:t>
            </w:r>
          </w:p>
        </w:tc>
        <w:tc>
          <w:tcPr>
            <w:tcW w:w="0" w:type="auto"/>
            <w:tcBorders>
              <w:top w:val="nil"/>
              <w:left w:val="nil"/>
              <w:bottom w:val="nil"/>
              <w:right w:val="nil"/>
            </w:tcBorders>
            <w:shd w:val="clear" w:color="auto" w:fill="auto"/>
            <w:vAlign w:val="center"/>
            <w:hideMark/>
          </w:tcPr>
          <w:p w14:paraId="68A1B747"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1F01118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c>
          <w:tcPr>
            <w:tcW w:w="0" w:type="auto"/>
            <w:tcBorders>
              <w:top w:val="nil"/>
              <w:left w:val="nil"/>
              <w:bottom w:val="single" w:sz="4" w:space="0" w:color="auto"/>
              <w:right w:val="single" w:sz="4" w:space="0" w:color="auto"/>
            </w:tcBorders>
            <w:shd w:val="clear" w:color="000000" w:fill="C00000"/>
            <w:vAlign w:val="center"/>
            <w:hideMark/>
          </w:tcPr>
          <w:p w14:paraId="0709859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w:t>
            </w:r>
          </w:p>
        </w:tc>
      </w:tr>
      <w:tr w:rsidR="00D957B4" w:rsidRPr="007A7BFB" w14:paraId="27544090"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5E9234FF"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SARL</w:t>
            </w:r>
          </w:p>
        </w:tc>
        <w:tc>
          <w:tcPr>
            <w:tcW w:w="3694" w:type="dxa"/>
            <w:tcBorders>
              <w:top w:val="nil"/>
              <w:left w:val="nil"/>
              <w:bottom w:val="single" w:sz="4" w:space="0" w:color="auto"/>
              <w:right w:val="single" w:sz="4" w:space="0" w:color="auto"/>
            </w:tcBorders>
            <w:shd w:val="clear" w:color="000000" w:fill="D0E7F7"/>
            <w:vAlign w:val="center"/>
            <w:hideMark/>
          </w:tcPr>
          <w:p w14:paraId="2A0809FB"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ALN / depósitos de corto plazo</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173B8E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52,42%</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F88494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52,45%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A703C2D"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41,45%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EC16F33"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39,76%</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6DD3E419"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37,57%</w:t>
            </w:r>
          </w:p>
        </w:tc>
        <w:tc>
          <w:tcPr>
            <w:tcW w:w="0" w:type="auto"/>
            <w:tcBorders>
              <w:top w:val="nil"/>
              <w:left w:val="nil"/>
              <w:bottom w:val="nil"/>
              <w:right w:val="nil"/>
            </w:tcBorders>
            <w:shd w:val="clear" w:color="auto" w:fill="auto"/>
            <w:vAlign w:val="center"/>
            <w:hideMark/>
          </w:tcPr>
          <w:p w14:paraId="74E2747C"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2E9BBE58"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50%</w:t>
            </w:r>
          </w:p>
        </w:tc>
        <w:tc>
          <w:tcPr>
            <w:tcW w:w="0" w:type="auto"/>
            <w:tcBorders>
              <w:top w:val="nil"/>
              <w:left w:val="nil"/>
              <w:bottom w:val="single" w:sz="4" w:space="0" w:color="auto"/>
              <w:right w:val="single" w:sz="4" w:space="0" w:color="auto"/>
            </w:tcBorders>
            <w:shd w:val="clear" w:color="000000" w:fill="C00000"/>
            <w:vAlign w:val="center"/>
            <w:hideMark/>
          </w:tcPr>
          <w:p w14:paraId="27E21534"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30%</w:t>
            </w:r>
          </w:p>
        </w:tc>
      </w:tr>
      <w:tr w:rsidR="00D957B4" w:rsidRPr="007A7BFB" w14:paraId="6A2E3064"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663D9187"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SARL</w:t>
            </w:r>
          </w:p>
        </w:tc>
        <w:tc>
          <w:tcPr>
            <w:tcW w:w="3694" w:type="dxa"/>
            <w:tcBorders>
              <w:top w:val="nil"/>
              <w:left w:val="nil"/>
              <w:bottom w:val="single" w:sz="4" w:space="0" w:color="auto"/>
              <w:right w:val="single" w:sz="4" w:space="0" w:color="auto"/>
            </w:tcBorders>
            <w:shd w:val="clear" w:color="000000" w:fill="D0E7F7"/>
            <w:vAlign w:val="center"/>
            <w:hideMark/>
          </w:tcPr>
          <w:p w14:paraId="6304D13E"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concentración de Depositos</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ADC124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7B56CE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61FCE9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D44FCE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2AA7DEED"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14,81%</w:t>
            </w:r>
          </w:p>
        </w:tc>
        <w:tc>
          <w:tcPr>
            <w:tcW w:w="0" w:type="auto"/>
            <w:tcBorders>
              <w:top w:val="nil"/>
              <w:left w:val="nil"/>
              <w:bottom w:val="nil"/>
              <w:right w:val="nil"/>
            </w:tcBorders>
            <w:shd w:val="clear" w:color="auto" w:fill="auto"/>
            <w:vAlign w:val="center"/>
            <w:hideMark/>
          </w:tcPr>
          <w:p w14:paraId="051FE0E0"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33029C6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c>
          <w:tcPr>
            <w:tcW w:w="0" w:type="auto"/>
            <w:tcBorders>
              <w:top w:val="nil"/>
              <w:left w:val="nil"/>
              <w:bottom w:val="single" w:sz="4" w:space="0" w:color="auto"/>
              <w:right w:val="single" w:sz="4" w:space="0" w:color="auto"/>
            </w:tcBorders>
            <w:shd w:val="clear" w:color="000000" w:fill="C00000"/>
            <w:vAlign w:val="center"/>
            <w:hideMark/>
          </w:tcPr>
          <w:p w14:paraId="06363F7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15%</w:t>
            </w:r>
          </w:p>
        </w:tc>
      </w:tr>
      <w:tr w:rsidR="00D957B4" w:rsidRPr="007A7BFB" w14:paraId="1E179558"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09035CF3"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SARL</w:t>
            </w:r>
          </w:p>
        </w:tc>
        <w:tc>
          <w:tcPr>
            <w:tcW w:w="3694" w:type="dxa"/>
            <w:tcBorders>
              <w:top w:val="nil"/>
              <w:left w:val="nil"/>
              <w:bottom w:val="single" w:sz="4" w:space="0" w:color="auto"/>
              <w:right w:val="single" w:sz="4" w:space="0" w:color="auto"/>
            </w:tcBorders>
            <w:shd w:val="clear" w:color="000000" w:fill="D0E7F7"/>
            <w:vAlign w:val="center"/>
            <w:hideMark/>
          </w:tcPr>
          <w:p w14:paraId="611189FA"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concentración de Cartera</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8E7226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61F7014"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F1BA4FB"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3294F25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0,00%</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17230167"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3,83%</w:t>
            </w:r>
          </w:p>
        </w:tc>
        <w:tc>
          <w:tcPr>
            <w:tcW w:w="0" w:type="auto"/>
            <w:tcBorders>
              <w:top w:val="nil"/>
              <w:left w:val="nil"/>
              <w:bottom w:val="nil"/>
              <w:right w:val="nil"/>
            </w:tcBorders>
            <w:shd w:val="clear" w:color="auto" w:fill="auto"/>
            <w:vAlign w:val="center"/>
            <w:hideMark/>
          </w:tcPr>
          <w:p w14:paraId="34F98C8F"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6492100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w:t>
            </w:r>
          </w:p>
        </w:tc>
        <w:tc>
          <w:tcPr>
            <w:tcW w:w="0" w:type="auto"/>
            <w:tcBorders>
              <w:top w:val="nil"/>
              <w:left w:val="nil"/>
              <w:bottom w:val="single" w:sz="4" w:space="0" w:color="auto"/>
              <w:right w:val="single" w:sz="4" w:space="0" w:color="auto"/>
            </w:tcBorders>
            <w:shd w:val="clear" w:color="000000" w:fill="C00000"/>
            <w:vAlign w:val="center"/>
            <w:hideMark/>
          </w:tcPr>
          <w:p w14:paraId="527CF032"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w:t>
            </w:r>
          </w:p>
        </w:tc>
      </w:tr>
      <w:tr w:rsidR="00D957B4" w:rsidRPr="007A7BFB" w14:paraId="37A1609A"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09C90905"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006BB334" w14:textId="1C2F9668" w:rsidR="00DF77DA" w:rsidRPr="007A7BFB" w:rsidRDefault="00F63EFB"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Eficiencia operativa</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3EC66FB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43,34%</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5DB87E32"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45,61%</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09CE2ABF"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46,68%</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54A880D"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48,33%</w:t>
            </w:r>
          </w:p>
        </w:tc>
        <w:tc>
          <w:tcPr>
            <w:tcW w:w="853"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57522A12"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51,24%</w:t>
            </w:r>
          </w:p>
        </w:tc>
        <w:tc>
          <w:tcPr>
            <w:tcW w:w="0" w:type="auto"/>
            <w:tcBorders>
              <w:top w:val="nil"/>
              <w:left w:val="nil"/>
              <w:bottom w:val="nil"/>
              <w:right w:val="nil"/>
            </w:tcBorders>
            <w:shd w:val="clear" w:color="auto" w:fill="auto"/>
            <w:vAlign w:val="center"/>
            <w:hideMark/>
          </w:tcPr>
          <w:p w14:paraId="0624DC18"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4F1C393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45%</w:t>
            </w:r>
          </w:p>
        </w:tc>
        <w:tc>
          <w:tcPr>
            <w:tcW w:w="0" w:type="auto"/>
            <w:tcBorders>
              <w:top w:val="nil"/>
              <w:left w:val="nil"/>
              <w:bottom w:val="single" w:sz="4" w:space="0" w:color="auto"/>
              <w:right w:val="single" w:sz="4" w:space="0" w:color="auto"/>
            </w:tcBorders>
            <w:shd w:val="clear" w:color="000000" w:fill="C00000"/>
            <w:vAlign w:val="center"/>
            <w:hideMark/>
          </w:tcPr>
          <w:p w14:paraId="08CCE60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50%</w:t>
            </w:r>
          </w:p>
        </w:tc>
      </w:tr>
      <w:tr w:rsidR="00D957B4" w:rsidRPr="007A7BFB" w14:paraId="21D3EFC2"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4503C76A"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3D0614AF"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Quebranto Patrimonial</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D545BFC"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132,10%</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1859A74B"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131,85%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273AC6E"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131,49%</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6AAADD09"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128,27%</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37EEA3BF"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128,86%</w:t>
            </w:r>
          </w:p>
        </w:tc>
        <w:tc>
          <w:tcPr>
            <w:tcW w:w="0" w:type="auto"/>
            <w:tcBorders>
              <w:top w:val="nil"/>
              <w:left w:val="nil"/>
              <w:bottom w:val="nil"/>
              <w:right w:val="nil"/>
            </w:tcBorders>
            <w:shd w:val="clear" w:color="auto" w:fill="auto"/>
            <w:vAlign w:val="center"/>
            <w:hideMark/>
          </w:tcPr>
          <w:p w14:paraId="590CAB6E"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56197B0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160%</w:t>
            </w:r>
          </w:p>
        </w:tc>
        <w:tc>
          <w:tcPr>
            <w:tcW w:w="0" w:type="auto"/>
            <w:tcBorders>
              <w:top w:val="nil"/>
              <w:left w:val="nil"/>
              <w:bottom w:val="single" w:sz="4" w:space="0" w:color="auto"/>
              <w:right w:val="single" w:sz="4" w:space="0" w:color="auto"/>
            </w:tcBorders>
            <w:shd w:val="clear" w:color="000000" w:fill="C00000"/>
            <w:vAlign w:val="center"/>
            <w:hideMark/>
          </w:tcPr>
          <w:p w14:paraId="2A91436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120%</w:t>
            </w:r>
          </w:p>
        </w:tc>
      </w:tr>
      <w:tr w:rsidR="00D957B4" w:rsidRPr="007A7BFB" w14:paraId="7A23E86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5AA1AC6F"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0760F8B1"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Relacion Solvencia</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2E31540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 </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35714D1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 </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56A715D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 </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62FDB29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 </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39B8603C"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14,08%</w:t>
            </w:r>
          </w:p>
        </w:tc>
        <w:tc>
          <w:tcPr>
            <w:tcW w:w="0" w:type="auto"/>
            <w:tcBorders>
              <w:top w:val="nil"/>
              <w:left w:val="nil"/>
              <w:bottom w:val="nil"/>
              <w:right w:val="nil"/>
            </w:tcBorders>
            <w:shd w:val="clear" w:color="auto" w:fill="auto"/>
            <w:vAlign w:val="center"/>
            <w:hideMark/>
          </w:tcPr>
          <w:p w14:paraId="7150A56D"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3DE73950"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20%</w:t>
            </w:r>
          </w:p>
        </w:tc>
        <w:tc>
          <w:tcPr>
            <w:tcW w:w="0" w:type="auto"/>
            <w:tcBorders>
              <w:top w:val="nil"/>
              <w:left w:val="nil"/>
              <w:bottom w:val="single" w:sz="4" w:space="0" w:color="auto"/>
              <w:right w:val="single" w:sz="4" w:space="0" w:color="auto"/>
            </w:tcBorders>
            <w:shd w:val="clear" w:color="000000" w:fill="C00000"/>
            <w:vAlign w:val="center"/>
            <w:hideMark/>
          </w:tcPr>
          <w:p w14:paraId="6A8E8F7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r>
      <w:tr w:rsidR="00D957B4" w:rsidRPr="007A7BFB" w14:paraId="6CCDE0F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4E96CAFF"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09F678EC" w14:textId="4F7B7BD5"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Aportes no reducibles / Capital Social</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F89B8D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19,53%</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1861342"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19,13%</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3F9DB96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18,24%</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0DF342F"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31,27%</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2DE1C1A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28,81%</w:t>
            </w:r>
          </w:p>
        </w:tc>
        <w:tc>
          <w:tcPr>
            <w:tcW w:w="0" w:type="auto"/>
            <w:tcBorders>
              <w:top w:val="nil"/>
              <w:left w:val="nil"/>
              <w:bottom w:val="nil"/>
              <w:right w:val="nil"/>
            </w:tcBorders>
            <w:shd w:val="clear" w:color="auto" w:fill="auto"/>
            <w:vAlign w:val="center"/>
            <w:hideMark/>
          </w:tcPr>
          <w:p w14:paraId="48CEB739"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3D57EF3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30%</w:t>
            </w:r>
          </w:p>
        </w:tc>
        <w:tc>
          <w:tcPr>
            <w:tcW w:w="0" w:type="auto"/>
            <w:tcBorders>
              <w:top w:val="nil"/>
              <w:left w:val="nil"/>
              <w:bottom w:val="single" w:sz="4" w:space="0" w:color="auto"/>
              <w:right w:val="single" w:sz="4" w:space="0" w:color="auto"/>
            </w:tcBorders>
            <w:shd w:val="clear" w:color="000000" w:fill="C00000"/>
            <w:vAlign w:val="center"/>
            <w:hideMark/>
          </w:tcPr>
          <w:p w14:paraId="71809480"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60%</w:t>
            </w:r>
          </w:p>
        </w:tc>
      </w:tr>
      <w:tr w:rsidR="00D957B4" w:rsidRPr="007A7BFB" w14:paraId="1561F9AA"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313B73DD"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50D8B7EE" w14:textId="3C9BB330"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 xml:space="preserve">Capital </w:t>
            </w:r>
            <w:r w:rsidR="00D957B4" w:rsidRPr="007A7BFB">
              <w:rPr>
                <w:rFonts w:ascii="Arial Narrow" w:hAnsi="Arial Narrow" w:cs="Calibri"/>
                <w:color w:val="000000"/>
                <w:lang w:val="es-CO" w:eastAsia="es-CO"/>
              </w:rPr>
              <w:t xml:space="preserve">irreducible / minimo </w:t>
            </w:r>
            <w:r w:rsidRPr="007A7BFB">
              <w:rPr>
                <w:rFonts w:ascii="Arial Narrow" w:hAnsi="Arial Narrow" w:cs="Calibri"/>
                <w:color w:val="000000"/>
                <w:lang w:val="es-CO" w:eastAsia="es-CO"/>
              </w:rPr>
              <w:t>Regulatorio</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5150CB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263,76%</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3395877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266,09%</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A7BE3C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264,50%</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DDD746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504,18%</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43C74E9D"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478,80%</w:t>
            </w:r>
          </w:p>
        </w:tc>
        <w:tc>
          <w:tcPr>
            <w:tcW w:w="0" w:type="auto"/>
            <w:tcBorders>
              <w:top w:val="nil"/>
              <w:left w:val="nil"/>
              <w:bottom w:val="nil"/>
              <w:right w:val="nil"/>
            </w:tcBorders>
            <w:shd w:val="clear" w:color="auto" w:fill="auto"/>
            <w:vAlign w:val="center"/>
            <w:hideMark/>
          </w:tcPr>
          <w:p w14:paraId="501FA38B"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68D1E26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200%</w:t>
            </w:r>
          </w:p>
        </w:tc>
        <w:tc>
          <w:tcPr>
            <w:tcW w:w="0" w:type="auto"/>
            <w:tcBorders>
              <w:top w:val="nil"/>
              <w:left w:val="nil"/>
              <w:bottom w:val="single" w:sz="4" w:space="0" w:color="auto"/>
              <w:right w:val="single" w:sz="4" w:space="0" w:color="auto"/>
            </w:tcBorders>
            <w:shd w:val="clear" w:color="000000" w:fill="C00000"/>
            <w:vAlign w:val="center"/>
            <w:hideMark/>
          </w:tcPr>
          <w:p w14:paraId="56E7CAF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100%</w:t>
            </w:r>
          </w:p>
        </w:tc>
      </w:tr>
      <w:tr w:rsidR="00D957B4" w:rsidRPr="007A7BFB" w14:paraId="296E1C7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6AB3AE5F"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0A355486"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Capital Institucional / Activo Total</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3AF83C4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7,95%</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602D079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7,96%</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3A8A2F7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7,03%</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624B8D6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6,15%</w:t>
            </w:r>
          </w:p>
        </w:tc>
        <w:tc>
          <w:tcPr>
            <w:tcW w:w="853"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077C392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5,67%</w:t>
            </w:r>
          </w:p>
        </w:tc>
        <w:tc>
          <w:tcPr>
            <w:tcW w:w="0" w:type="auto"/>
            <w:tcBorders>
              <w:top w:val="nil"/>
              <w:left w:val="nil"/>
              <w:bottom w:val="nil"/>
              <w:right w:val="nil"/>
            </w:tcBorders>
            <w:shd w:val="clear" w:color="auto" w:fill="auto"/>
            <w:vAlign w:val="center"/>
            <w:hideMark/>
          </w:tcPr>
          <w:p w14:paraId="43A86DDF"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2F8BD76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15%</w:t>
            </w:r>
          </w:p>
        </w:tc>
        <w:tc>
          <w:tcPr>
            <w:tcW w:w="0" w:type="auto"/>
            <w:tcBorders>
              <w:top w:val="nil"/>
              <w:left w:val="nil"/>
              <w:bottom w:val="single" w:sz="4" w:space="0" w:color="auto"/>
              <w:right w:val="single" w:sz="4" w:space="0" w:color="auto"/>
            </w:tcBorders>
            <w:shd w:val="clear" w:color="000000" w:fill="C00000"/>
            <w:vAlign w:val="center"/>
            <w:hideMark/>
          </w:tcPr>
          <w:p w14:paraId="22D390F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r>
      <w:tr w:rsidR="00D957B4" w:rsidRPr="007A7BFB" w14:paraId="0E47BCF3"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0045EF6D"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SARM</w:t>
            </w:r>
          </w:p>
        </w:tc>
        <w:tc>
          <w:tcPr>
            <w:tcW w:w="3694" w:type="dxa"/>
            <w:tcBorders>
              <w:top w:val="nil"/>
              <w:left w:val="nil"/>
              <w:bottom w:val="single" w:sz="4" w:space="0" w:color="auto"/>
              <w:right w:val="single" w:sz="4" w:space="0" w:color="auto"/>
            </w:tcBorders>
            <w:shd w:val="clear" w:color="000000" w:fill="D0E7F7"/>
            <w:vAlign w:val="center"/>
            <w:hideMark/>
          </w:tcPr>
          <w:p w14:paraId="15FEC9F2"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 xml:space="preserve">Activo Productivo </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6A95F5D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98,81%</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1606539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98,46%</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BC2BE20"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98,18%</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904906A"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99,08%</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4F25149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97,87%</w:t>
            </w:r>
          </w:p>
        </w:tc>
        <w:tc>
          <w:tcPr>
            <w:tcW w:w="0" w:type="auto"/>
            <w:tcBorders>
              <w:top w:val="nil"/>
              <w:left w:val="nil"/>
              <w:bottom w:val="nil"/>
              <w:right w:val="nil"/>
            </w:tcBorders>
            <w:shd w:val="clear" w:color="auto" w:fill="auto"/>
            <w:vAlign w:val="center"/>
            <w:hideMark/>
          </w:tcPr>
          <w:p w14:paraId="5C93B5C7"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29B173BA"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90%</w:t>
            </w:r>
          </w:p>
        </w:tc>
        <w:tc>
          <w:tcPr>
            <w:tcW w:w="0" w:type="auto"/>
            <w:tcBorders>
              <w:top w:val="nil"/>
              <w:left w:val="nil"/>
              <w:bottom w:val="single" w:sz="4" w:space="0" w:color="auto"/>
              <w:right w:val="single" w:sz="4" w:space="0" w:color="auto"/>
            </w:tcBorders>
            <w:shd w:val="clear" w:color="000000" w:fill="C00000"/>
            <w:vAlign w:val="center"/>
            <w:hideMark/>
          </w:tcPr>
          <w:p w14:paraId="17B177A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80%</w:t>
            </w:r>
          </w:p>
        </w:tc>
      </w:tr>
      <w:tr w:rsidR="00D957B4" w:rsidRPr="007A7BFB" w14:paraId="0D021250"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71287F1B"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39A11DEE"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Margen Financiero de Operación</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7505F552"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64,58%</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00A13E08"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69,02%</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4D57A78"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67,57%</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CC824F6"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67,20%</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353ECEBB"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71,22%</w:t>
            </w:r>
          </w:p>
        </w:tc>
        <w:tc>
          <w:tcPr>
            <w:tcW w:w="0" w:type="auto"/>
            <w:tcBorders>
              <w:top w:val="nil"/>
              <w:left w:val="nil"/>
              <w:bottom w:val="nil"/>
              <w:right w:val="nil"/>
            </w:tcBorders>
            <w:shd w:val="clear" w:color="auto" w:fill="auto"/>
            <w:vAlign w:val="center"/>
            <w:hideMark/>
          </w:tcPr>
          <w:p w14:paraId="458D9BD9"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64A0AB5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75%</w:t>
            </w:r>
          </w:p>
        </w:tc>
        <w:tc>
          <w:tcPr>
            <w:tcW w:w="0" w:type="auto"/>
            <w:tcBorders>
              <w:top w:val="nil"/>
              <w:left w:val="nil"/>
              <w:bottom w:val="single" w:sz="4" w:space="0" w:color="auto"/>
              <w:right w:val="single" w:sz="4" w:space="0" w:color="auto"/>
            </w:tcBorders>
            <w:shd w:val="clear" w:color="000000" w:fill="C00000"/>
            <w:vAlign w:val="center"/>
            <w:hideMark/>
          </w:tcPr>
          <w:p w14:paraId="02DA552B"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65%</w:t>
            </w:r>
          </w:p>
        </w:tc>
      </w:tr>
      <w:tr w:rsidR="00D957B4" w:rsidRPr="007A7BFB" w14:paraId="4FFE9634"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238549AE"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4B684EAD"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Margen Operacional</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B9F0F7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21,97%</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021047A"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24,17%</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DB5714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22,42%</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4C83432"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19,39%</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2F8735D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20,72%</w:t>
            </w:r>
          </w:p>
        </w:tc>
        <w:tc>
          <w:tcPr>
            <w:tcW w:w="0" w:type="auto"/>
            <w:tcBorders>
              <w:top w:val="nil"/>
              <w:left w:val="nil"/>
              <w:bottom w:val="nil"/>
              <w:right w:val="nil"/>
            </w:tcBorders>
            <w:shd w:val="clear" w:color="auto" w:fill="auto"/>
            <w:vAlign w:val="center"/>
            <w:hideMark/>
          </w:tcPr>
          <w:p w14:paraId="712A0EA3"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75807B9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20%</w:t>
            </w:r>
          </w:p>
        </w:tc>
        <w:tc>
          <w:tcPr>
            <w:tcW w:w="0" w:type="auto"/>
            <w:tcBorders>
              <w:top w:val="nil"/>
              <w:left w:val="nil"/>
              <w:bottom w:val="single" w:sz="4" w:space="0" w:color="auto"/>
              <w:right w:val="single" w:sz="4" w:space="0" w:color="auto"/>
            </w:tcBorders>
            <w:shd w:val="clear" w:color="000000" w:fill="C00000"/>
            <w:vAlign w:val="center"/>
            <w:hideMark/>
          </w:tcPr>
          <w:p w14:paraId="5D137F1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r>
      <w:tr w:rsidR="00D957B4" w:rsidRPr="007A7BFB" w14:paraId="58587A9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74D5195C"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2E3AE1C6" w14:textId="013CE169" w:rsidR="00DF77DA" w:rsidRPr="007A7BFB" w:rsidRDefault="00D957B4"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O</w:t>
            </w:r>
            <w:r w:rsidR="00DF77DA" w:rsidRPr="007A7BFB">
              <w:rPr>
                <w:rFonts w:ascii="Arial Narrow" w:hAnsi="Arial Narrow" w:cs="Calibri"/>
                <w:color w:val="000000"/>
                <w:lang w:val="es-CO" w:eastAsia="es-CO"/>
              </w:rPr>
              <w:t>bligaciones financieras / pasivo total</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23F42C7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32,24%</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6959B7C6"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25,95%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31EC2722"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23,78%</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4BA61506"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23,77%</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3D816092"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22,48%</w:t>
            </w:r>
          </w:p>
        </w:tc>
        <w:tc>
          <w:tcPr>
            <w:tcW w:w="0" w:type="auto"/>
            <w:tcBorders>
              <w:top w:val="nil"/>
              <w:left w:val="nil"/>
              <w:bottom w:val="nil"/>
              <w:right w:val="nil"/>
            </w:tcBorders>
            <w:shd w:val="clear" w:color="auto" w:fill="auto"/>
            <w:vAlign w:val="center"/>
            <w:hideMark/>
          </w:tcPr>
          <w:p w14:paraId="27628F44"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0B1EEF7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c>
          <w:tcPr>
            <w:tcW w:w="0" w:type="auto"/>
            <w:tcBorders>
              <w:top w:val="nil"/>
              <w:left w:val="nil"/>
              <w:bottom w:val="single" w:sz="4" w:space="0" w:color="auto"/>
              <w:right w:val="single" w:sz="4" w:space="0" w:color="auto"/>
            </w:tcBorders>
            <w:shd w:val="clear" w:color="000000" w:fill="C00000"/>
            <w:vAlign w:val="center"/>
            <w:hideMark/>
          </w:tcPr>
          <w:p w14:paraId="3CD5277B"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30%</w:t>
            </w:r>
          </w:p>
        </w:tc>
      </w:tr>
      <w:tr w:rsidR="00D957B4" w:rsidRPr="007A7BFB" w14:paraId="1E25739E"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5562E132"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4D6610CE" w14:textId="1174CF8B" w:rsidR="00DF77DA" w:rsidRPr="007A7BFB" w:rsidRDefault="00D957B4"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Activo productivo / pasivo con costo</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F9FA04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170,41%</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9D49DC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171,36%</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3CB5E144"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159,48%</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88FBEDA"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151,53%</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2D99802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147,48%</w:t>
            </w:r>
          </w:p>
        </w:tc>
        <w:tc>
          <w:tcPr>
            <w:tcW w:w="0" w:type="auto"/>
            <w:tcBorders>
              <w:top w:val="nil"/>
              <w:left w:val="nil"/>
              <w:bottom w:val="nil"/>
              <w:right w:val="nil"/>
            </w:tcBorders>
            <w:shd w:val="clear" w:color="auto" w:fill="auto"/>
            <w:vAlign w:val="center"/>
            <w:hideMark/>
          </w:tcPr>
          <w:p w14:paraId="74D6DCB1"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71DD61CB"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140%</w:t>
            </w:r>
          </w:p>
        </w:tc>
        <w:tc>
          <w:tcPr>
            <w:tcW w:w="0" w:type="auto"/>
            <w:tcBorders>
              <w:top w:val="nil"/>
              <w:left w:val="nil"/>
              <w:bottom w:val="single" w:sz="4" w:space="0" w:color="auto"/>
              <w:right w:val="single" w:sz="4" w:space="0" w:color="auto"/>
            </w:tcBorders>
            <w:shd w:val="clear" w:color="000000" w:fill="C00000"/>
            <w:vAlign w:val="center"/>
            <w:hideMark/>
          </w:tcPr>
          <w:p w14:paraId="54FD8D60"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120%</w:t>
            </w:r>
          </w:p>
        </w:tc>
      </w:tr>
      <w:tr w:rsidR="00D957B4" w:rsidRPr="007A7BFB" w14:paraId="615FB6F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1DD142C7"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7FFB7F9E" w14:textId="3B03B543" w:rsidR="00DF77DA" w:rsidRPr="007A7BFB" w:rsidRDefault="00D957B4"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Rentabilidad sobre el patrimonio</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6E5BBA7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4,54%</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00E7BC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4,28%</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6AF021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4,41%</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12F112AA"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3,16%</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4565CE76"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3,93%</w:t>
            </w:r>
          </w:p>
        </w:tc>
        <w:tc>
          <w:tcPr>
            <w:tcW w:w="0" w:type="auto"/>
            <w:tcBorders>
              <w:top w:val="nil"/>
              <w:left w:val="nil"/>
              <w:bottom w:val="nil"/>
              <w:right w:val="nil"/>
            </w:tcBorders>
            <w:shd w:val="clear" w:color="auto" w:fill="auto"/>
            <w:vAlign w:val="center"/>
            <w:hideMark/>
          </w:tcPr>
          <w:p w14:paraId="6DAE6260"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5600F116"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4%</w:t>
            </w:r>
          </w:p>
        </w:tc>
        <w:tc>
          <w:tcPr>
            <w:tcW w:w="0" w:type="auto"/>
            <w:tcBorders>
              <w:top w:val="nil"/>
              <w:left w:val="nil"/>
              <w:bottom w:val="single" w:sz="4" w:space="0" w:color="auto"/>
              <w:right w:val="single" w:sz="4" w:space="0" w:color="auto"/>
            </w:tcBorders>
            <w:shd w:val="clear" w:color="000000" w:fill="C00000"/>
            <w:vAlign w:val="center"/>
            <w:hideMark/>
          </w:tcPr>
          <w:p w14:paraId="7D2DCEB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w:t>
            </w:r>
          </w:p>
        </w:tc>
      </w:tr>
      <w:tr w:rsidR="00D957B4" w:rsidRPr="007A7BFB" w14:paraId="0F198CF4"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2FFA1697"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28416CEF" w14:textId="1F1004C0" w:rsidR="00DF77DA" w:rsidRPr="007A7BFB" w:rsidRDefault="00D957B4"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Margen NETO</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0FCCAA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15,26%</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CF6C9CD"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14,23%</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12A8773F"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13,82%</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63F3611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9,40%</w:t>
            </w:r>
          </w:p>
        </w:tc>
        <w:tc>
          <w:tcPr>
            <w:tcW w:w="853"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0AE0617C"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10,81%</w:t>
            </w:r>
          </w:p>
        </w:tc>
        <w:tc>
          <w:tcPr>
            <w:tcW w:w="0" w:type="auto"/>
            <w:tcBorders>
              <w:top w:val="nil"/>
              <w:left w:val="nil"/>
              <w:bottom w:val="nil"/>
              <w:right w:val="nil"/>
            </w:tcBorders>
            <w:shd w:val="clear" w:color="auto" w:fill="auto"/>
            <w:vAlign w:val="center"/>
            <w:hideMark/>
          </w:tcPr>
          <w:p w14:paraId="5D089961" w14:textId="77777777" w:rsidR="00DF77DA" w:rsidRPr="007A7BFB" w:rsidRDefault="00DF77DA" w:rsidP="007F09C3">
            <w:pPr>
              <w:jc w:val="center"/>
              <w:rPr>
                <w:rFonts w:ascii="Arial Narrow" w:hAnsi="Arial Narrow" w:cs="Calibri"/>
                <w:b/>
                <w:bCs/>
                <w:color w:val="000000"/>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2DF0F515"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15%</w:t>
            </w:r>
          </w:p>
        </w:tc>
        <w:tc>
          <w:tcPr>
            <w:tcW w:w="0" w:type="auto"/>
            <w:tcBorders>
              <w:top w:val="nil"/>
              <w:left w:val="nil"/>
              <w:bottom w:val="single" w:sz="4" w:space="0" w:color="auto"/>
              <w:right w:val="single" w:sz="4" w:space="0" w:color="auto"/>
            </w:tcBorders>
            <w:shd w:val="clear" w:color="000000" w:fill="C00000"/>
            <w:vAlign w:val="center"/>
            <w:hideMark/>
          </w:tcPr>
          <w:p w14:paraId="0FF6EE1D"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w:t>
            </w:r>
          </w:p>
        </w:tc>
      </w:tr>
      <w:tr w:rsidR="00D957B4" w:rsidRPr="007A7BFB" w14:paraId="25E69831"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62412BE1"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793D3C43" w14:textId="3A18D0E2" w:rsidR="00DF77DA" w:rsidRPr="007A7BFB" w:rsidRDefault="00D957B4"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 xml:space="preserve">Rentabilidad </w:t>
            </w:r>
            <w:r w:rsidR="00A5005D" w:rsidRPr="007A7BFB">
              <w:rPr>
                <w:rFonts w:ascii="Arial Narrow" w:hAnsi="Arial Narrow" w:cs="Calibri"/>
                <w:color w:val="000000"/>
                <w:lang w:val="es-CO" w:eastAsia="es-CO"/>
              </w:rPr>
              <w:t xml:space="preserve">neta </w:t>
            </w:r>
            <w:r w:rsidRPr="007A7BFB">
              <w:rPr>
                <w:rFonts w:ascii="Arial Narrow" w:hAnsi="Arial Narrow" w:cs="Calibri"/>
                <w:color w:val="000000"/>
                <w:lang w:val="es-CO" w:eastAsia="es-CO"/>
              </w:rPr>
              <w:t>sobre aportes, ahorros y obligaciones financieras</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3D3DDB4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2,00%</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09117C2D"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1,89%</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7ED56DD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1,71%</w:t>
            </w:r>
          </w:p>
        </w:tc>
        <w:tc>
          <w:tcPr>
            <w:tcW w:w="0" w:type="auto"/>
            <w:tcBorders>
              <w:top w:val="single" w:sz="4" w:space="0" w:color="auto"/>
              <w:left w:val="single" w:sz="4" w:space="0" w:color="auto"/>
              <w:bottom w:val="single" w:sz="4" w:space="0" w:color="auto"/>
              <w:right w:val="single" w:sz="4" w:space="0" w:color="auto"/>
            </w:tcBorders>
            <w:shd w:val="clear" w:color="000000" w:fill="C00000"/>
            <w:vAlign w:val="center"/>
            <w:hideMark/>
          </w:tcPr>
          <w:p w14:paraId="5CE494D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1,07%</w:t>
            </w:r>
          </w:p>
        </w:tc>
        <w:tc>
          <w:tcPr>
            <w:tcW w:w="853" w:type="dxa"/>
            <w:tcBorders>
              <w:top w:val="single" w:sz="4" w:space="0" w:color="auto"/>
              <w:left w:val="single" w:sz="4" w:space="0" w:color="auto"/>
              <w:bottom w:val="single" w:sz="4" w:space="0" w:color="auto"/>
              <w:right w:val="single" w:sz="4" w:space="0" w:color="auto"/>
            </w:tcBorders>
            <w:shd w:val="clear" w:color="000000" w:fill="C00000"/>
            <w:vAlign w:val="center"/>
            <w:hideMark/>
          </w:tcPr>
          <w:p w14:paraId="483003E8"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1,25%</w:t>
            </w:r>
          </w:p>
        </w:tc>
        <w:tc>
          <w:tcPr>
            <w:tcW w:w="0" w:type="auto"/>
            <w:tcBorders>
              <w:top w:val="nil"/>
              <w:left w:val="nil"/>
              <w:bottom w:val="nil"/>
              <w:right w:val="nil"/>
            </w:tcBorders>
            <w:shd w:val="clear" w:color="auto" w:fill="auto"/>
            <w:vAlign w:val="center"/>
            <w:hideMark/>
          </w:tcPr>
          <w:p w14:paraId="7512AD66"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68932541"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3%</w:t>
            </w:r>
          </w:p>
        </w:tc>
        <w:tc>
          <w:tcPr>
            <w:tcW w:w="0" w:type="auto"/>
            <w:tcBorders>
              <w:top w:val="nil"/>
              <w:left w:val="nil"/>
              <w:bottom w:val="single" w:sz="4" w:space="0" w:color="auto"/>
              <w:right w:val="single" w:sz="4" w:space="0" w:color="auto"/>
            </w:tcBorders>
            <w:shd w:val="clear" w:color="000000" w:fill="C00000"/>
            <w:vAlign w:val="center"/>
            <w:hideMark/>
          </w:tcPr>
          <w:p w14:paraId="70090A8C"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2%</w:t>
            </w:r>
          </w:p>
        </w:tc>
      </w:tr>
      <w:tr w:rsidR="00D957B4" w:rsidRPr="007A7BFB" w14:paraId="7CEB830D"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1A69690B"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58EF8B49"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Participación de Cartera</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78BF438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95,53%</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C8DEA2E"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95,34%</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4B5DCEA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95,43%</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68CD1A94"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95,54%</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1F819807"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94,38%</w:t>
            </w:r>
          </w:p>
        </w:tc>
        <w:tc>
          <w:tcPr>
            <w:tcW w:w="0" w:type="auto"/>
            <w:tcBorders>
              <w:top w:val="nil"/>
              <w:left w:val="nil"/>
              <w:bottom w:val="nil"/>
              <w:right w:val="nil"/>
            </w:tcBorders>
            <w:shd w:val="clear" w:color="auto" w:fill="auto"/>
            <w:vAlign w:val="center"/>
            <w:hideMark/>
          </w:tcPr>
          <w:p w14:paraId="49B20C79"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4E95662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90%</w:t>
            </w:r>
          </w:p>
        </w:tc>
        <w:tc>
          <w:tcPr>
            <w:tcW w:w="0" w:type="auto"/>
            <w:tcBorders>
              <w:top w:val="nil"/>
              <w:left w:val="nil"/>
              <w:bottom w:val="single" w:sz="4" w:space="0" w:color="auto"/>
              <w:right w:val="single" w:sz="4" w:space="0" w:color="auto"/>
            </w:tcBorders>
            <w:shd w:val="clear" w:color="000000" w:fill="C00000"/>
            <w:vAlign w:val="center"/>
            <w:hideMark/>
          </w:tcPr>
          <w:p w14:paraId="547DE5F3"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80%</w:t>
            </w:r>
          </w:p>
        </w:tc>
      </w:tr>
      <w:tr w:rsidR="00D957B4" w:rsidRPr="007A7BFB" w14:paraId="4419755E" w14:textId="77777777" w:rsidTr="007C7566">
        <w:trPr>
          <w:trHeight w:val="113"/>
        </w:trPr>
        <w:tc>
          <w:tcPr>
            <w:tcW w:w="0" w:type="auto"/>
            <w:tcBorders>
              <w:top w:val="nil"/>
              <w:left w:val="single" w:sz="4" w:space="0" w:color="auto"/>
              <w:bottom w:val="single" w:sz="4" w:space="0" w:color="auto"/>
              <w:right w:val="single" w:sz="4" w:space="0" w:color="auto"/>
            </w:tcBorders>
            <w:shd w:val="clear" w:color="000000" w:fill="D0E7F7"/>
            <w:vAlign w:val="center"/>
            <w:hideMark/>
          </w:tcPr>
          <w:p w14:paraId="720F7983"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SARO</w:t>
            </w:r>
          </w:p>
        </w:tc>
        <w:tc>
          <w:tcPr>
            <w:tcW w:w="3694" w:type="dxa"/>
            <w:tcBorders>
              <w:top w:val="nil"/>
              <w:left w:val="nil"/>
              <w:bottom w:val="single" w:sz="4" w:space="0" w:color="auto"/>
              <w:right w:val="single" w:sz="4" w:space="0" w:color="auto"/>
            </w:tcBorders>
            <w:shd w:val="clear" w:color="000000" w:fill="D0E7F7"/>
            <w:vAlign w:val="center"/>
            <w:hideMark/>
          </w:tcPr>
          <w:p w14:paraId="56B59717" w14:textId="77777777" w:rsidR="00DF77DA" w:rsidRPr="007A7BFB" w:rsidRDefault="00DF77DA" w:rsidP="007F09C3">
            <w:pPr>
              <w:jc w:val="center"/>
              <w:rPr>
                <w:rFonts w:ascii="Arial Narrow" w:hAnsi="Arial Narrow" w:cs="Calibri"/>
                <w:color w:val="000000"/>
                <w:lang w:val="es-CO" w:eastAsia="es-CO"/>
              </w:rPr>
            </w:pPr>
            <w:r w:rsidRPr="007A7BFB">
              <w:rPr>
                <w:rFonts w:ascii="Arial Narrow" w:hAnsi="Arial Narrow" w:cs="Calibri"/>
                <w:color w:val="000000"/>
                <w:lang w:val="es-CO" w:eastAsia="es-CO"/>
              </w:rPr>
              <w:t>Suficiencia de Margen</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0F723AFB"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179,31%</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2C4D58B2"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172,35%</w:t>
            </w:r>
          </w:p>
        </w:tc>
        <w:tc>
          <w:tcPr>
            <w:tcW w:w="0" w:type="auto"/>
            <w:tcBorders>
              <w:top w:val="single" w:sz="4" w:space="0" w:color="auto"/>
              <w:left w:val="single" w:sz="4" w:space="0" w:color="auto"/>
              <w:bottom w:val="single" w:sz="4" w:space="0" w:color="auto"/>
              <w:right w:val="single" w:sz="4" w:space="0" w:color="auto"/>
            </w:tcBorders>
            <w:shd w:val="clear" w:color="000000" w:fill="FFFF00"/>
            <w:vAlign w:val="center"/>
            <w:hideMark/>
          </w:tcPr>
          <w:p w14:paraId="2E507045" w14:textId="77777777" w:rsidR="00DF77DA" w:rsidRPr="007A7BFB" w:rsidRDefault="00DF77DA" w:rsidP="007F09C3">
            <w:pPr>
              <w:jc w:val="center"/>
              <w:rPr>
                <w:rFonts w:ascii="Arial Narrow" w:hAnsi="Arial Narrow" w:cs="Calibri"/>
                <w:b/>
                <w:bCs/>
                <w:color w:val="000000"/>
                <w:lang w:val="es-CO" w:eastAsia="es-CO"/>
              </w:rPr>
            </w:pPr>
            <w:r w:rsidRPr="007A7BFB">
              <w:rPr>
                <w:rFonts w:ascii="Arial Narrow" w:hAnsi="Arial Narrow" w:cs="Calibri"/>
                <w:b/>
                <w:bCs/>
                <w:color w:val="000000"/>
                <w:lang w:val="es-CO" w:eastAsia="es-CO"/>
              </w:rPr>
              <w:t>158,82%</w:t>
            </w:r>
          </w:p>
        </w:tc>
        <w:tc>
          <w:tcPr>
            <w:tcW w:w="0" w:type="auto"/>
            <w:tcBorders>
              <w:top w:val="single" w:sz="4" w:space="0" w:color="auto"/>
              <w:left w:val="single" w:sz="4" w:space="0" w:color="auto"/>
              <w:bottom w:val="single" w:sz="4" w:space="0" w:color="auto"/>
              <w:right w:val="single" w:sz="4" w:space="0" w:color="auto"/>
            </w:tcBorders>
            <w:shd w:val="clear" w:color="000000" w:fill="00B050"/>
            <w:vAlign w:val="center"/>
            <w:hideMark/>
          </w:tcPr>
          <w:p w14:paraId="5EEFC51B"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169,87%</w:t>
            </w:r>
          </w:p>
        </w:tc>
        <w:tc>
          <w:tcPr>
            <w:tcW w:w="853" w:type="dxa"/>
            <w:tcBorders>
              <w:top w:val="single" w:sz="4" w:space="0" w:color="auto"/>
              <w:left w:val="single" w:sz="4" w:space="0" w:color="auto"/>
              <w:bottom w:val="single" w:sz="4" w:space="0" w:color="auto"/>
              <w:right w:val="single" w:sz="4" w:space="0" w:color="auto"/>
            </w:tcBorders>
            <w:shd w:val="clear" w:color="000000" w:fill="00B050"/>
            <w:vAlign w:val="center"/>
            <w:hideMark/>
          </w:tcPr>
          <w:p w14:paraId="2F6985EF"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174,68%</w:t>
            </w:r>
          </w:p>
        </w:tc>
        <w:tc>
          <w:tcPr>
            <w:tcW w:w="0" w:type="auto"/>
            <w:tcBorders>
              <w:top w:val="nil"/>
              <w:left w:val="nil"/>
              <w:bottom w:val="nil"/>
              <w:right w:val="nil"/>
            </w:tcBorders>
            <w:shd w:val="clear" w:color="auto" w:fill="auto"/>
            <w:vAlign w:val="center"/>
            <w:hideMark/>
          </w:tcPr>
          <w:p w14:paraId="7E43F597" w14:textId="77777777" w:rsidR="00DF77DA" w:rsidRPr="007A7BFB" w:rsidRDefault="00DF77DA" w:rsidP="007F09C3">
            <w:pPr>
              <w:jc w:val="center"/>
              <w:rPr>
                <w:rFonts w:ascii="Arial Narrow" w:hAnsi="Arial Narrow" w:cs="Calibri"/>
                <w:b/>
                <w:bCs/>
                <w:color w:val="FFFFFF"/>
                <w:lang w:val="es-CO" w:eastAsia="es-CO"/>
              </w:rPr>
            </w:pPr>
          </w:p>
        </w:tc>
        <w:tc>
          <w:tcPr>
            <w:tcW w:w="0" w:type="auto"/>
            <w:tcBorders>
              <w:top w:val="nil"/>
              <w:left w:val="single" w:sz="4" w:space="0" w:color="auto"/>
              <w:bottom w:val="single" w:sz="4" w:space="0" w:color="auto"/>
              <w:right w:val="single" w:sz="4" w:space="0" w:color="auto"/>
            </w:tcBorders>
            <w:shd w:val="clear" w:color="000000" w:fill="00B050"/>
            <w:vAlign w:val="center"/>
            <w:hideMark/>
          </w:tcPr>
          <w:p w14:paraId="1031A4E9"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160%</w:t>
            </w:r>
          </w:p>
        </w:tc>
        <w:tc>
          <w:tcPr>
            <w:tcW w:w="0" w:type="auto"/>
            <w:tcBorders>
              <w:top w:val="nil"/>
              <w:left w:val="nil"/>
              <w:bottom w:val="single" w:sz="4" w:space="0" w:color="auto"/>
              <w:right w:val="single" w:sz="4" w:space="0" w:color="auto"/>
            </w:tcBorders>
            <w:shd w:val="clear" w:color="000000" w:fill="C00000"/>
            <w:vAlign w:val="center"/>
            <w:hideMark/>
          </w:tcPr>
          <w:p w14:paraId="5B902648" w14:textId="77777777" w:rsidR="00DF77DA" w:rsidRPr="007A7BFB" w:rsidRDefault="00DF77DA" w:rsidP="007F09C3">
            <w:pPr>
              <w:jc w:val="center"/>
              <w:rPr>
                <w:rFonts w:ascii="Arial Narrow" w:hAnsi="Arial Narrow" w:cs="Calibri"/>
                <w:b/>
                <w:bCs/>
                <w:color w:val="FFFFFF"/>
                <w:lang w:val="es-CO" w:eastAsia="es-CO"/>
              </w:rPr>
            </w:pPr>
            <w:r w:rsidRPr="007A7BFB">
              <w:rPr>
                <w:rFonts w:ascii="Arial Narrow" w:hAnsi="Arial Narrow" w:cs="Calibri"/>
                <w:b/>
                <w:bCs/>
                <w:color w:val="FFFFFF"/>
                <w:lang w:val="es-CO" w:eastAsia="es-CO"/>
              </w:rPr>
              <w:t>120%</w:t>
            </w:r>
          </w:p>
        </w:tc>
      </w:tr>
    </w:tbl>
    <w:p w14:paraId="1FB86F7E" w14:textId="77777777" w:rsidR="00DF77DA" w:rsidRPr="007F09C3" w:rsidRDefault="00DF77DA" w:rsidP="007F09C3">
      <w:pPr>
        <w:jc w:val="both"/>
        <w:rPr>
          <w:rFonts w:ascii="Arial Narrow" w:hAnsi="Arial Narrow" w:cstheme="minorHAnsi"/>
          <w:sz w:val="24"/>
          <w:szCs w:val="24"/>
          <w:lang w:val="es-CO"/>
        </w:rPr>
      </w:pPr>
    </w:p>
    <w:p w14:paraId="0199EE2C" w14:textId="6F6820FB"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indicador de calidad de cartera se incrementa al 3,68% fundamentalmente por las recalificaciones de cartera que se implementaron desde 2020 como parte de las exigencias regulatorias de la Supersolidaria, sin embargo, el indicador de calidad de cartera por MORA es muy inferior.  De todos modos el resultado de calidad de cartera es casi la mitad del observado por el segmento de cooperativas medianas que se encuentra ligeramente por debajo del 7% y en todo caso por debajo del indicador de referencia de FOGACOOP que es 5% y muy cerca del indicador de calidad de cartera LIBRANZA del sistema financiero, producto donde se ubica más del 75% de la cartera total de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y viene ganando participación (en 2019 alcanzó su nivel más bajo con 62,3%) como es el objetivo de la administración.  El indicador de calidad de cartera consumo con LIBRANZA es del </w:t>
      </w:r>
      <w:r w:rsidRPr="007F09C3">
        <w:rPr>
          <w:rFonts w:ascii="Arial Narrow" w:hAnsi="Arial Narrow" w:cstheme="minorHAnsi"/>
          <w:sz w:val="24"/>
          <w:szCs w:val="24"/>
          <w:lang w:val="es-CO"/>
        </w:rPr>
        <w:lastRenderedPageBreak/>
        <w:t>1,26%, en general menos de la mitad del indicador de calidad de cartera observado en el sistema financiero para este producto.</w:t>
      </w:r>
    </w:p>
    <w:p w14:paraId="0952C6B5" w14:textId="77777777" w:rsidR="00DF77DA" w:rsidRPr="007F09C3" w:rsidRDefault="00DF77DA" w:rsidP="007F09C3">
      <w:pPr>
        <w:jc w:val="both"/>
        <w:rPr>
          <w:rFonts w:ascii="Arial Narrow" w:hAnsi="Arial Narrow" w:cstheme="minorHAnsi"/>
          <w:sz w:val="24"/>
          <w:szCs w:val="24"/>
          <w:lang w:val="es-CO"/>
        </w:rPr>
      </w:pPr>
    </w:p>
    <w:p w14:paraId="479DD47D" w14:textId="35EEEA94"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De hecho con castigos el indicador de calidad de cartera general apenas llega al 4,07% frente al indicador de 3,68% sin castigos, lo cual muestra que la política de castigos de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es ortodoxa y que no se castiga cartera frecuentemente comparativamente con la política de castigo de cartera del sistema financiero que es más agresiva manteniendo indicadores de calidad de cartera sin castigos también cercanos al 4% pero que son mucho más altos con castigos.</w:t>
      </w:r>
    </w:p>
    <w:p w14:paraId="0CED9060" w14:textId="77777777" w:rsidR="00DF77DA" w:rsidRPr="007F09C3" w:rsidRDefault="00DF77DA" w:rsidP="007F09C3">
      <w:pPr>
        <w:pStyle w:val="Prrafodelista"/>
        <w:rPr>
          <w:rFonts w:ascii="Arial Narrow" w:hAnsi="Arial Narrow" w:cstheme="minorHAnsi"/>
          <w:sz w:val="24"/>
          <w:szCs w:val="24"/>
          <w:lang w:val="es-CO"/>
        </w:rPr>
      </w:pPr>
    </w:p>
    <w:p w14:paraId="10C85D4A"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cobertura total del deterioro individual más el general llega a ser del 3,35% incrementándose un punto frente al promedio de los 4 años precedentes cubriendo casi la totalidad de la cartera de riesgo.</w:t>
      </w:r>
    </w:p>
    <w:p w14:paraId="71AF8C03" w14:textId="77777777" w:rsidR="00DF77DA" w:rsidRPr="007F09C3" w:rsidRDefault="00DF77DA" w:rsidP="007F09C3">
      <w:pPr>
        <w:pStyle w:val="Prrafodelista"/>
        <w:rPr>
          <w:rFonts w:ascii="Arial Narrow" w:hAnsi="Arial Narrow" w:cstheme="minorHAnsi"/>
          <w:sz w:val="24"/>
          <w:szCs w:val="24"/>
          <w:lang w:val="es-CO"/>
        </w:rPr>
      </w:pPr>
    </w:p>
    <w:p w14:paraId="769B4EC4"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cobertura de la provisión (deterioro) individual de la cartera improductiva llega a ser del 82% para la cartera en riesgo siendo su máximo histórico reciente, pero por debajo del ideal que debe ser igual o superior al 100%, nivel que de seguro se alcanzará con la implementación del modelo de pérdida esperada.</w:t>
      </w:r>
    </w:p>
    <w:p w14:paraId="3F29A2D3" w14:textId="77777777" w:rsidR="00DF77DA" w:rsidRPr="007F09C3" w:rsidRDefault="00DF77DA" w:rsidP="007F09C3">
      <w:pPr>
        <w:pStyle w:val="Prrafodelista"/>
        <w:rPr>
          <w:rFonts w:ascii="Arial Narrow" w:hAnsi="Arial Narrow" w:cstheme="minorHAnsi"/>
          <w:sz w:val="24"/>
          <w:szCs w:val="24"/>
          <w:lang w:val="es-CO"/>
        </w:rPr>
      </w:pPr>
    </w:p>
    <w:p w14:paraId="3B58489A"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cobertura total se disminuye al ingresar la cartera en “B” sobre la que apenas se provisiona el 1% por lo que arroja solo un 63%.</w:t>
      </w:r>
    </w:p>
    <w:p w14:paraId="44E60E84" w14:textId="77777777" w:rsidR="00DF77DA" w:rsidRPr="007F09C3" w:rsidRDefault="00DF77DA" w:rsidP="007F09C3">
      <w:pPr>
        <w:pStyle w:val="Prrafodelista"/>
        <w:rPr>
          <w:rFonts w:ascii="Arial Narrow" w:hAnsi="Arial Narrow" w:cstheme="minorHAnsi"/>
          <w:sz w:val="24"/>
          <w:szCs w:val="24"/>
          <w:lang w:val="es-CO"/>
        </w:rPr>
      </w:pPr>
    </w:p>
    <w:p w14:paraId="48C7BE3C"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cartera bruta completa cinco años de crecimiento consecutivo, los últimos tres años cercanos o superiores al 15% aunque desacelera ligeramente durante 2021 aunque todavía superior al crecimiento anualizado observado por el sector de menos del 11% (proyectado anual a partir del comportamiento observado hasta octubre de 2021).</w:t>
      </w:r>
    </w:p>
    <w:p w14:paraId="31D9ED4C" w14:textId="77777777" w:rsidR="00DF77DA" w:rsidRPr="007F09C3" w:rsidRDefault="00DF77DA" w:rsidP="007F09C3">
      <w:pPr>
        <w:pStyle w:val="Prrafodelista"/>
        <w:rPr>
          <w:rFonts w:ascii="Arial Narrow" w:hAnsi="Arial Narrow" w:cstheme="minorHAnsi"/>
          <w:sz w:val="24"/>
          <w:szCs w:val="24"/>
          <w:lang w:val="es-CO"/>
        </w:rPr>
      </w:pPr>
    </w:p>
    <w:p w14:paraId="10714CDC"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cartera SIN libranza se contrae por primera vez en 5 años con -15,15% lo cual está en linea con la estrategia de crecimiento de la administración mientras la cartera con recaudo por LIBRANZA completa dos años de crecimiento igual o cercano al 30%.</w:t>
      </w:r>
    </w:p>
    <w:p w14:paraId="659E5C00" w14:textId="77777777" w:rsidR="00DF77DA" w:rsidRPr="007F09C3" w:rsidRDefault="00DF77DA" w:rsidP="007F09C3">
      <w:pPr>
        <w:pStyle w:val="Prrafodelista"/>
        <w:rPr>
          <w:rFonts w:ascii="Arial Narrow" w:hAnsi="Arial Narrow" w:cstheme="minorHAnsi"/>
          <w:sz w:val="24"/>
          <w:szCs w:val="24"/>
          <w:lang w:val="es-CO"/>
        </w:rPr>
      </w:pPr>
    </w:p>
    <w:p w14:paraId="073C622A"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cartera de VIVIENDA tiene una baja participación en el total con apenas 1,7%-1,8% aproximado y estable en los 4 años observados por lo que su crecimiento de más de dos dígitos en los últimos tres años apenas aporta marginalmente al crecimiento total de la cartera bruta.</w:t>
      </w:r>
    </w:p>
    <w:p w14:paraId="328EA9E5" w14:textId="77777777" w:rsidR="00DF77DA" w:rsidRPr="007F09C3" w:rsidRDefault="00DF77DA" w:rsidP="007F09C3">
      <w:pPr>
        <w:pStyle w:val="Prrafodelista"/>
        <w:rPr>
          <w:rFonts w:ascii="Arial Narrow" w:hAnsi="Arial Narrow" w:cstheme="minorHAnsi"/>
          <w:sz w:val="24"/>
          <w:szCs w:val="24"/>
          <w:lang w:val="es-CO"/>
        </w:rPr>
      </w:pPr>
    </w:p>
    <w:p w14:paraId="2618785B"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cartera de riesgo crece a tasas altas consecuentes con la expansión del crédito y con la política de recalificación de créditos implementada desde 2020, aumentando el índice de calidad de cartera que casi se duplica frente a los promedios del periodo 16-17, aunque manteniéndose muy por debajo de los promedios sectoriales.</w:t>
      </w:r>
    </w:p>
    <w:p w14:paraId="13CDFD73" w14:textId="77777777" w:rsidR="00DF77DA" w:rsidRPr="007F09C3" w:rsidRDefault="00DF77DA" w:rsidP="007F09C3">
      <w:pPr>
        <w:pStyle w:val="Prrafodelista"/>
        <w:rPr>
          <w:rFonts w:ascii="Arial Narrow" w:hAnsi="Arial Narrow" w:cstheme="minorHAnsi"/>
          <w:sz w:val="24"/>
          <w:szCs w:val="24"/>
          <w:lang w:val="es-CO"/>
        </w:rPr>
      </w:pPr>
    </w:p>
    <w:p w14:paraId="6080D5B4"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Los activos líquidos NETOS ampliados, es decir, el “Colchón” de liquidez representa un 38% de los depósitos a la vista o pactados a menos de 6 meses reduciéndose frente al promedio observado en el periodo 16-18 cuando eran superiores al 50%.  Sin embargo, el resultado observado al cierre de 2021 se considera todavía un nivel aceptable o tolerable de recursos de contingencia para la atención de potenciales retiros masivos de depósitos, escenario poco probable en la medida de que a pesar de que los CDAT se pactan la gran mayoría a plazos inferiores o iguales a 6 meses, las tasas de renovación son muy superiores al 90% y aún en un eventual retiro no esperado, los cupos contingentes de crédito bancario disponibles son superiores al 100% de los recursos captados de ahorros a corto plazo.  </w:t>
      </w:r>
    </w:p>
    <w:p w14:paraId="49934BAF" w14:textId="77777777" w:rsidR="00DF77DA" w:rsidRPr="007F09C3" w:rsidRDefault="00DF77DA" w:rsidP="007F09C3">
      <w:pPr>
        <w:pStyle w:val="Prrafodelista"/>
        <w:rPr>
          <w:rFonts w:ascii="Arial Narrow" w:hAnsi="Arial Narrow" w:cstheme="minorHAnsi"/>
          <w:sz w:val="24"/>
          <w:szCs w:val="24"/>
          <w:lang w:val="es-CO"/>
        </w:rPr>
      </w:pPr>
    </w:p>
    <w:p w14:paraId="32CB44A1"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Los 20 mayores ahorradores poseen menos del 15% del total captado, frente al promedio del sector que es del 31% de acuerdo con FOGACOOP.  Algo similar ocurre con la concentración de cartera </w:t>
      </w:r>
      <w:r w:rsidRPr="007F09C3">
        <w:rPr>
          <w:rFonts w:ascii="Arial Narrow" w:hAnsi="Arial Narrow" w:cstheme="minorHAnsi"/>
          <w:sz w:val="24"/>
          <w:szCs w:val="24"/>
          <w:lang w:val="es-CO"/>
        </w:rPr>
        <w:lastRenderedPageBreak/>
        <w:t>donde los 20 mayores deudores apenas tienen menos del 4% de este rubro frente al 14% promedio del sector.</w:t>
      </w:r>
    </w:p>
    <w:p w14:paraId="3B1495FA" w14:textId="77777777" w:rsidR="00DF77DA" w:rsidRPr="007F09C3" w:rsidRDefault="00DF77DA" w:rsidP="007F09C3">
      <w:pPr>
        <w:pStyle w:val="Prrafodelista"/>
        <w:rPr>
          <w:rFonts w:ascii="Arial Narrow" w:hAnsi="Arial Narrow" w:cstheme="minorHAnsi"/>
          <w:sz w:val="24"/>
          <w:szCs w:val="24"/>
          <w:lang w:val="es-CO"/>
        </w:rPr>
      </w:pPr>
    </w:p>
    <w:p w14:paraId="1FCA6838"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La eficiencia administrativa en 2021 desmejoró con el mayor valor de las provisiones haciendo que el indicador arroje que un 51% de los ingresos ordinarios y recuperaciones se destine a gastos de personal, generales, deterioro, depreciaciones y amortizaciones, con una tendencia constante y creciente durante todo el periodo observado por lo que se requiere cambiar la tendencia o estabilizar el resultado logrando un crecimiento de los ingresos superior a la expansión de los gastos operacionales y ello se logra con una mayor rentabilidad de la cartera o con una mayor austeridad en el gasto.</w:t>
      </w:r>
    </w:p>
    <w:p w14:paraId="330D025D" w14:textId="77777777" w:rsidR="00DF77DA" w:rsidRPr="007F09C3" w:rsidRDefault="00DF77DA" w:rsidP="007F09C3">
      <w:pPr>
        <w:pStyle w:val="Prrafodelista"/>
        <w:rPr>
          <w:rFonts w:ascii="Arial Narrow" w:hAnsi="Arial Narrow" w:cstheme="minorHAnsi"/>
          <w:sz w:val="24"/>
          <w:szCs w:val="24"/>
          <w:lang w:val="es-CO"/>
        </w:rPr>
      </w:pPr>
    </w:p>
    <w:p w14:paraId="15207158"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El capital mínimo irreducible es menos de la tercera parte del capital total y equivale a casi 5 veces el capital mínimo regulatorio.</w:t>
      </w:r>
    </w:p>
    <w:p w14:paraId="18A9025B" w14:textId="77777777" w:rsidR="00DF77DA" w:rsidRPr="007F09C3" w:rsidRDefault="00DF77DA" w:rsidP="007F09C3">
      <w:pPr>
        <w:pStyle w:val="Prrafodelista"/>
        <w:rPr>
          <w:rFonts w:ascii="Arial Narrow" w:hAnsi="Arial Narrow" w:cstheme="minorHAnsi"/>
          <w:sz w:val="24"/>
          <w:szCs w:val="24"/>
          <w:lang w:val="es-CO"/>
        </w:rPr>
      </w:pPr>
    </w:p>
    <w:p w14:paraId="26CC182E" w14:textId="794287DE"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patrimonio equivale casi a 1,3 veces los aportes de los asociados frente al 1,6 que se observa en el sector lo que sugiere que la solvencia patrimonial de la Cooperativa siendo aceptable es inferior al promedio del sector  y a los umbrales de referencia sugeridos por la Supersolidaria y FOGACOOP.  Esto se puede corroborar en el hecho de que el capital institucional de la Cooperativa apenas representa menos del 6% del total del activo con tendencia decreciente constante desde 2016 cuando era del 8% frente a un deseable igual o superior al 10% que es el promedio observado en el sector, gracias a lo cual su indicador de solvencia está por el orden del 24% para el segmento de Cooperativas medianas como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cuyo indicador alcanza el 14% aún superior al mínimo regulatorio del 9% pero con tendencia decreciente que requiere sin duda, fortalecer patrimonialmente la cooperativa a través de una mayor generación de capital institucional tomando recursos de los excedentes para reservas y amortización de aportes. La menor creación de capital institucional a través de reservas tiene que ver con una menor rentabilidad relativa, pues el crecimiento de los activos de la Cooperativa es muy superior al de los excedentes que se mantienen nominalmente casi en los mismos valores desde hace 5 años.  </w:t>
      </w:r>
    </w:p>
    <w:p w14:paraId="7EC85C3F" w14:textId="77777777" w:rsidR="00DF77DA" w:rsidRPr="007F09C3" w:rsidRDefault="00DF77DA" w:rsidP="007F09C3">
      <w:pPr>
        <w:jc w:val="both"/>
        <w:rPr>
          <w:rFonts w:ascii="Arial Narrow" w:hAnsi="Arial Narrow" w:cstheme="minorHAnsi"/>
          <w:sz w:val="24"/>
          <w:szCs w:val="24"/>
          <w:lang w:val="es-CO"/>
        </w:rPr>
      </w:pPr>
    </w:p>
    <w:p w14:paraId="6787DE49" w14:textId="4BC73B51" w:rsidR="00DF77DA" w:rsidRPr="007F09C3" w:rsidRDefault="00A14E64"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COOPEJEMPLO</w:t>
      </w:r>
      <w:r w:rsidR="00DF77DA" w:rsidRPr="007F09C3">
        <w:rPr>
          <w:rFonts w:ascii="Arial Narrow" w:hAnsi="Arial Narrow" w:cstheme="minorHAnsi"/>
          <w:sz w:val="24"/>
          <w:szCs w:val="24"/>
          <w:lang w:val="es-CO"/>
        </w:rPr>
        <w:t xml:space="preserve"> es altísimamente eficiente en convertir los recursos administrados en Cartera de crédito que llega a representar de manera constante casi 95% del total del activo, dato comparativo que en el sector apenas se encuentra en el 73% a octubre de 2021 (últimos datos disponibles en la página WEB de la SES).  Agregando las inversiones y fiducias </w:t>
      </w:r>
      <w:r w:rsidR="00FF6290">
        <w:rPr>
          <w:rFonts w:ascii="Arial Narrow" w:hAnsi="Arial Narrow" w:cstheme="minorHAnsi"/>
          <w:sz w:val="24"/>
          <w:szCs w:val="24"/>
          <w:lang w:val="es-CO"/>
        </w:rPr>
        <w:t>de la Cooperativa</w:t>
      </w:r>
      <w:r w:rsidR="00DF77DA" w:rsidRPr="007F09C3">
        <w:rPr>
          <w:rFonts w:ascii="Arial Narrow" w:hAnsi="Arial Narrow" w:cstheme="minorHAnsi"/>
          <w:sz w:val="24"/>
          <w:szCs w:val="24"/>
          <w:lang w:val="es-CO"/>
        </w:rPr>
        <w:t xml:space="preserve"> de liquidez y de los activos liquidos netos el total del activo productivo se mantiene de manera constante cercano o superior al 98%.</w:t>
      </w:r>
    </w:p>
    <w:p w14:paraId="62678B08" w14:textId="77777777" w:rsidR="00DF77DA" w:rsidRPr="007F09C3" w:rsidRDefault="00DF77DA" w:rsidP="007F09C3">
      <w:pPr>
        <w:pStyle w:val="Prrafodelista"/>
        <w:rPr>
          <w:rFonts w:ascii="Arial Narrow" w:hAnsi="Arial Narrow" w:cstheme="minorHAnsi"/>
          <w:sz w:val="24"/>
          <w:szCs w:val="24"/>
          <w:lang w:val="es-CO"/>
        </w:rPr>
      </w:pPr>
    </w:p>
    <w:p w14:paraId="394D9D0E" w14:textId="227A6B10"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margen financiero es del 71% (de cada $100 pesos de ingresos financieros paga $29 pesos de costos financieros y le quedan libres $71 de margen financiero bruto para asumir los gastos y riesgos de la operación y generar excedentes)frente al promedio del segmento del 76% lo cual tiene que ver con el hecho de que la tasa de rentabilidad promedio de la cartera de </w:t>
      </w:r>
      <w:r w:rsidR="00A14E64" w:rsidRPr="007F09C3">
        <w:rPr>
          <w:rFonts w:ascii="Arial Narrow" w:hAnsi="Arial Narrow" w:cstheme="minorHAnsi"/>
          <w:sz w:val="24"/>
          <w:szCs w:val="24"/>
          <w:lang w:val="es-CO"/>
        </w:rPr>
        <w:t>COOPEJEMPLO</w:t>
      </w:r>
      <w:r w:rsidRPr="007F09C3">
        <w:rPr>
          <w:rFonts w:ascii="Arial Narrow" w:hAnsi="Arial Narrow" w:cstheme="minorHAnsi"/>
          <w:sz w:val="24"/>
          <w:szCs w:val="24"/>
          <w:lang w:val="es-CO"/>
        </w:rPr>
        <w:t xml:space="preserve"> está tres puntos porcentuales por debajo del sector mientras el costo de sus depósitos es casi medio punto porcentual superior, siendo así su margen financiero en tasa 3,5 puntos porcentuales menor que el sector.</w:t>
      </w:r>
    </w:p>
    <w:p w14:paraId="718EF22E" w14:textId="77777777" w:rsidR="00DF77DA" w:rsidRPr="007F09C3" w:rsidRDefault="00DF77DA" w:rsidP="007F09C3">
      <w:pPr>
        <w:pStyle w:val="Prrafodelista"/>
        <w:rPr>
          <w:rFonts w:ascii="Arial Narrow" w:hAnsi="Arial Narrow" w:cstheme="minorHAnsi"/>
          <w:sz w:val="24"/>
          <w:szCs w:val="24"/>
          <w:lang w:val="es-CO"/>
        </w:rPr>
      </w:pPr>
    </w:p>
    <w:p w14:paraId="13EDD596"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El margen operacional se mantiene estable alrededor o superior del 20% que es un umbral óptimo y superior al segmento de cooperativas medianas que llega apenas al 12%.</w:t>
      </w:r>
    </w:p>
    <w:p w14:paraId="26278D2C" w14:textId="77777777" w:rsidR="00DF77DA" w:rsidRPr="007F09C3" w:rsidRDefault="00DF77DA" w:rsidP="007F09C3">
      <w:pPr>
        <w:pStyle w:val="Prrafodelista"/>
        <w:rPr>
          <w:rFonts w:ascii="Arial Narrow" w:hAnsi="Arial Narrow" w:cstheme="minorHAnsi"/>
          <w:sz w:val="24"/>
          <w:szCs w:val="24"/>
          <w:lang w:val="es-CO"/>
        </w:rPr>
      </w:pPr>
    </w:p>
    <w:p w14:paraId="565F94DE" w14:textId="77777777"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El endeudamiento bancario es casi la cuarta parte del pasivo total de la Cooperativa pero se mantiene estable con tendencia a la baja desde hace 4 años siendo reemplazado por los depósitos como fuente </w:t>
      </w:r>
      <w:r w:rsidRPr="007F09C3">
        <w:rPr>
          <w:rFonts w:ascii="Arial Narrow" w:hAnsi="Arial Narrow" w:cstheme="minorHAnsi"/>
          <w:sz w:val="24"/>
          <w:szCs w:val="24"/>
          <w:lang w:val="es-CO"/>
        </w:rPr>
        <w:lastRenderedPageBreak/>
        <w:t xml:space="preserve">de apalancamiento, gracias a lo cual el activo productivo mantiene una relación constante de 1,5 veces el pasivo con costo (Depositos + obligaciones financieras).  </w:t>
      </w:r>
    </w:p>
    <w:p w14:paraId="2BDEF838" w14:textId="77777777" w:rsidR="00DF77DA" w:rsidRPr="007F09C3" w:rsidRDefault="00DF77DA" w:rsidP="007F09C3">
      <w:pPr>
        <w:pStyle w:val="Prrafodelista"/>
        <w:rPr>
          <w:rFonts w:ascii="Arial Narrow" w:hAnsi="Arial Narrow" w:cstheme="minorHAnsi"/>
          <w:sz w:val="24"/>
          <w:szCs w:val="24"/>
          <w:lang w:val="es-CO"/>
        </w:rPr>
      </w:pPr>
    </w:p>
    <w:p w14:paraId="23E54194" w14:textId="159A146C" w:rsidR="00DF77DA" w:rsidRPr="007F09C3" w:rsidRDefault="00DF77DA" w:rsidP="007F09C3">
      <w:pPr>
        <w:pStyle w:val="Prrafodelista"/>
        <w:numPr>
          <w:ilvl w:val="0"/>
          <w:numId w:val="2"/>
        </w:numPr>
        <w:jc w:val="both"/>
        <w:rPr>
          <w:rFonts w:ascii="Arial Narrow" w:hAnsi="Arial Narrow" w:cstheme="minorHAnsi"/>
          <w:sz w:val="24"/>
          <w:szCs w:val="24"/>
          <w:lang w:val="es-CO"/>
        </w:rPr>
      </w:pPr>
      <w:r w:rsidRPr="007F09C3">
        <w:rPr>
          <w:rFonts w:ascii="Arial Narrow" w:hAnsi="Arial Narrow" w:cstheme="minorHAnsi"/>
          <w:sz w:val="24"/>
          <w:szCs w:val="24"/>
          <w:lang w:val="es-CO"/>
        </w:rPr>
        <w:t xml:space="preserve">Todos los indicadores de rentabilidad sobre volumen de patrimonio, activos, se reducen porque la cooperativa crece en activos más de lo que lo hacen sus excedentes y por la fuerte expansión del gasto social que se dio durante el periodo 17-19. El excedente NETO en función del total del patrimonio pasó del 4,4% promedio durante el periodo 16-19 a menos del 4% en los últimos dos años y sobre el total de aportes y depósitos del casi 2% al 1,2% en los mismos periodos comparativos, pudiendo ser inferior en 2022 si se tiene en cuenta que el costo del apalancamiento por CDAT y obligaciones financieras inevitablemente va a incrementarse de 2 a 3 puntos por el alza en la inflación y las tasas de referencia del mercado. </w:t>
      </w:r>
    </w:p>
    <w:p w14:paraId="2D119E50" w14:textId="7FED90E5" w:rsidR="00DF77DA" w:rsidRPr="007F09C3" w:rsidRDefault="00DF77DA" w:rsidP="007F09C3">
      <w:pPr>
        <w:jc w:val="both"/>
        <w:rPr>
          <w:rFonts w:ascii="Arial Narrow" w:hAnsi="Arial Narrow" w:cstheme="minorHAnsi"/>
          <w:sz w:val="24"/>
          <w:szCs w:val="24"/>
          <w:lang w:val="es-CO"/>
        </w:rPr>
      </w:pPr>
    </w:p>
    <w:p w14:paraId="410F633F" w14:textId="77777777" w:rsidR="00DF77DA" w:rsidRPr="007F09C3" w:rsidRDefault="00DF77DA" w:rsidP="007F09C3">
      <w:pPr>
        <w:jc w:val="both"/>
        <w:rPr>
          <w:rFonts w:ascii="Arial Narrow" w:hAnsi="Arial Narrow" w:cstheme="minorHAnsi"/>
          <w:sz w:val="24"/>
          <w:szCs w:val="24"/>
          <w:lang w:val="es-CO"/>
        </w:rPr>
      </w:pPr>
    </w:p>
    <w:p w14:paraId="2FFE61EE" w14:textId="66BFD2F1" w:rsidR="00DF1715" w:rsidRPr="007F09C3" w:rsidRDefault="00DF1715" w:rsidP="007F09C3">
      <w:pPr>
        <w:pStyle w:val="Prrafodelista"/>
        <w:numPr>
          <w:ilvl w:val="0"/>
          <w:numId w:val="1"/>
        </w:numPr>
        <w:shd w:val="clear" w:color="auto" w:fill="385623" w:themeFill="accent6" w:themeFillShade="80"/>
        <w:ind w:right="48"/>
        <w:contextualSpacing/>
        <w:jc w:val="center"/>
        <w:rPr>
          <w:rFonts w:ascii="Arial Narrow" w:hAnsi="Arial Narrow"/>
          <w:b/>
          <w:color w:val="FFFFFF" w:themeColor="background1"/>
          <w:sz w:val="24"/>
          <w:szCs w:val="24"/>
        </w:rPr>
      </w:pPr>
      <w:r w:rsidRPr="007F09C3">
        <w:rPr>
          <w:rFonts w:ascii="Arial Narrow" w:hAnsi="Arial Narrow" w:cs="Calibri"/>
          <w:b/>
          <w:color w:val="FFFFFF" w:themeColor="background1"/>
          <w:sz w:val="24"/>
          <w:szCs w:val="24"/>
          <w:lang w:val="es-CO"/>
        </w:rPr>
        <w:t>SISTEMA INTEGRAL DE ADMINISTRACION DE RIESGOS</w:t>
      </w:r>
    </w:p>
    <w:p w14:paraId="4CFFC44C" w14:textId="77777777" w:rsidR="00DF1715" w:rsidRPr="007F09C3" w:rsidRDefault="00DF1715" w:rsidP="007F09C3">
      <w:pPr>
        <w:jc w:val="both"/>
        <w:rPr>
          <w:rFonts w:ascii="Arial Narrow" w:hAnsi="Arial Narrow" w:cstheme="minorHAnsi"/>
          <w:sz w:val="24"/>
          <w:szCs w:val="24"/>
          <w:lang w:val="es-CO"/>
        </w:rPr>
      </w:pPr>
    </w:p>
    <w:p w14:paraId="7E3FCD62" w14:textId="081E753C" w:rsidR="00A14E64" w:rsidRPr="007F09C3" w:rsidRDefault="00A14E64" w:rsidP="007F09C3">
      <w:pPr>
        <w:pStyle w:val="Prrafodelista"/>
        <w:numPr>
          <w:ilvl w:val="1"/>
          <w:numId w:val="1"/>
        </w:numPr>
        <w:shd w:val="clear" w:color="auto" w:fill="385623" w:themeFill="accent6" w:themeFillShade="80"/>
        <w:ind w:right="48"/>
        <w:contextualSpacing/>
        <w:rPr>
          <w:rFonts w:ascii="Arial Narrow" w:hAnsi="Arial Narrow"/>
          <w:b/>
          <w:color w:val="FFFFFF" w:themeColor="background1"/>
          <w:sz w:val="24"/>
          <w:szCs w:val="24"/>
        </w:rPr>
      </w:pPr>
      <w:r w:rsidRPr="007F09C3">
        <w:rPr>
          <w:rFonts w:ascii="Arial Narrow" w:hAnsi="Arial Narrow" w:cs="Calibri"/>
          <w:b/>
          <w:color w:val="FFFFFF" w:themeColor="background1"/>
          <w:sz w:val="24"/>
          <w:szCs w:val="24"/>
          <w:lang w:val="es-CO"/>
        </w:rPr>
        <w:t>REGIMEN PRUDENCIAL</w:t>
      </w:r>
    </w:p>
    <w:p w14:paraId="324E3B25" w14:textId="77777777" w:rsidR="00A14E64" w:rsidRPr="007F09C3" w:rsidRDefault="00A14E64" w:rsidP="007F09C3">
      <w:pPr>
        <w:jc w:val="both"/>
        <w:rPr>
          <w:rFonts w:ascii="Arial Narrow" w:hAnsi="Arial Narrow" w:cstheme="minorHAnsi"/>
          <w:sz w:val="24"/>
          <w:szCs w:val="24"/>
        </w:rPr>
      </w:pPr>
    </w:p>
    <w:p w14:paraId="50028AB0" w14:textId="01AB3B93" w:rsidR="00A14E64" w:rsidRPr="007F09C3" w:rsidRDefault="00F60C75" w:rsidP="007F09C3">
      <w:pPr>
        <w:jc w:val="both"/>
        <w:rPr>
          <w:rFonts w:ascii="Arial Narrow" w:hAnsi="Arial Narrow" w:cstheme="minorHAnsi"/>
          <w:sz w:val="24"/>
          <w:szCs w:val="24"/>
        </w:rPr>
      </w:pPr>
      <w:r w:rsidRPr="007F09C3">
        <w:rPr>
          <w:rFonts w:ascii="Arial Narrow" w:hAnsi="Arial Narrow" w:cstheme="minorHAnsi"/>
          <w:sz w:val="24"/>
          <w:szCs w:val="24"/>
        </w:rPr>
        <w:t xml:space="preserve">COOPEJEMPLO como entidad que ejerce la actividad financiera debe cumplir normas prudenciales de suficiencia patrimonial y limites a la concentración de riesgos según lo establecido en el capitulo II del Titulo III de la Circular Básica Contable.  El indicador de solvencia de la Cooperativa a diciembre de 2021 </w:t>
      </w:r>
      <w:r w:rsidR="007352C3" w:rsidRPr="007F09C3">
        <w:rPr>
          <w:rFonts w:ascii="Arial Narrow" w:hAnsi="Arial Narrow" w:cstheme="minorHAnsi"/>
          <w:sz w:val="24"/>
          <w:szCs w:val="24"/>
        </w:rPr>
        <w:t xml:space="preserve">arroja un resultado de ___% superando con amplitud el mínimo legal del 9% y ha cumplido de manera permanente con los </w:t>
      </w:r>
      <w:r w:rsidR="00C43F79" w:rsidRPr="007F09C3">
        <w:rPr>
          <w:rFonts w:ascii="Arial Narrow" w:hAnsi="Arial Narrow" w:cstheme="minorHAnsi"/>
          <w:sz w:val="24"/>
          <w:szCs w:val="24"/>
        </w:rPr>
        <w:t>límites</w:t>
      </w:r>
      <w:r w:rsidR="007352C3" w:rsidRPr="007F09C3">
        <w:rPr>
          <w:rFonts w:ascii="Arial Narrow" w:hAnsi="Arial Narrow" w:cstheme="minorHAnsi"/>
          <w:sz w:val="24"/>
          <w:szCs w:val="24"/>
        </w:rPr>
        <w:t xml:space="preserve"> de concentración individual:</w:t>
      </w:r>
    </w:p>
    <w:p w14:paraId="4428E502" w14:textId="77777777" w:rsidR="007352C3" w:rsidRPr="007F09C3" w:rsidRDefault="007352C3" w:rsidP="007F09C3">
      <w:pPr>
        <w:jc w:val="both"/>
        <w:rPr>
          <w:rFonts w:ascii="Arial Narrow" w:hAnsi="Arial Narrow" w:cstheme="minorHAnsi"/>
          <w:sz w:val="24"/>
          <w:szCs w:val="24"/>
        </w:rPr>
      </w:pPr>
    </w:p>
    <w:p w14:paraId="73D0FACD" w14:textId="77F479A4" w:rsidR="007352C3" w:rsidRPr="007F09C3" w:rsidRDefault="00B4612E" w:rsidP="007F09C3">
      <w:pPr>
        <w:pStyle w:val="Prrafodelista"/>
        <w:numPr>
          <w:ilvl w:val="0"/>
          <w:numId w:val="2"/>
        </w:numPr>
        <w:jc w:val="both"/>
        <w:rPr>
          <w:rFonts w:ascii="Arial Narrow" w:hAnsi="Arial Narrow" w:cstheme="minorHAnsi"/>
          <w:sz w:val="24"/>
          <w:szCs w:val="24"/>
        </w:rPr>
      </w:pPr>
      <w:r w:rsidRPr="007F09C3">
        <w:rPr>
          <w:rFonts w:ascii="Arial Narrow" w:hAnsi="Arial Narrow" w:cstheme="minorHAnsi"/>
          <w:sz w:val="24"/>
          <w:szCs w:val="24"/>
        </w:rPr>
        <w:t>La deuda total del mayor deudor con garantía personal equivale al __% del Patrimonio técnico a diciembre de 2021 por debajo del límite máximo del 10% y el mayor con garantía admisible del ___% siendo el límite del 20%,</w:t>
      </w:r>
    </w:p>
    <w:p w14:paraId="7C6D0F1C" w14:textId="55CFCFF2" w:rsidR="00B4612E" w:rsidRPr="007F09C3" w:rsidRDefault="00B4612E" w:rsidP="007F09C3">
      <w:pPr>
        <w:pStyle w:val="Prrafodelista"/>
        <w:numPr>
          <w:ilvl w:val="0"/>
          <w:numId w:val="2"/>
        </w:numPr>
        <w:jc w:val="both"/>
        <w:rPr>
          <w:rFonts w:ascii="Arial Narrow" w:hAnsi="Arial Narrow" w:cstheme="minorHAnsi"/>
          <w:sz w:val="24"/>
          <w:szCs w:val="24"/>
        </w:rPr>
      </w:pPr>
      <w:r w:rsidRPr="007F09C3">
        <w:rPr>
          <w:rFonts w:ascii="Arial Narrow" w:hAnsi="Arial Narrow" w:cstheme="minorHAnsi"/>
          <w:sz w:val="24"/>
          <w:szCs w:val="24"/>
        </w:rPr>
        <w:t>La máxima concentración de ahorro individual representa el ___% del patrimonio técnico siendo el máximo del 25%</w:t>
      </w:r>
      <w:r w:rsidR="00BF2359" w:rsidRPr="007F09C3">
        <w:rPr>
          <w:rFonts w:ascii="Arial Narrow" w:hAnsi="Arial Narrow" w:cstheme="minorHAnsi"/>
          <w:sz w:val="24"/>
          <w:szCs w:val="24"/>
        </w:rPr>
        <w:t>.</w:t>
      </w:r>
    </w:p>
    <w:p w14:paraId="050F197C" w14:textId="4B5D1275" w:rsidR="00BF2359" w:rsidRPr="007F09C3" w:rsidRDefault="00BF2359" w:rsidP="007F09C3">
      <w:pPr>
        <w:pStyle w:val="Prrafodelista"/>
        <w:numPr>
          <w:ilvl w:val="0"/>
          <w:numId w:val="2"/>
        </w:numPr>
        <w:jc w:val="both"/>
        <w:rPr>
          <w:rFonts w:ascii="Arial Narrow" w:hAnsi="Arial Narrow" w:cstheme="minorHAnsi"/>
          <w:sz w:val="24"/>
          <w:szCs w:val="24"/>
        </w:rPr>
      </w:pPr>
      <w:r w:rsidRPr="007F09C3">
        <w:rPr>
          <w:rFonts w:ascii="Arial Narrow" w:hAnsi="Arial Narrow" w:cstheme="minorHAnsi"/>
          <w:sz w:val="24"/>
          <w:szCs w:val="24"/>
        </w:rPr>
        <w:t>El mayor aportante posee un ___% del total del capital social siendo el máximo del 10%</w:t>
      </w:r>
    </w:p>
    <w:p w14:paraId="46B6AD08" w14:textId="334B86EE" w:rsidR="00BF2359" w:rsidRPr="007F09C3" w:rsidRDefault="00BF2359" w:rsidP="007F09C3">
      <w:pPr>
        <w:pStyle w:val="Prrafodelista"/>
        <w:numPr>
          <w:ilvl w:val="0"/>
          <w:numId w:val="2"/>
        </w:numPr>
        <w:jc w:val="both"/>
        <w:rPr>
          <w:rFonts w:ascii="Arial Narrow" w:hAnsi="Arial Narrow" w:cstheme="minorHAnsi"/>
          <w:sz w:val="24"/>
          <w:szCs w:val="24"/>
        </w:rPr>
      </w:pPr>
      <w:r w:rsidRPr="007F09C3">
        <w:rPr>
          <w:rFonts w:ascii="Arial Narrow" w:hAnsi="Arial Narrow" w:cstheme="minorHAnsi"/>
          <w:sz w:val="24"/>
          <w:szCs w:val="24"/>
        </w:rPr>
        <w:t>El capital mínimo irreducible de la Cooperativa equivale al ___% del capital mínimo regulatorio y al __% del capital social.</w:t>
      </w:r>
    </w:p>
    <w:p w14:paraId="00DAF131" w14:textId="50CB9BAB" w:rsidR="00B70365" w:rsidRPr="007F09C3" w:rsidRDefault="00B70365" w:rsidP="007F09C3">
      <w:pPr>
        <w:pStyle w:val="Prrafodelista"/>
        <w:numPr>
          <w:ilvl w:val="0"/>
          <w:numId w:val="2"/>
        </w:numPr>
        <w:jc w:val="both"/>
        <w:rPr>
          <w:rFonts w:ascii="Arial Narrow" w:hAnsi="Arial Narrow" w:cstheme="minorHAnsi"/>
          <w:sz w:val="24"/>
          <w:szCs w:val="24"/>
        </w:rPr>
      </w:pPr>
      <w:r w:rsidRPr="007F09C3">
        <w:rPr>
          <w:rFonts w:ascii="Arial Narrow" w:hAnsi="Arial Narrow" w:cstheme="minorHAnsi"/>
          <w:sz w:val="24"/>
          <w:szCs w:val="24"/>
        </w:rPr>
        <w:t>El valor de</w:t>
      </w:r>
      <w:r w:rsidR="0080383B" w:rsidRPr="007F09C3">
        <w:rPr>
          <w:rFonts w:ascii="Arial Narrow" w:hAnsi="Arial Narrow" w:cstheme="minorHAnsi"/>
          <w:sz w:val="24"/>
          <w:szCs w:val="24"/>
        </w:rPr>
        <w:t xml:space="preserve"> los activos materiales y las inversiones de capital es inferior al total de los aportes y reservas </w:t>
      </w:r>
      <w:r w:rsidR="006065C2" w:rsidRPr="007F09C3">
        <w:rPr>
          <w:rFonts w:ascii="Arial Narrow" w:hAnsi="Arial Narrow" w:cstheme="minorHAnsi"/>
          <w:sz w:val="24"/>
          <w:szCs w:val="24"/>
        </w:rPr>
        <w:t xml:space="preserve">patrimoniales con lo cual no existen captaciones de ahorro, obligaciones financieras o pasivos con terceros que pudieran estar financiando este tipo de </w:t>
      </w:r>
      <w:r w:rsidR="00C43F79" w:rsidRPr="007F09C3">
        <w:rPr>
          <w:rFonts w:ascii="Arial Narrow" w:hAnsi="Arial Narrow" w:cstheme="minorHAnsi"/>
          <w:sz w:val="24"/>
          <w:szCs w:val="24"/>
        </w:rPr>
        <w:t>activos</w:t>
      </w:r>
      <w:r w:rsidR="006065C2" w:rsidRPr="007F09C3">
        <w:rPr>
          <w:rFonts w:ascii="Arial Narrow" w:hAnsi="Arial Narrow" w:cstheme="minorHAnsi"/>
          <w:sz w:val="24"/>
          <w:szCs w:val="24"/>
        </w:rPr>
        <w:t>.</w:t>
      </w:r>
    </w:p>
    <w:p w14:paraId="30D28DEC" w14:textId="77777777" w:rsidR="00BF2359" w:rsidRPr="007F09C3" w:rsidRDefault="00BF2359" w:rsidP="007F09C3">
      <w:pPr>
        <w:pStyle w:val="Prrafodelista"/>
        <w:ind w:left="720"/>
        <w:jc w:val="both"/>
        <w:rPr>
          <w:rFonts w:ascii="Arial Narrow" w:hAnsi="Arial Narrow" w:cstheme="minorHAnsi"/>
          <w:sz w:val="24"/>
          <w:szCs w:val="24"/>
        </w:rPr>
      </w:pPr>
    </w:p>
    <w:p w14:paraId="5F84D619" w14:textId="1E77DFC2" w:rsidR="00C43F79" w:rsidRPr="007F09C3" w:rsidRDefault="00C43F79" w:rsidP="007F09C3">
      <w:pPr>
        <w:pStyle w:val="Prrafodelista"/>
        <w:numPr>
          <w:ilvl w:val="1"/>
          <w:numId w:val="1"/>
        </w:numPr>
        <w:shd w:val="clear" w:color="auto" w:fill="385623" w:themeFill="accent6" w:themeFillShade="80"/>
        <w:ind w:right="48"/>
        <w:contextualSpacing/>
        <w:rPr>
          <w:rFonts w:ascii="Arial Narrow" w:hAnsi="Arial Narrow"/>
          <w:b/>
          <w:color w:val="FFFFFF" w:themeColor="background1"/>
          <w:sz w:val="24"/>
          <w:szCs w:val="24"/>
        </w:rPr>
      </w:pPr>
      <w:r w:rsidRPr="007F09C3">
        <w:rPr>
          <w:rFonts w:ascii="Arial Narrow" w:hAnsi="Arial Narrow" w:cs="Calibri"/>
          <w:b/>
          <w:color w:val="FFFFFF" w:themeColor="background1"/>
          <w:sz w:val="24"/>
          <w:szCs w:val="24"/>
          <w:lang w:val="es-CO"/>
        </w:rPr>
        <w:t>SISTEMA INTEGRAL DE ADMINISTRACIÓN DE RIESGOS - SIAR</w:t>
      </w:r>
    </w:p>
    <w:p w14:paraId="3E0F7C88" w14:textId="77777777" w:rsidR="00A14E64" w:rsidRPr="007F09C3" w:rsidRDefault="00A14E64" w:rsidP="007F09C3">
      <w:pPr>
        <w:jc w:val="both"/>
        <w:rPr>
          <w:rFonts w:ascii="Arial Narrow" w:hAnsi="Arial Narrow" w:cstheme="minorHAnsi"/>
          <w:sz w:val="24"/>
          <w:szCs w:val="24"/>
          <w:lang w:val="es-CO"/>
        </w:rPr>
      </w:pPr>
    </w:p>
    <w:p w14:paraId="781B47B2" w14:textId="76D5A14F" w:rsidR="00A14E64" w:rsidRPr="007F09C3" w:rsidRDefault="00C43F79" w:rsidP="007F09C3">
      <w:pPr>
        <w:widowControl w:val="0"/>
        <w:jc w:val="both"/>
        <w:rPr>
          <w:rFonts w:ascii="Arial Narrow" w:hAnsi="Arial Narrow" w:cs="Arial"/>
          <w:bCs/>
          <w:color w:val="000000"/>
          <w:sz w:val="24"/>
          <w:szCs w:val="24"/>
        </w:rPr>
      </w:pPr>
      <w:r w:rsidRPr="007F09C3">
        <w:rPr>
          <w:rFonts w:ascii="Arial Narrow" w:hAnsi="Arial Narrow" w:cs="Arial"/>
          <w:bCs/>
          <w:color w:val="000000"/>
          <w:sz w:val="24"/>
          <w:szCs w:val="24"/>
        </w:rPr>
        <w:t xml:space="preserve">Con la expedición de la nueva Circular Básica Contable y Financiera publicada en enero de 2021 por la Supersolidaria, la Cooperativa procedió a crear y reglamentar el Comité de Riesgos compuesto por la persona encargada de riesgos, un integrante del consejo de Administración y otros integrantes nombrados por el Consejo de Administración quienes monitorean mensualmente </w:t>
      </w:r>
      <w:r w:rsidR="006A55B2" w:rsidRPr="007F09C3">
        <w:rPr>
          <w:rFonts w:ascii="Arial Narrow" w:hAnsi="Arial Narrow" w:cs="Arial"/>
          <w:bCs/>
          <w:color w:val="000000"/>
          <w:sz w:val="24"/>
          <w:szCs w:val="24"/>
        </w:rPr>
        <w:t>el cumplimiento de limites y apetito de riesgo definido por la organización así:</w:t>
      </w:r>
    </w:p>
    <w:p w14:paraId="45209AF7" w14:textId="77777777" w:rsidR="00A14E64" w:rsidRPr="007F09C3" w:rsidRDefault="00A14E64" w:rsidP="007F09C3">
      <w:pPr>
        <w:widowControl w:val="0"/>
        <w:ind w:left="284"/>
        <w:jc w:val="both"/>
        <w:rPr>
          <w:rFonts w:ascii="Arial Narrow" w:hAnsi="Arial Narrow" w:cs="Arial"/>
          <w:sz w:val="24"/>
          <w:szCs w:val="24"/>
        </w:rPr>
      </w:pPr>
    </w:p>
    <w:p w14:paraId="22083DD3" w14:textId="419E966E" w:rsidR="00A14E64" w:rsidRPr="007F09C3" w:rsidRDefault="00A14E64" w:rsidP="007F09C3">
      <w:pPr>
        <w:widowControl w:val="0"/>
        <w:numPr>
          <w:ilvl w:val="0"/>
          <w:numId w:val="3"/>
        </w:numPr>
        <w:tabs>
          <w:tab w:val="clear" w:pos="720"/>
        </w:tabs>
        <w:ind w:left="284" w:hanging="284"/>
        <w:jc w:val="both"/>
        <w:rPr>
          <w:rFonts w:ascii="Arial Narrow" w:hAnsi="Arial Narrow" w:cs="Arial"/>
          <w:sz w:val="24"/>
          <w:szCs w:val="24"/>
        </w:rPr>
      </w:pPr>
      <w:r w:rsidRPr="007F09C3">
        <w:rPr>
          <w:rFonts w:ascii="Arial Narrow" w:hAnsi="Arial Narrow" w:cs="Arial"/>
          <w:b/>
          <w:sz w:val="24"/>
          <w:szCs w:val="24"/>
        </w:rPr>
        <w:t xml:space="preserve">Riesgo de mercado: </w:t>
      </w:r>
      <w:r w:rsidRPr="007F09C3">
        <w:rPr>
          <w:rFonts w:ascii="Arial Narrow" w:hAnsi="Arial Narrow" w:cs="Arial"/>
          <w:sz w:val="24"/>
          <w:szCs w:val="24"/>
        </w:rPr>
        <w:t xml:space="preserve">El Riesgo de Mercado es la pérdida ante movimientos adversos en las variables del mercado que afectan los precios de los activos de la entidad. Existen diferentes tipos de riesgo de mercado como es tasa de interés, precio y tipo de cambio. </w:t>
      </w:r>
      <w:r w:rsidR="006A55B2" w:rsidRPr="007F09C3">
        <w:rPr>
          <w:rFonts w:ascii="Arial Narrow" w:hAnsi="Arial Narrow" w:cs="Arial"/>
          <w:sz w:val="24"/>
          <w:szCs w:val="24"/>
        </w:rPr>
        <w:t xml:space="preserve">Las inversiones </w:t>
      </w:r>
      <w:r w:rsidR="00A16F4C" w:rsidRPr="007F09C3">
        <w:rPr>
          <w:rFonts w:ascii="Arial Narrow" w:hAnsi="Arial Narrow" w:cs="Arial"/>
          <w:sz w:val="24"/>
          <w:szCs w:val="24"/>
        </w:rPr>
        <w:t xml:space="preserve">de la Cooperativa fundamentalmente son las obligatorias para la constitución </w:t>
      </w:r>
      <w:r w:rsidR="00FF6290">
        <w:rPr>
          <w:rFonts w:ascii="Arial Narrow" w:hAnsi="Arial Narrow" w:cs="Arial"/>
          <w:sz w:val="24"/>
          <w:szCs w:val="24"/>
        </w:rPr>
        <w:t>de la Cooperativa</w:t>
      </w:r>
      <w:r w:rsidR="00A16F4C" w:rsidRPr="007F09C3">
        <w:rPr>
          <w:rFonts w:ascii="Arial Narrow" w:hAnsi="Arial Narrow" w:cs="Arial"/>
          <w:sz w:val="24"/>
          <w:szCs w:val="24"/>
        </w:rPr>
        <w:t xml:space="preserve"> de liquidez equivalentes al 10% del total de las captaciones y los excedentes de tesorería que se mantienen todos a corto plazo.  Las inversiones diferentes de Fondos de Inversión colectiva o fiduciarios, Caja y Bancos, son inferiores al 10% del total del activo</w:t>
      </w:r>
      <w:r w:rsidR="005F1626" w:rsidRPr="007F09C3">
        <w:rPr>
          <w:rFonts w:ascii="Arial Narrow" w:hAnsi="Arial Narrow" w:cs="Arial"/>
          <w:sz w:val="24"/>
          <w:szCs w:val="24"/>
        </w:rPr>
        <w:t xml:space="preserve"> por lo que el riesgo de mercado de las inversiones es bajo.</w:t>
      </w:r>
      <w:r w:rsidR="00A16F4C" w:rsidRPr="007F09C3">
        <w:rPr>
          <w:rFonts w:ascii="Arial Narrow" w:hAnsi="Arial Narrow" w:cs="Arial"/>
          <w:sz w:val="24"/>
          <w:szCs w:val="24"/>
        </w:rPr>
        <w:t xml:space="preserve"> </w:t>
      </w:r>
      <w:r w:rsidR="005F1626" w:rsidRPr="007F09C3">
        <w:rPr>
          <w:rFonts w:ascii="Arial Narrow" w:hAnsi="Arial Narrow" w:cs="Arial"/>
          <w:sz w:val="24"/>
          <w:szCs w:val="24"/>
        </w:rPr>
        <w:t>L</w:t>
      </w:r>
      <w:r w:rsidR="00A16F4C" w:rsidRPr="007F09C3">
        <w:rPr>
          <w:rFonts w:ascii="Arial Narrow" w:hAnsi="Arial Narrow" w:cs="Arial"/>
          <w:sz w:val="24"/>
          <w:szCs w:val="24"/>
        </w:rPr>
        <w:t xml:space="preserve">a cartera representa el __% del activo, el cual está </w:t>
      </w:r>
      <w:r w:rsidR="00A16F4C" w:rsidRPr="007F09C3">
        <w:rPr>
          <w:rFonts w:ascii="Arial Narrow" w:hAnsi="Arial Narrow" w:cs="Arial"/>
          <w:sz w:val="24"/>
          <w:szCs w:val="24"/>
        </w:rPr>
        <w:lastRenderedPageBreak/>
        <w:t xml:space="preserve">colocado a </w:t>
      </w:r>
      <w:r w:rsidR="005F1626" w:rsidRPr="007F09C3">
        <w:rPr>
          <w:rFonts w:ascii="Arial Narrow" w:hAnsi="Arial Narrow" w:cs="Arial"/>
          <w:sz w:val="24"/>
          <w:szCs w:val="24"/>
        </w:rPr>
        <w:t>tasa fija a largo plazo lo cual genera riesgo de tasa de interés por los efectos que sobre el margen de intermediación pueden tener las variaciones de las tasas del mercado en el costo del apalancamiento</w:t>
      </w:r>
      <w:r w:rsidR="003A406D" w:rsidRPr="007F09C3">
        <w:rPr>
          <w:rFonts w:ascii="Arial Narrow" w:hAnsi="Arial Narrow" w:cs="Arial"/>
          <w:sz w:val="24"/>
          <w:szCs w:val="24"/>
        </w:rPr>
        <w:t xml:space="preserve">, sin embargo, efectuadas las simulaciones en las pruebas de estrés, en los escenarios de máxima volatilidad de las tasas de interés pasivas en el corto plazo según lo observado en la última década, </w:t>
      </w:r>
      <w:r w:rsidR="000A54CB" w:rsidRPr="007F09C3">
        <w:rPr>
          <w:rFonts w:ascii="Arial Narrow" w:hAnsi="Arial Narrow" w:cs="Arial"/>
          <w:sz w:val="24"/>
          <w:szCs w:val="24"/>
        </w:rPr>
        <w:t>el excedente se reduce pero no entra en terreno negativo y en todo caso el impacto es menor al __% del Patrimonio Técnico.  La entidad no está expuesta a riesgo cambiario porque no tiene activos ni realiza operaciones en divisas.</w:t>
      </w:r>
    </w:p>
    <w:p w14:paraId="5F274ED0" w14:textId="77777777" w:rsidR="00A16F4C" w:rsidRPr="007F09C3" w:rsidRDefault="00A16F4C" w:rsidP="007F09C3">
      <w:pPr>
        <w:widowControl w:val="0"/>
        <w:jc w:val="both"/>
        <w:rPr>
          <w:rFonts w:ascii="Arial Narrow" w:hAnsi="Arial Narrow" w:cs="Arial"/>
          <w:sz w:val="24"/>
          <w:szCs w:val="24"/>
        </w:rPr>
      </w:pPr>
    </w:p>
    <w:p w14:paraId="31388BD7" w14:textId="76FFC94C" w:rsidR="00A14E64" w:rsidRPr="007F09C3" w:rsidRDefault="00A14E64" w:rsidP="007F09C3">
      <w:pPr>
        <w:widowControl w:val="0"/>
        <w:numPr>
          <w:ilvl w:val="0"/>
          <w:numId w:val="3"/>
        </w:numPr>
        <w:tabs>
          <w:tab w:val="clear" w:pos="720"/>
        </w:tabs>
        <w:ind w:left="284" w:hanging="284"/>
        <w:jc w:val="both"/>
        <w:rPr>
          <w:rFonts w:ascii="Arial Narrow" w:hAnsi="Arial Narrow" w:cs="Arial"/>
          <w:sz w:val="24"/>
          <w:szCs w:val="24"/>
        </w:rPr>
      </w:pPr>
      <w:r w:rsidRPr="007F09C3">
        <w:rPr>
          <w:rFonts w:ascii="Arial Narrow" w:hAnsi="Arial Narrow" w:cs="Arial"/>
          <w:b/>
          <w:sz w:val="24"/>
          <w:szCs w:val="24"/>
        </w:rPr>
        <w:t>Riesgo de Lavado de Activos y Financiación del Terrorismo:</w:t>
      </w:r>
      <w:r w:rsidRPr="007F09C3">
        <w:rPr>
          <w:rFonts w:ascii="Arial Narrow" w:hAnsi="Arial Narrow" w:cs="Arial"/>
          <w:sz w:val="24"/>
          <w:szCs w:val="24"/>
        </w:rPr>
        <w:t xml:space="preserve">  representa la probabilidad de que la entidad sea utilizada en el giro ordinario de sus negocios por cualquiera de sus contrapartes para el uso, ocultamiento o transferencia de recursos de origen ilícito.  </w:t>
      </w:r>
      <w:r w:rsidR="00C43F79" w:rsidRPr="007F09C3">
        <w:rPr>
          <w:rFonts w:ascii="Arial Narrow" w:hAnsi="Arial Narrow" w:cs="Arial"/>
          <w:sz w:val="24"/>
          <w:szCs w:val="24"/>
        </w:rPr>
        <w:t>COOPEJEMPLO</w:t>
      </w:r>
      <w:r w:rsidRPr="007F09C3">
        <w:rPr>
          <w:rFonts w:ascii="Arial Narrow" w:hAnsi="Arial Narrow" w:cs="Arial"/>
          <w:sz w:val="24"/>
          <w:szCs w:val="24"/>
        </w:rPr>
        <w:t xml:space="preserve"> adopto integralmente las medidas de prevención, control, monitoreo y reporte que le corresponden de acuerdo con su nivel de riesgo, tamaño, naturaleza y complejidad por cada factor de riesgo según las instrucciones del Título V de la nueva Circular Básica Jurídica.  Tanto su oficial de cumplimiento como el Revisor Fiscal cuentan con el curso de la UIAF y el Diplomado respectivo. El riesgo inherente y residual de </w:t>
      </w:r>
      <w:r w:rsidR="00C43F79" w:rsidRPr="007F09C3">
        <w:rPr>
          <w:rFonts w:ascii="Arial Narrow" w:hAnsi="Arial Narrow" w:cs="Arial"/>
          <w:sz w:val="24"/>
          <w:szCs w:val="24"/>
        </w:rPr>
        <w:t>COOPEJEMPLO</w:t>
      </w:r>
      <w:r w:rsidRPr="007F09C3">
        <w:rPr>
          <w:rFonts w:ascii="Arial Narrow" w:hAnsi="Arial Narrow" w:cs="Arial"/>
          <w:sz w:val="24"/>
          <w:szCs w:val="24"/>
        </w:rPr>
        <w:t xml:space="preserve"> es mínimo en materia de lavado de activos y financiación del terrorismo</w:t>
      </w:r>
      <w:r w:rsidR="009971B3" w:rsidRPr="007F09C3">
        <w:rPr>
          <w:rFonts w:ascii="Arial Narrow" w:hAnsi="Arial Narrow" w:cs="Arial"/>
          <w:sz w:val="24"/>
          <w:szCs w:val="24"/>
        </w:rPr>
        <w:t xml:space="preserve"> teniendo en cuenta que los asociados son fundamentalmente personas naturales</w:t>
      </w:r>
      <w:r w:rsidR="00E707A8" w:rsidRPr="007F09C3">
        <w:rPr>
          <w:rFonts w:ascii="Arial Narrow" w:hAnsi="Arial Narrow" w:cs="Arial"/>
          <w:sz w:val="24"/>
          <w:szCs w:val="24"/>
        </w:rPr>
        <w:t xml:space="preserve"> que devengan sus ingresos de actividades laborales, pensionados o de prestación de servicios personales cuyos ingresos son fácilmente verificables.  H</w:t>
      </w:r>
      <w:r w:rsidRPr="007F09C3">
        <w:rPr>
          <w:rFonts w:ascii="Arial Narrow" w:hAnsi="Arial Narrow" w:cs="Arial"/>
          <w:sz w:val="24"/>
          <w:szCs w:val="24"/>
        </w:rPr>
        <w:t>asta la fecha no se han presentado operaciones inusuales, ni reportado operaciones sospechosas o en efectivo por no superar los topes establecidos en la norma vigente</w:t>
      </w:r>
      <w:r w:rsidR="000A54CB" w:rsidRPr="007F09C3">
        <w:rPr>
          <w:rFonts w:ascii="Arial Narrow" w:hAnsi="Arial Narrow" w:cs="Arial"/>
          <w:sz w:val="24"/>
          <w:szCs w:val="24"/>
        </w:rPr>
        <w:t xml:space="preserve"> y se cuenta con adecuados procedimientos y controles de debida diligencia para el conocimiento de las contrapartes </w:t>
      </w:r>
      <w:r w:rsidR="009971B3" w:rsidRPr="007F09C3">
        <w:rPr>
          <w:rFonts w:ascii="Arial Narrow" w:hAnsi="Arial Narrow" w:cs="Arial"/>
          <w:sz w:val="24"/>
          <w:szCs w:val="24"/>
        </w:rPr>
        <w:t>y su actualización de datos.</w:t>
      </w:r>
      <w:r w:rsidR="005C0D3D" w:rsidRPr="007F09C3">
        <w:rPr>
          <w:rFonts w:ascii="Arial Narrow" w:hAnsi="Arial Narrow" w:cs="Arial"/>
          <w:sz w:val="24"/>
          <w:szCs w:val="24"/>
        </w:rPr>
        <w:t xml:space="preserve">  Tanto en la inducción como anualmente tanto a los empleados como a los directivos se les imparte la capacitación en SARLAFT.</w:t>
      </w:r>
    </w:p>
    <w:p w14:paraId="615975D2" w14:textId="77777777" w:rsidR="00A14E64" w:rsidRPr="007F09C3" w:rsidRDefault="00A14E64" w:rsidP="007F09C3">
      <w:pPr>
        <w:widowControl w:val="0"/>
        <w:ind w:left="284"/>
        <w:jc w:val="both"/>
        <w:rPr>
          <w:rFonts w:ascii="Arial Narrow" w:hAnsi="Arial Narrow" w:cs="Arial"/>
          <w:sz w:val="24"/>
          <w:szCs w:val="24"/>
        </w:rPr>
      </w:pPr>
    </w:p>
    <w:p w14:paraId="4009D467" w14:textId="0E9EE717" w:rsidR="00A14E64" w:rsidRPr="007F09C3" w:rsidRDefault="00A14E64" w:rsidP="007F09C3">
      <w:pPr>
        <w:widowControl w:val="0"/>
        <w:numPr>
          <w:ilvl w:val="0"/>
          <w:numId w:val="3"/>
        </w:numPr>
        <w:tabs>
          <w:tab w:val="clear" w:pos="720"/>
        </w:tabs>
        <w:ind w:left="284" w:hanging="284"/>
        <w:jc w:val="both"/>
        <w:rPr>
          <w:rFonts w:ascii="Arial Narrow" w:hAnsi="Arial Narrow" w:cs="Arial"/>
          <w:sz w:val="24"/>
          <w:szCs w:val="24"/>
        </w:rPr>
      </w:pPr>
      <w:r w:rsidRPr="007F09C3">
        <w:rPr>
          <w:rFonts w:ascii="Arial Narrow" w:hAnsi="Arial Narrow" w:cs="Arial"/>
          <w:b/>
          <w:sz w:val="24"/>
          <w:szCs w:val="24"/>
        </w:rPr>
        <w:t xml:space="preserve">Riesgo de Crédito: </w:t>
      </w:r>
      <w:r w:rsidRPr="007F09C3">
        <w:rPr>
          <w:rFonts w:ascii="Arial Narrow" w:hAnsi="Arial Narrow" w:cs="Arial"/>
          <w:sz w:val="24"/>
          <w:szCs w:val="24"/>
        </w:rPr>
        <w:t xml:space="preserve">El riesgo crediticio es la posibilidad de que una entidad incurra en pérdidas y se disminuya el valor de sus activos, como consecuencia de que sus deudores falten en el cumplimiento oportuno. </w:t>
      </w:r>
      <w:r w:rsidR="00982A1F" w:rsidRPr="007F09C3">
        <w:rPr>
          <w:rFonts w:ascii="Arial Narrow" w:hAnsi="Arial Narrow" w:cs="Arial"/>
          <w:sz w:val="24"/>
          <w:szCs w:val="24"/>
        </w:rPr>
        <w:t>El indicador de calidad de cartera de la cooperativa arroja un __% comparativamente con el ___% del año anterior</w:t>
      </w:r>
      <w:r w:rsidR="00AD11EC" w:rsidRPr="007F09C3">
        <w:rPr>
          <w:rFonts w:ascii="Arial Narrow" w:hAnsi="Arial Narrow" w:cs="Arial"/>
          <w:sz w:val="24"/>
          <w:szCs w:val="24"/>
        </w:rPr>
        <w:t xml:space="preserve">. </w:t>
      </w:r>
      <w:r w:rsidR="00C43F79" w:rsidRPr="007F09C3">
        <w:rPr>
          <w:rFonts w:ascii="Arial Narrow" w:hAnsi="Arial Narrow" w:cs="Arial"/>
          <w:sz w:val="24"/>
          <w:szCs w:val="24"/>
        </w:rPr>
        <w:t>COOPEJEMPLO</w:t>
      </w:r>
      <w:r w:rsidRPr="007F09C3">
        <w:rPr>
          <w:rFonts w:ascii="Arial Narrow" w:hAnsi="Arial Narrow" w:cs="Arial"/>
          <w:sz w:val="24"/>
          <w:szCs w:val="24"/>
        </w:rPr>
        <w:t xml:space="preserve"> cumple con la normatividad expedida por la Supersolidaria para la administración del riesgo de crédito contenida en el Capítulo II de la Circular Básica Contable</w:t>
      </w:r>
      <w:r w:rsidR="00935210" w:rsidRPr="007F09C3">
        <w:rPr>
          <w:rFonts w:ascii="Arial Narrow" w:hAnsi="Arial Narrow" w:cs="Arial"/>
          <w:sz w:val="24"/>
          <w:szCs w:val="24"/>
        </w:rPr>
        <w:t xml:space="preserve"> que involucra tres procesos:</w:t>
      </w:r>
    </w:p>
    <w:p w14:paraId="1D37FBA6" w14:textId="77777777" w:rsidR="00935210" w:rsidRPr="007F09C3" w:rsidRDefault="00935210" w:rsidP="007F09C3">
      <w:pPr>
        <w:pStyle w:val="Prrafodelista"/>
        <w:rPr>
          <w:rFonts w:ascii="Arial Narrow" w:hAnsi="Arial Narrow" w:cs="Arial"/>
          <w:sz w:val="24"/>
          <w:szCs w:val="24"/>
        </w:rPr>
      </w:pPr>
    </w:p>
    <w:p w14:paraId="251E79EB" w14:textId="57CEEF14" w:rsidR="00935210" w:rsidRPr="007F09C3" w:rsidRDefault="00935210" w:rsidP="007F09C3">
      <w:pPr>
        <w:widowControl w:val="0"/>
        <w:numPr>
          <w:ilvl w:val="1"/>
          <w:numId w:val="3"/>
        </w:numPr>
        <w:jc w:val="both"/>
        <w:rPr>
          <w:rFonts w:ascii="Arial Narrow" w:hAnsi="Arial Narrow" w:cs="Arial"/>
          <w:sz w:val="24"/>
          <w:szCs w:val="24"/>
        </w:rPr>
      </w:pPr>
      <w:r w:rsidRPr="007F09C3">
        <w:rPr>
          <w:rFonts w:ascii="Arial Narrow" w:hAnsi="Arial Narrow" w:cs="Arial"/>
          <w:sz w:val="24"/>
          <w:szCs w:val="24"/>
        </w:rPr>
        <w:t>Otorgamiento: la Cooperativa</w:t>
      </w:r>
      <w:r w:rsidR="00CF0BAD" w:rsidRPr="007F09C3">
        <w:rPr>
          <w:rFonts w:ascii="Arial Narrow" w:hAnsi="Arial Narrow" w:cs="Arial"/>
          <w:sz w:val="24"/>
          <w:szCs w:val="24"/>
        </w:rPr>
        <w:t xml:space="preserve"> cuenta con un nicho de mercado claramente definido y</w:t>
      </w:r>
      <w:r w:rsidRPr="007F09C3">
        <w:rPr>
          <w:rFonts w:ascii="Arial Narrow" w:hAnsi="Arial Narrow" w:cs="Arial"/>
          <w:sz w:val="24"/>
          <w:szCs w:val="24"/>
        </w:rPr>
        <w:t xml:space="preserve"> </w:t>
      </w:r>
      <w:r w:rsidR="00A30B4D" w:rsidRPr="007F09C3">
        <w:rPr>
          <w:rFonts w:ascii="Arial Narrow" w:hAnsi="Arial Narrow" w:cs="Arial"/>
          <w:sz w:val="24"/>
          <w:szCs w:val="24"/>
        </w:rPr>
        <w:t>en cada operación de crédito evalúa la capacidad de pago, solvencia, hábitos de pago y garantías conforme a los requisitos, documentación, políticas, límites e instancias de decisión que ha establecido en el reglamento de crédito aprobado por el Consejo de Administración.</w:t>
      </w:r>
      <w:r w:rsidR="00040F44" w:rsidRPr="007F09C3">
        <w:rPr>
          <w:rFonts w:ascii="Arial Narrow" w:hAnsi="Arial Narrow" w:cs="Arial"/>
          <w:sz w:val="24"/>
          <w:szCs w:val="24"/>
        </w:rPr>
        <w:t xml:space="preserve">  Se consulta y reporta a la Central de riesgos todas las operaciones de crédito y el total de la cartera.  Los deudores cuentan con acceso al reglamento de crédito y las condiciones de los créditos, proyección de pagos o tabla de amortización y demás condiciones de la operación previo a su aceptación de lo cual se deja evidencia.</w:t>
      </w:r>
    </w:p>
    <w:p w14:paraId="6F0CC8AF" w14:textId="4A67C942" w:rsidR="0013791B" w:rsidRPr="007F09C3" w:rsidRDefault="00CF0BAD" w:rsidP="007F09C3">
      <w:pPr>
        <w:widowControl w:val="0"/>
        <w:numPr>
          <w:ilvl w:val="1"/>
          <w:numId w:val="3"/>
        </w:numPr>
        <w:jc w:val="both"/>
        <w:rPr>
          <w:rFonts w:ascii="Arial Narrow" w:hAnsi="Arial Narrow" w:cs="Arial"/>
          <w:sz w:val="24"/>
          <w:szCs w:val="24"/>
        </w:rPr>
      </w:pPr>
      <w:r w:rsidRPr="007F09C3">
        <w:rPr>
          <w:rFonts w:ascii="Arial Narrow" w:hAnsi="Arial Narrow" w:cs="Arial"/>
          <w:sz w:val="24"/>
          <w:szCs w:val="24"/>
        </w:rPr>
        <w:t xml:space="preserve">Seguimiento: tiene dos subprocesos, el monitoreo que se hace mensualmente a partir del análisis de los indicadores de calidad de cartera por mora segmentada bajo diferentes criterios (recaudo, garantía, portafolio, </w:t>
      </w:r>
      <w:r w:rsidR="004A41F5" w:rsidRPr="007F09C3">
        <w:rPr>
          <w:rFonts w:ascii="Arial Narrow" w:hAnsi="Arial Narrow" w:cs="Arial"/>
          <w:sz w:val="24"/>
          <w:szCs w:val="24"/>
        </w:rPr>
        <w:t xml:space="preserve">jurisdicción, pagaduría, actividad económica) además del seguimiento al cumplimiento del presupuesto de colocaciones por límites </w:t>
      </w:r>
      <w:r w:rsidR="00230846" w:rsidRPr="007F09C3">
        <w:rPr>
          <w:rFonts w:ascii="Arial Narrow" w:hAnsi="Arial Narrow" w:cs="Arial"/>
          <w:sz w:val="24"/>
          <w:szCs w:val="24"/>
        </w:rPr>
        <w:t xml:space="preserve">y la evaluación de cartera que se hace semestralmente al corte de mayo y noviembre de cada año y sus resultados se registran al mes siguiente </w:t>
      </w:r>
      <w:r w:rsidR="00A012FA" w:rsidRPr="007F09C3">
        <w:rPr>
          <w:rFonts w:ascii="Arial Narrow" w:hAnsi="Arial Narrow" w:cs="Arial"/>
          <w:sz w:val="24"/>
          <w:szCs w:val="24"/>
        </w:rPr>
        <w:t>degradando la calificación un nivel adicional la que le corresponda por altura de mora a los deudores que resulten en riesgo crítico o alto de acuerdo con el puntaje interno diseñado con los 6 criterios señalados por la Circular Básica Contable</w:t>
      </w:r>
      <w:r w:rsidR="0013791B" w:rsidRPr="007F09C3">
        <w:rPr>
          <w:rFonts w:ascii="Arial Narrow" w:hAnsi="Arial Narrow" w:cs="Arial"/>
          <w:sz w:val="24"/>
          <w:szCs w:val="24"/>
        </w:rPr>
        <w:t xml:space="preserve"> aumentando su deterioro. </w:t>
      </w:r>
      <w:r w:rsidR="00485B86" w:rsidRPr="007F09C3">
        <w:rPr>
          <w:rFonts w:ascii="Arial Narrow" w:hAnsi="Arial Narrow" w:cs="Arial"/>
          <w:sz w:val="24"/>
          <w:szCs w:val="24"/>
        </w:rPr>
        <w:t>La entidad debe aplicar el modelo de pérdida esperada para el cálculo del deterioro señalado en el Anexo 2 del Capitulo II del Titulo IV de la Circular Básica Contable lo cual le genera un defecto de deterioro calculado en $___ millones el cual será registrado en tres años afectando los ejercicios de los años ____ al _____.</w:t>
      </w:r>
    </w:p>
    <w:p w14:paraId="53EF6E3A" w14:textId="1B48E5EC" w:rsidR="00CF0BAD" w:rsidRPr="007F09C3" w:rsidRDefault="0013791B" w:rsidP="007F09C3">
      <w:pPr>
        <w:widowControl w:val="0"/>
        <w:numPr>
          <w:ilvl w:val="1"/>
          <w:numId w:val="3"/>
        </w:numPr>
        <w:jc w:val="both"/>
        <w:rPr>
          <w:rFonts w:ascii="Arial Narrow" w:hAnsi="Arial Narrow" w:cs="Arial"/>
          <w:sz w:val="24"/>
          <w:szCs w:val="24"/>
        </w:rPr>
      </w:pPr>
      <w:r w:rsidRPr="007F09C3">
        <w:rPr>
          <w:rFonts w:ascii="Arial Narrow" w:hAnsi="Arial Narrow" w:cs="Arial"/>
          <w:sz w:val="24"/>
          <w:szCs w:val="24"/>
        </w:rPr>
        <w:lastRenderedPageBreak/>
        <w:t xml:space="preserve">Recuperación:  la entidad cuenta con políticas de cobranza administrativa, </w:t>
      </w:r>
      <w:proofErr w:type="spellStart"/>
      <w:r w:rsidRPr="007F09C3">
        <w:rPr>
          <w:rFonts w:ascii="Arial Narrow" w:hAnsi="Arial Narrow" w:cs="Arial"/>
          <w:sz w:val="24"/>
          <w:szCs w:val="24"/>
        </w:rPr>
        <w:t>prejurídica</w:t>
      </w:r>
      <w:proofErr w:type="spellEnd"/>
      <w:r w:rsidRPr="007F09C3">
        <w:rPr>
          <w:rFonts w:ascii="Arial Narrow" w:hAnsi="Arial Narrow" w:cs="Arial"/>
          <w:sz w:val="24"/>
          <w:szCs w:val="24"/>
        </w:rPr>
        <w:t xml:space="preserve"> y jurídica y cumple con las normas relativas a reestructuraciones, novaciones y otras modificaciones que no constituyen novación</w:t>
      </w:r>
      <w:r w:rsidR="00982A1F" w:rsidRPr="007F09C3">
        <w:rPr>
          <w:rFonts w:ascii="Arial Narrow" w:hAnsi="Arial Narrow" w:cs="Arial"/>
          <w:sz w:val="24"/>
          <w:szCs w:val="24"/>
        </w:rPr>
        <w:t xml:space="preserve"> y efectúa los reportes a las centrales de riesgo dando cumplimiento integral a la normatividad vigente en materia de Habeas Data.  Trimestralmente se presenta el informe de recuperación de cartera en mora y de gestión de cartera jurídica.</w:t>
      </w:r>
      <w:r w:rsidR="00CF0BAD" w:rsidRPr="007F09C3">
        <w:rPr>
          <w:rFonts w:ascii="Arial Narrow" w:hAnsi="Arial Narrow" w:cs="Arial"/>
          <w:sz w:val="24"/>
          <w:szCs w:val="24"/>
        </w:rPr>
        <w:t xml:space="preserve"> </w:t>
      </w:r>
    </w:p>
    <w:p w14:paraId="54264876" w14:textId="77777777" w:rsidR="00A14E64" w:rsidRPr="007F09C3" w:rsidRDefault="00A14E64" w:rsidP="007F09C3">
      <w:pPr>
        <w:pStyle w:val="Prrafodelista"/>
        <w:rPr>
          <w:rFonts w:ascii="Arial Narrow" w:hAnsi="Arial Narrow" w:cs="Arial"/>
          <w:sz w:val="24"/>
          <w:szCs w:val="24"/>
          <w:lang w:val="es-CO"/>
        </w:rPr>
      </w:pPr>
    </w:p>
    <w:p w14:paraId="5BB6B6ED" w14:textId="26609893" w:rsidR="00A14E64" w:rsidRPr="007F09C3" w:rsidRDefault="00A14E64" w:rsidP="007F09C3">
      <w:pPr>
        <w:widowControl w:val="0"/>
        <w:numPr>
          <w:ilvl w:val="0"/>
          <w:numId w:val="3"/>
        </w:numPr>
        <w:tabs>
          <w:tab w:val="clear" w:pos="720"/>
        </w:tabs>
        <w:ind w:left="284" w:hanging="284"/>
        <w:jc w:val="both"/>
        <w:rPr>
          <w:rFonts w:ascii="Arial Narrow" w:hAnsi="Arial Narrow" w:cs="Arial"/>
          <w:sz w:val="24"/>
          <w:szCs w:val="24"/>
        </w:rPr>
      </w:pPr>
      <w:r w:rsidRPr="007F09C3">
        <w:rPr>
          <w:rFonts w:ascii="Arial Narrow" w:hAnsi="Arial Narrow" w:cs="Arial"/>
          <w:b/>
          <w:sz w:val="24"/>
          <w:szCs w:val="24"/>
        </w:rPr>
        <w:t xml:space="preserve">Riesgo de Liquidez: </w:t>
      </w:r>
      <w:r w:rsidRPr="007F09C3">
        <w:rPr>
          <w:rFonts w:ascii="Arial Narrow" w:hAnsi="Arial Narrow" w:cs="Arial"/>
          <w:sz w:val="24"/>
          <w:szCs w:val="24"/>
        </w:rPr>
        <w:t xml:space="preserve">El Riesgo de Liquidez se define como la contingencia de que la entidad incurra en pérdidas por la venta de activos a descuentos inusuales, con el fin de disponer rápidamente de los recursos necesarios para cumplir con sus obligaciones contractuales. </w:t>
      </w:r>
      <w:r w:rsidR="00C43F79" w:rsidRPr="007F09C3">
        <w:rPr>
          <w:rFonts w:ascii="Arial Narrow" w:hAnsi="Arial Narrow" w:cs="Arial"/>
          <w:sz w:val="24"/>
          <w:szCs w:val="24"/>
        </w:rPr>
        <w:t>COOPEJEMPLO</w:t>
      </w:r>
      <w:r w:rsidRPr="007F09C3">
        <w:rPr>
          <w:rFonts w:ascii="Arial Narrow" w:hAnsi="Arial Narrow" w:cs="Arial"/>
          <w:sz w:val="24"/>
          <w:szCs w:val="24"/>
        </w:rPr>
        <w:t xml:space="preserve"> evalúa este riesgo de acuerdo con la normatividad establecida por la Superintendencia de la Economía solidaria en el capítulo III del Título IV de la Circular Básica Contable.  La brecha de liquidez siempre arroja resultado positivo por lo que la entidad nunca ha tenido valor en riesgo de liquidez</w:t>
      </w:r>
      <w:r w:rsidR="00AD11EC" w:rsidRPr="007F09C3">
        <w:rPr>
          <w:rFonts w:ascii="Arial Narrow" w:hAnsi="Arial Narrow" w:cs="Arial"/>
          <w:sz w:val="24"/>
          <w:szCs w:val="24"/>
        </w:rPr>
        <w:t xml:space="preserve">, su Indicador de Riesgo de Liquidez IRL arroja un resultado superior </w:t>
      </w:r>
      <w:r w:rsidR="006B3971" w:rsidRPr="007F09C3">
        <w:rPr>
          <w:rFonts w:ascii="Arial Narrow" w:hAnsi="Arial Narrow" w:cs="Arial"/>
          <w:sz w:val="24"/>
          <w:szCs w:val="24"/>
        </w:rPr>
        <w:t>a 100 en las primeras dos bandas</w:t>
      </w:r>
      <w:r w:rsidRPr="007F09C3">
        <w:rPr>
          <w:rFonts w:ascii="Arial Narrow" w:hAnsi="Arial Narrow" w:cs="Arial"/>
          <w:sz w:val="24"/>
          <w:szCs w:val="24"/>
        </w:rPr>
        <w:t xml:space="preserve"> y su fondo de liquidez se ha mantenido permanentemente en todos los meses cumpliendo con el porcentaje mínimo legal que le corresponde y se encuentra debidamente constituido en instrumentos financieros como efectivo y equivalentes del efectivo e inversiones de deuda alta seguridad, mínima volatilidad y alta liquidez en instituciones vigiladas por la Superfinanciera.</w:t>
      </w:r>
    </w:p>
    <w:p w14:paraId="0B9476B2" w14:textId="77777777" w:rsidR="00A14E64" w:rsidRPr="007F09C3" w:rsidRDefault="00A14E64" w:rsidP="007F09C3">
      <w:pPr>
        <w:widowControl w:val="0"/>
        <w:ind w:left="284"/>
        <w:jc w:val="both"/>
        <w:rPr>
          <w:rFonts w:ascii="Arial Narrow" w:hAnsi="Arial Narrow" w:cs="Arial"/>
          <w:sz w:val="24"/>
          <w:szCs w:val="24"/>
        </w:rPr>
      </w:pPr>
    </w:p>
    <w:p w14:paraId="599A40E9" w14:textId="6CE3F463" w:rsidR="00A14E64" w:rsidRPr="007F09C3" w:rsidRDefault="00A14E64" w:rsidP="007F09C3">
      <w:pPr>
        <w:widowControl w:val="0"/>
        <w:numPr>
          <w:ilvl w:val="0"/>
          <w:numId w:val="3"/>
        </w:numPr>
        <w:tabs>
          <w:tab w:val="clear" w:pos="720"/>
        </w:tabs>
        <w:ind w:left="284" w:hanging="284"/>
        <w:jc w:val="both"/>
        <w:rPr>
          <w:rFonts w:ascii="Arial Narrow" w:hAnsi="Arial Narrow" w:cs="Arial"/>
          <w:sz w:val="24"/>
          <w:szCs w:val="24"/>
        </w:rPr>
      </w:pPr>
      <w:r w:rsidRPr="007F09C3">
        <w:rPr>
          <w:rFonts w:ascii="Arial Narrow" w:hAnsi="Arial Narrow" w:cs="Arial"/>
          <w:b/>
          <w:sz w:val="24"/>
          <w:szCs w:val="24"/>
        </w:rPr>
        <w:t xml:space="preserve">Riesgo Operativo y Legal: </w:t>
      </w:r>
      <w:r w:rsidRPr="007F09C3">
        <w:rPr>
          <w:rFonts w:ascii="Arial Narrow" w:hAnsi="Arial Narrow" w:cs="Arial"/>
          <w:sz w:val="24"/>
          <w:szCs w:val="24"/>
        </w:rPr>
        <w:t>Se refiere a las pérdidas resultantes de sistemas</w:t>
      </w:r>
      <w:r w:rsidR="00485B86" w:rsidRPr="007F09C3">
        <w:rPr>
          <w:rFonts w:ascii="Arial Narrow" w:hAnsi="Arial Narrow" w:cs="Arial"/>
          <w:sz w:val="24"/>
          <w:szCs w:val="24"/>
        </w:rPr>
        <w:t xml:space="preserve"> tecnológicos</w:t>
      </w:r>
      <w:r w:rsidRPr="007F09C3">
        <w:rPr>
          <w:rFonts w:ascii="Arial Narrow" w:hAnsi="Arial Narrow" w:cs="Arial"/>
          <w:sz w:val="24"/>
          <w:szCs w:val="24"/>
        </w:rPr>
        <w:t xml:space="preserve"> inadecuados, fallas administrativas, controles defectuosos, fraude o error humano</w:t>
      </w:r>
      <w:r w:rsidR="00485B86" w:rsidRPr="007F09C3">
        <w:rPr>
          <w:rFonts w:ascii="Arial Narrow" w:hAnsi="Arial Narrow" w:cs="Arial"/>
          <w:sz w:val="24"/>
          <w:szCs w:val="24"/>
        </w:rPr>
        <w:t xml:space="preserve"> interno y externo</w:t>
      </w:r>
      <w:r w:rsidRPr="007F09C3">
        <w:rPr>
          <w:rFonts w:ascii="Arial Narrow" w:hAnsi="Arial Narrow" w:cs="Arial"/>
          <w:sz w:val="24"/>
          <w:szCs w:val="24"/>
        </w:rPr>
        <w:t>, incumplimiento de disposiciones legales y administrativas</w:t>
      </w:r>
      <w:r w:rsidR="00485B86" w:rsidRPr="007F09C3">
        <w:rPr>
          <w:rFonts w:ascii="Arial Narrow" w:hAnsi="Arial Narrow" w:cs="Arial"/>
          <w:sz w:val="24"/>
          <w:szCs w:val="24"/>
        </w:rPr>
        <w:t xml:space="preserve"> o ausencia de personal clave, así como eventos externos de fuerza mayor como desastres naturales, pandemias, accidentes, terrorismo y asonadas</w:t>
      </w:r>
      <w:r w:rsidRPr="007F09C3">
        <w:rPr>
          <w:rFonts w:ascii="Arial Narrow" w:hAnsi="Arial Narrow" w:cs="Arial"/>
          <w:sz w:val="24"/>
          <w:szCs w:val="24"/>
        </w:rPr>
        <w:t xml:space="preserve">. </w:t>
      </w:r>
      <w:r w:rsidR="00C43F79" w:rsidRPr="007F09C3">
        <w:rPr>
          <w:rFonts w:ascii="Arial Narrow" w:hAnsi="Arial Narrow" w:cs="Arial"/>
          <w:sz w:val="24"/>
          <w:szCs w:val="24"/>
        </w:rPr>
        <w:t>COOPEJEMPLO</w:t>
      </w:r>
      <w:r w:rsidRPr="007F09C3">
        <w:rPr>
          <w:rFonts w:ascii="Arial Narrow" w:hAnsi="Arial Narrow" w:cs="Arial"/>
          <w:sz w:val="24"/>
          <w:szCs w:val="24"/>
        </w:rPr>
        <w:t xml:space="preserve">, cuenta actualmente con un software integrado y en línea que permite mantener actualizada la información y generar los reportes exigidos por la Superintendencia de la Economía Solidaria. Igualmente, </w:t>
      </w:r>
      <w:r w:rsidR="00C43F79" w:rsidRPr="007F09C3">
        <w:rPr>
          <w:rFonts w:ascii="Arial Narrow" w:hAnsi="Arial Narrow" w:cs="Arial"/>
          <w:sz w:val="24"/>
          <w:szCs w:val="24"/>
        </w:rPr>
        <w:t>COOPEJEMPLO</w:t>
      </w:r>
      <w:r w:rsidRPr="007F09C3">
        <w:rPr>
          <w:rFonts w:ascii="Arial Narrow" w:hAnsi="Arial Narrow" w:cs="Arial"/>
          <w:sz w:val="24"/>
          <w:szCs w:val="24"/>
        </w:rPr>
        <w:t xml:space="preserve">, cuenta con manuales de procedimientos y funciones los cuales son conocidos por sus funcionarios. </w:t>
      </w:r>
      <w:r w:rsidR="00E0784D" w:rsidRPr="007F09C3">
        <w:rPr>
          <w:rFonts w:ascii="Arial Narrow" w:hAnsi="Arial Narrow" w:cs="Arial"/>
          <w:sz w:val="24"/>
          <w:szCs w:val="24"/>
        </w:rPr>
        <w:t xml:space="preserve">Se cuenta con la matriz de evaluación del riesgo operativo conforme al Anexo </w:t>
      </w:r>
      <w:r w:rsidR="006D0CAA" w:rsidRPr="007F09C3">
        <w:rPr>
          <w:rFonts w:ascii="Arial Narrow" w:hAnsi="Arial Narrow" w:cs="Arial"/>
          <w:sz w:val="24"/>
          <w:szCs w:val="24"/>
        </w:rPr>
        <w:t xml:space="preserve">1 del capítulo IV del Título IV de la Circular Básica Contable. </w:t>
      </w:r>
      <w:r w:rsidRPr="007F09C3">
        <w:rPr>
          <w:rFonts w:ascii="Arial Narrow" w:hAnsi="Arial Narrow" w:cs="Arial"/>
          <w:sz w:val="24"/>
          <w:szCs w:val="24"/>
        </w:rPr>
        <w:t>Hasta el momento no se han presentado eventos de riesgo operativo como fraudes, errores, fallas en los sistemas informáticos, ataques externos, sanciones o similares que pudieran interrumpir la operación o generar pérdidas para la entidad.</w:t>
      </w:r>
      <w:r w:rsidR="006D0CAA" w:rsidRPr="007F09C3">
        <w:rPr>
          <w:rFonts w:ascii="Arial Narrow" w:hAnsi="Arial Narrow" w:cs="Arial"/>
          <w:sz w:val="24"/>
          <w:szCs w:val="24"/>
        </w:rPr>
        <w:t xml:space="preserve">  La entidad cuenta con manual de Buen gobierno y adoptado las disposiciones del decreto 962 de 2018 incorporados en la Circular Básica Jurídica en el Titulo IV </w:t>
      </w:r>
      <w:r w:rsidR="0076025D" w:rsidRPr="007F09C3">
        <w:rPr>
          <w:rFonts w:ascii="Arial Narrow" w:hAnsi="Arial Narrow" w:cs="Arial"/>
          <w:sz w:val="24"/>
          <w:szCs w:val="24"/>
        </w:rPr>
        <w:t>capítulos del 7 al 10.</w:t>
      </w:r>
      <w:r w:rsidR="002B1797" w:rsidRPr="007F09C3">
        <w:rPr>
          <w:rFonts w:ascii="Arial Narrow" w:hAnsi="Arial Narrow" w:cs="Arial"/>
          <w:sz w:val="24"/>
          <w:szCs w:val="24"/>
        </w:rPr>
        <w:t xml:space="preserve">  La revisoría fiscal presenta informes mensuales escritos sobre sus hallazgos y recomendaciones las cuales son analizadas en el comité de riesgos junto con</w:t>
      </w:r>
      <w:r w:rsidR="002B6DB7" w:rsidRPr="007F09C3">
        <w:rPr>
          <w:rFonts w:ascii="Arial Narrow" w:hAnsi="Arial Narrow" w:cs="Arial"/>
          <w:sz w:val="24"/>
          <w:szCs w:val="24"/>
        </w:rPr>
        <w:t xml:space="preserve"> los requerimientos que llegan de cualquier autoridad estatal y cumple con todo su marco regulatorio en materia de registro en cámara de comercio,</w:t>
      </w:r>
      <w:r w:rsidR="00A81998" w:rsidRPr="007F09C3">
        <w:rPr>
          <w:rFonts w:ascii="Arial Narrow" w:hAnsi="Arial Narrow" w:cs="Arial"/>
          <w:sz w:val="24"/>
          <w:szCs w:val="24"/>
        </w:rPr>
        <w:t xml:space="preserve"> reportes a la Supersolidaria y Fogacoop,</w:t>
      </w:r>
      <w:r w:rsidR="002B6DB7" w:rsidRPr="007F09C3">
        <w:rPr>
          <w:rFonts w:ascii="Arial Narrow" w:hAnsi="Arial Narrow" w:cs="Arial"/>
          <w:sz w:val="24"/>
          <w:szCs w:val="24"/>
        </w:rPr>
        <w:t xml:space="preserve"> declaraciones tributarias</w:t>
      </w:r>
      <w:r w:rsidR="002523B5" w:rsidRPr="007F09C3">
        <w:rPr>
          <w:rFonts w:ascii="Arial Narrow" w:hAnsi="Arial Narrow" w:cs="Arial"/>
          <w:sz w:val="24"/>
          <w:szCs w:val="24"/>
        </w:rPr>
        <w:t xml:space="preserve"> y pagos de la seguridad social</w:t>
      </w:r>
      <w:r w:rsidR="002B6DB7" w:rsidRPr="007F09C3">
        <w:rPr>
          <w:rFonts w:ascii="Arial Narrow" w:hAnsi="Arial Narrow" w:cs="Arial"/>
          <w:sz w:val="24"/>
          <w:szCs w:val="24"/>
        </w:rPr>
        <w:t>, reporte de información exógena, pago de la seguridad social, registro nacional de bases de datos, reporte y consulta a las centrales de riesgo, habeas data</w:t>
      </w:r>
      <w:r w:rsidR="002523B5" w:rsidRPr="007F09C3">
        <w:rPr>
          <w:rFonts w:ascii="Arial Narrow" w:hAnsi="Arial Narrow" w:cs="Arial"/>
          <w:sz w:val="24"/>
          <w:szCs w:val="24"/>
        </w:rPr>
        <w:t>, protección a la propiedad intelectual</w:t>
      </w:r>
      <w:r w:rsidR="00A81998" w:rsidRPr="007F09C3">
        <w:rPr>
          <w:rFonts w:ascii="Arial Narrow" w:hAnsi="Arial Narrow" w:cs="Arial"/>
          <w:sz w:val="24"/>
          <w:szCs w:val="24"/>
        </w:rPr>
        <w:t xml:space="preserve"> y sistema general se seguridad en el trabajo.</w:t>
      </w:r>
    </w:p>
    <w:p w14:paraId="10D93919" w14:textId="77777777" w:rsidR="00A14E64" w:rsidRPr="007F09C3" w:rsidRDefault="00A14E64" w:rsidP="007F09C3">
      <w:pPr>
        <w:widowControl w:val="0"/>
        <w:jc w:val="both"/>
        <w:rPr>
          <w:rFonts w:ascii="Arial Narrow" w:hAnsi="Arial Narrow" w:cs="Arial"/>
          <w:sz w:val="24"/>
          <w:szCs w:val="24"/>
        </w:rPr>
      </w:pPr>
    </w:p>
    <w:p w14:paraId="787029CD" w14:textId="77777777" w:rsidR="00A14E64" w:rsidRPr="007F09C3" w:rsidRDefault="00A14E64" w:rsidP="007F09C3">
      <w:pPr>
        <w:pStyle w:val="Prrafodelista"/>
        <w:numPr>
          <w:ilvl w:val="1"/>
          <w:numId w:val="1"/>
        </w:numPr>
        <w:shd w:val="clear" w:color="auto" w:fill="385623" w:themeFill="accent6" w:themeFillShade="80"/>
        <w:ind w:right="48"/>
        <w:contextualSpacing/>
        <w:rPr>
          <w:rFonts w:ascii="Arial Narrow" w:hAnsi="Arial Narrow" w:cs="Calibri"/>
          <w:b/>
          <w:color w:val="FFFFFF" w:themeColor="background1"/>
          <w:sz w:val="24"/>
          <w:szCs w:val="24"/>
          <w:lang w:val="es-CO"/>
        </w:rPr>
      </w:pPr>
      <w:r w:rsidRPr="007F09C3">
        <w:rPr>
          <w:rFonts w:ascii="Arial Narrow" w:hAnsi="Arial Narrow" w:cs="Calibri"/>
          <w:b/>
          <w:color w:val="FFFFFF" w:themeColor="background1"/>
          <w:sz w:val="24"/>
          <w:szCs w:val="24"/>
          <w:lang w:val="es-CO"/>
        </w:rPr>
        <w:t>GOBIERNO CORPORATIVO</w:t>
      </w:r>
    </w:p>
    <w:p w14:paraId="0200A6BF" w14:textId="77777777" w:rsidR="00A14E64" w:rsidRPr="007F09C3" w:rsidRDefault="00A14E64" w:rsidP="007F09C3">
      <w:pPr>
        <w:widowControl w:val="0"/>
        <w:ind w:left="426" w:hanging="426"/>
        <w:jc w:val="both"/>
        <w:rPr>
          <w:rFonts w:ascii="Arial Narrow" w:hAnsi="Arial Narrow" w:cs="Arial"/>
          <w:kern w:val="18"/>
          <w:sz w:val="24"/>
          <w:szCs w:val="24"/>
          <w:lang w:eastAsia="es-CO"/>
        </w:rPr>
      </w:pPr>
    </w:p>
    <w:p w14:paraId="6E0997DE" w14:textId="1C511439" w:rsidR="00A14E64" w:rsidRPr="007F09C3" w:rsidRDefault="00A81998" w:rsidP="007F09C3">
      <w:pPr>
        <w:widowControl w:val="0"/>
        <w:numPr>
          <w:ilvl w:val="0"/>
          <w:numId w:val="4"/>
        </w:numPr>
        <w:tabs>
          <w:tab w:val="clear" w:pos="720"/>
          <w:tab w:val="num" w:pos="426"/>
        </w:tabs>
        <w:ind w:left="426" w:hanging="284"/>
        <w:jc w:val="both"/>
        <w:rPr>
          <w:rFonts w:ascii="Arial Narrow" w:hAnsi="Arial Narrow" w:cs="Arial"/>
          <w:sz w:val="24"/>
          <w:szCs w:val="24"/>
        </w:rPr>
      </w:pPr>
      <w:r w:rsidRPr="007F09C3">
        <w:rPr>
          <w:rFonts w:ascii="Arial Narrow" w:hAnsi="Arial Narrow" w:cs="Arial"/>
          <w:b/>
          <w:sz w:val="24"/>
          <w:szCs w:val="24"/>
        </w:rPr>
        <w:t>Consejo de Administración</w:t>
      </w:r>
      <w:r w:rsidR="00A14E64" w:rsidRPr="007F09C3">
        <w:rPr>
          <w:rFonts w:ascii="Arial Narrow" w:hAnsi="Arial Narrow" w:cs="Arial"/>
          <w:b/>
          <w:sz w:val="24"/>
          <w:szCs w:val="24"/>
        </w:rPr>
        <w:t xml:space="preserve"> y Representante Legal: </w:t>
      </w:r>
      <w:r w:rsidRPr="007F09C3">
        <w:rPr>
          <w:rFonts w:ascii="Arial Narrow" w:hAnsi="Arial Narrow" w:cs="Arial"/>
          <w:sz w:val="24"/>
          <w:szCs w:val="24"/>
        </w:rPr>
        <w:t>El Consejo de administración</w:t>
      </w:r>
      <w:r w:rsidR="00A14E64" w:rsidRPr="007F09C3">
        <w:rPr>
          <w:rFonts w:ascii="Arial Narrow" w:hAnsi="Arial Narrow" w:cs="Arial"/>
          <w:sz w:val="24"/>
          <w:szCs w:val="24"/>
        </w:rPr>
        <w:t xml:space="preserve"> y el representante legal de </w:t>
      </w:r>
      <w:r w:rsidR="00C43F79" w:rsidRPr="007F09C3">
        <w:rPr>
          <w:rFonts w:ascii="Arial Narrow" w:hAnsi="Arial Narrow" w:cs="Arial"/>
          <w:sz w:val="24"/>
          <w:szCs w:val="24"/>
        </w:rPr>
        <w:t>COOPEJEMPLO</w:t>
      </w:r>
      <w:r w:rsidR="00A14E64" w:rsidRPr="007F09C3">
        <w:rPr>
          <w:rFonts w:ascii="Arial Narrow" w:hAnsi="Arial Narrow" w:cs="Arial"/>
          <w:sz w:val="24"/>
          <w:szCs w:val="24"/>
        </w:rPr>
        <w:t xml:space="preserve">, están plenamente informados sobre las responsabilidades que implica el manejo de los diferentes riesgos y están enterados de los procesos y de la estructura del negocio. </w:t>
      </w:r>
      <w:r w:rsidR="006558A1" w:rsidRPr="007F09C3">
        <w:rPr>
          <w:rFonts w:ascii="Arial Narrow" w:hAnsi="Arial Narrow" w:cs="Arial"/>
          <w:sz w:val="24"/>
          <w:szCs w:val="24"/>
        </w:rPr>
        <w:t>El Consejo de Administración</w:t>
      </w:r>
      <w:r w:rsidR="00A14E64" w:rsidRPr="007F09C3">
        <w:rPr>
          <w:rFonts w:ascii="Arial Narrow" w:hAnsi="Arial Narrow" w:cs="Arial"/>
          <w:sz w:val="24"/>
          <w:szCs w:val="24"/>
        </w:rPr>
        <w:t xml:space="preserve"> y el representante legal, determinan las políticas y el perfil de riesgos de </w:t>
      </w:r>
      <w:r w:rsidR="00C43F79" w:rsidRPr="007F09C3">
        <w:rPr>
          <w:rFonts w:ascii="Arial Narrow" w:hAnsi="Arial Narrow" w:cs="Arial"/>
          <w:sz w:val="24"/>
          <w:szCs w:val="24"/>
        </w:rPr>
        <w:t>COOPEJEMPLO</w:t>
      </w:r>
      <w:r w:rsidR="00A14E64" w:rsidRPr="007F09C3">
        <w:rPr>
          <w:rFonts w:ascii="Arial Narrow" w:hAnsi="Arial Narrow" w:cs="Arial"/>
          <w:sz w:val="24"/>
          <w:szCs w:val="24"/>
        </w:rPr>
        <w:t>, siguiendo los límites establecidos en los diferentes reglamentos</w:t>
      </w:r>
      <w:r w:rsidRPr="007F09C3">
        <w:rPr>
          <w:rFonts w:ascii="Arial Narrow" w:hAnsi="Arial Narrow" w:cs="Arial"/>
          <w:sz w:val="24"/>
          <w:szCs w:val="24"/>
        </w:rPr>
        <w:t xml:space="preserve"> y manuales que </w:t>
      </w:r>
      <w:r w:rsidR="006558A1" w:rsidRPr="007F09C3">
        <w:rPr>
          <w:rFonts w:ascii="Arial Narrow" w:hAnsi="Arial Narrow" w:cs="Arial"/>
          <w:sz w:val="24"/>
          <w:szCs w:val="24"/>
        </w:rPr>
        <w:t>se encuentran documentados y aprobados en las respectivas actas y los procesos y funciones de los empleados se adecúan a los mismos</w:t>
      </w:r>
      <w:r w:rsidR="00A14E64" w:rsidRPr="007F09C3">
        <w:rPr>
          <w:rFonts w:ascii="Arial Narrow" w:hAnsi="Arial Narrow" w:cs="Arial"/>
          <w:sz w:val="24"/>
          <w:szCs w:val="24"/>
        </w:rPr>
        <w:t>.</w:t>
      </w:r>
    </w:p>
    <w:p w14:paraId="01141F7C" w14:textId="77777777" w:rsidR="00A14E64" w:rsidRPr="007F09C3" w:rsidRDefault="00A14E64" w:rsidP="007F09C3">
      <w:pPr>
        <w:widowControl w:val="0"/>
        <w:ind w:left="426"/>
        <w:jc w:val="both"/>
        <w:rPr>
          <w:rFonts w:ascii="Arial Narrow" w:hAnsi="Arial Narrow" w:cs="Arial"/>
          <w:sz w:val="24"/>
          <w:szCs w:val="24"/>
        </w:rPr>
      </w:pPr>
    </w:p>
    <w:p w14:paraId="7C087797" w14:textId="23A57279" w:rsidR="00A14E64" w:rsidRPr="007F09C3" w:rsidRDefault="00A14E64" w:rsidP="007F09C3">
      <w:pPr>
        <w:widowControl w:val="0"/>
        <w:numPr>
          <w:ilvl w:val="0"/>
          <w:numId w:val="4"/>
        </w:numPr>
        <w:tabs>
          <w:tab w:val="clear" w:pos="720"/>
          <w:tab w:val="num" w:pos="426"/>
        </w:tabs>
        <w:ind w:left="426" w:hanging="284"/>
        <w:jc w:val="both"/>
        <w:rPr>
          <w:rFonts w:ascii="Arial Narrow" w:hAnsi="Arial Narrow" w:cs="Arial"/>
          <w:sz w:val="24"/>
          <w:szCs w:val="24"/>
        </w:rPr>
      </w:pPr>
      <w:r w:rsidRPr="007F09C3">
        <w:rPr>
          <w:rFonts w:ascii="Arial Narrow" w:hAnsi="Arial Narrow" w:cs="Arial"/>
          <w:b/>
          <w:sz w:val="24"/>
          <w:szCs w:val="24"/>
        </w:rPr>
        <w:t xml:space="preserve">Políticas y división de funciones: </w:t>
      </w:r>
      <w:r w:rsidR="00C43F79" w:rsidRPr="007F09C3">
        <w:rPr>
          <w:rFonts w:ascii="Arial Narrow" w:hAnsi="Arial Narrow" w:cs="Arial"/>
          <w:sz w:val="24"/>
          <w:szCs w:val="24"/>
        </w:rPr>
        <w:t>COOPEJEMPLO</w:t>
      </w:r>
      <w:r w:rsidRPr="007F09C3">
        <w:rPr>
          <w:rFonts w:ascii="Arial Narrow" w:hAnsi="Arial Narrow" w:cs="Arial"/>
          <w:sz w:val="24"/>
          <w:szCs w:val="24"/>
        </w:rPr>
        <w:t xml:space="preserve">, cuenta con diferentes comités creados por </w:t>
      </w:r>
      <w:r w:rsidR="006558A1" w:rsidRPr="007F09C3">
        <w:rPr>
          <w:rFonts w:ascii="Arial Narrow" w:hAnsi="Arial Narrow" w:cs="Arial"/>
          <w:sz w:val="24"/>
          <w:szCs w:val="24"/>
        </w:rPr>
        <w:t xml:space="preserve">Consejo </w:t>
      </w:r>
      <w:r w:rsidR="006558A1" w:rsidRPr="007F09C3">
        <w:rPr>
          <w:rFonts w:ascii="Arial Narrow" w:hAnsi="Arial Narrow" w:cs="Arial"/>
          <w:sz w:val="24"/>
          <w:szCs w:val="24"/>
        </w:rPr>
        <w:lastRenderedPageBreak/>
        <w:t>de Administración</w:t>
      </w:r>
      <w:r w:rsidRPr="007F09C3">
        <w:rPr>
          <w:rFonts w:ascii="Arial Narrow" w:hAnsi="Arial Narrow" w:cs="Arial"/>
          <w:sz w:val="24"/>
          <w:szCs w:val="24"/>
        </w:rPr>
        <w:t xml:space="preserve">, como son el Comité de </w:t>
      </w:r>
      <w:r w:rsidR="006558A1" w:rsidRPr="007F09C3">
        <w:rPr>
          <w:rFonts w:ascii="Arial Narrow" w:hAnsi="Arial Narrow" w:cs="Arial"/>
          <w:sz w:val="24"/>
          <w:szCs w:val="24"/>
        </w:rPr>
        <w:t>Riesgos</w:t>
      </w:r>
      <w:r w:rsidRPr="007F09C3">
        <w:rPr>
          <w:rFonts w:ascii="Arial Narrow" w:hAnsi="Arial Narrow" w:cs="Arial"/>
          <w:sz w:val="24"/>
          <w:szCs w:val="24"/>
        </w:rPr>
        <w:t xml:space="preserve"> y Comité Riesgo de liquidez</w:t>
      </w:r>
      <w:r w:rsidR="006558A1" w:rsidRPr="007F09C3">
        <w:rPr>
          <w:rFonts w:ascii="Arial Narrow" w:hAnsi="Arial Narrow" w:cs="Arial"/>
          <w:sz w:val="24"/>
          <w:szCs w:val="24"/>
        </w:rPr>
        <w:t xml:space="preserve"> que se reúnen mensualmente</w:t>
      </w:r>
      <w:r w:rsidRPr="007F09C3">
        <w:rPr>
          <w:rFonts w:ascii="Arial Narrow" w:hAnsi="Arial Narrow" w:cs="Arial"/>
          <w:sz w:val="24"/>
          <w:szCs w:val="24"/>
        </w:rPr>
        <w:t xml:space="preserve">. Los reglamentos que rigen estos comités son aprobados por </w:t>
      </w:r>
      <w:r w:rsidR="006558A1" w:rsidRPr="007F09C3">
        <w:rPr>
          <w:rFonts w:ascii="Arial Narrow" w:hAnsi="Arial Narrow" w:cs="Arial"/>
          <w:sz w:val="24"/>
          <w:szCs w:val="24"/>
        </w:rPr>
        <w:t>el Consejo de Administración</w:t>
      </w:r>
      <w:r w:rsidRPr="007F09C3">
        <w:rPr>
          <w:rFonts w:ascii="Arial Narrow" w:hAnsi="Arial Narrow" w:cs="Arial"/>
          <w:sz w:val="24"/>
          <w:szCs w:val="24"/>
        </w:rPr>
        <w:t xml:space="preserve"> y difundidos a todos los directivos; cuenta además con un grupo idóneo y dispuesto a dar apoyo para el logro de las metas y objetivos propuestos en cada uno de ellos.</w:t>
      </w:r>
      <w:r w:rsidR="006558A1" w:rsidRPr="007F09C3">
        <w:rPr>
          <w:rFonts w:ascii="Arial Narrow" w:hAnsi="Arial Narrow" w:cs="Arial"/>
          <w:sz w:val="24"/>
          <w:szCs w:val="24"/>
        </w:rPr>
        <w:t xml:space="preserve">  El organigrama de la entidad está acorde con el tamaño, complejidad y naturaleza de las operaciones de la entidad y hasta donde </w:t>
      </w:r>
      <w:r w:rsidR="00FE29EF" w:rsidRPr="007F09C3">
        <w:rPr>
          <w:rFonts w:ascii="Arial Narrow" w:hAnsi="Arial Narrow" w:cs="Arial"/>
          <w:sz w:val="24"/>
          <w:szCs w:val="24"/>
        </w:rPr>
        <w:t xml:space="preserve">ello lo permite las funciones de aprobación, registro y análisis de riesgos dependen de áreas funcionales diferentes o su responsabilidad </w:t>
      </w:r>
      <w:r w:rsidR="00A21137" w:rsidRPr="007F09C3">
        <w:rPr>
          <w:rFonts w:ascii="Arial Narrow" w:hAnsi="Arial Narrow" w:cs="Arial"/>
          <w:sz w:val="24"/>
          <w:szCs w:val="24"/>
        </w:rPr>
        <w:t>recae en empleados diferentes estableciendo claros límites en función de su nivel jerárquico.</w:t>
      </w:r>
      <w:r w:rsidR="00FC53F2" w:rsidRPr="007F09C3">
        <w:rPr>
          <w:rFonts w:ascii="Arial Narrow" w:hAnsi="Arial Narrow" w:cs="Arial"/>
          <w:sz w:val="24"/>
          <w:szCs w:val="24"/>
        </w:rPr>
        <w:t xml:space="preserve">  La entidad cuenta con su estatuto, manual de buen gobierno, manuales de riesgos, reglamentos de los servicios de ahorro y crédito, reglamentos de los fondos sociales y mutuales y los reglamentos de funcionamiento de los diferentes estamentos de administración y control social así como los respectivos manuales de funciones y procedimientos todos ellos actualizados a la normatividad vigente.</w:t>
      </w:r>
    </w:p>
    <w:p w14:paraId="6BE0C7C0" w14:textId="77777777" w:rsidR="00A14E64" w:rsidRPr="007F09C3" w:rsidRDefault="00A14E64" w:rsidP="007F09C3">
      <w:pPr>
        <w:widowControl w:val="0"/>
        <w:ind w:left="426"/>
        <w:jc w:val="both"/>
        <w:rPr>
          <w:rFonts w:ascii="Arial Narrow" w:hAnsi="Arial Narrow" w:cs="Arial"/>
          <w:sz w:val="24"/>
          <w:szCs w:val="24"/>
        </w:rPr>
      </w:pPr>
    </w:p>
    <w:p w14:paraId="295C0BB6" w14:textId="063979BB" w:rsidR="00A14E64" w:rsidRPr="007F09C3" w:rsidRDefault="00A14E64" w:rsidP="007F09C3">
      <w:pPr>
        <w:widowControl w:val="0"/>
        <w:numPr>
          <w:ilvl w:val="0"/>
          <w:numId w:val="4"/>
        </w:numPr>
        <w:tabs>
          <w:tab w:val="clear" w:pos="720"/>
          <w:tab w:val="num" w:pos="426"/>
        </w:tabs>
        <w:ind w:left="426" w:hanging="284"/>
        <w:jc w:val="both"/>
        <w:rPr>
          <w:rFonts w:ascii="Arial Narrow" w:hAnsi="Arial Narrow" w:cs="Arial"/>
          <w:sz w:val="24"/>
          <w:szCs w:val="24"/>
        </w:rPr>
      </w:pPr>
      <w:r w:rsidRPr="007F09C3">
        <w:rPr>
          <w:rFonts w:ascii="Arial Narrow" w:hAnsi="Arial Narrow" w:cs="Arial"/>
          <w:b/>
          <w:sz w:val="24"/>
          <w:szCs w:val="24"/>
        </w:rPr>
        <w:t xml:space="preserve">Reportes: </w:t>
      </w:r>
      <w:r w:rsidR="006558A1" w:rsidRPr="007F09C3">
        <w:rPr>
          <w:rFonts w:ascii="Arial Narrow" w:hAnsi="Arial Narrow" w:cs="Arial"/>
          <w:sz w:val="24"/>
          <w:szCs w:val="24"/>
        </w:rPr>
        <w:t>El Consejo de Administración</w:t>
      </w:r>
      <w:r w:rsidRPr="007F09C3">
        <w:rPr>
          <w:rFonts w:ascii="Arial Narrow" w:hAnsi="Arial Narrow" w:cs="Arial"/>
          <w:sz w:val="24"/>
          <w:szCs w:val="24"/>
        </w:rPr>
        <w:t xml:space="preserve"> y la Junta de </w:t>
      </w:r>
      <w:r w:rsidR="00F9725D" w:rsidRPr="007F09C3">
        <w:rPr>
          <w:rFonts w:ascii="Arial Narrow" w:hAnsi="Arial Narrow" w:cs="Arial"/>
          <w:sz w:val="24"/>
          <w:szCs w:val="24"/>
        </w:rPr>
        <w:t>Vigilancia</w:t>
      </w:r>
      <w:r w:rsidRPr="007F09C3">
        <w:rPr>
          <w:rFonts w:ascii="Arial Narrow" w:hAnsi="Arial Narrow" w:cs="Arial"/>
          <w:sz w:val="24"/>
          <w:szCs w:val="24"/>
        </w:rPr>
        <w:t xml:space="preserve">, reciben información mensual </w:t>
      </w:r>
      <w:r w:rsidR="00F9725D" w:rsidRPr="007F09C3">
        <w:rPr>
          <w:rFonts w:ascii="Arial Narrow" w:hAnsi="Arial Narrow" w:cs="Arial"/>
          <w:sz w:val="24"/>
          <w:szCs w:val="24"/>
        </w:rPr>
        <w:t>del Comité de Riesgos y del Comité de Riesgo de liquidez</w:t>
      </w:r>
      <w:r w:rsidRPr="007F09C3">
        <w:rPr>
          <w:rFonts w:ascii="Arial Narrow" w:hAnsi="Arial Narrow" w:cs="Arial"/>
          <w:sz w:val="24"/>
          <w:szCs w:val="24"/>
        </w:rPr>
        <w:t xml:space="preserve"> </w:t>
      </w:r>
      <w:r w:rsidR="00F9725D" w:rsidRPr="007F09C3">
        <w:rPr>
          <w:rFonts w:ascii="Arial Narrow" w:hAnsi="Arial Narrow" w:cs="Arial"/>
          <w:sz w:val="24"/>
          <w:szCs w:val="24"/>
        </w:rPr>
        <w:t>así como del</w:t>
      </w:r>
      <w:r w:rsidRPr="007F09C3">
        <w:rPr>
          <w:rFonts w:ascii="Arial Narrow" w:hAnsi="Arial Narrow" w:cs="Arial"/>
          <w:sz w:val="24"/>
          <w:szCs w:val="24"/>
        </w:rPr>
        <w:t xml:space="preserve"> representante legal, al mismo tiempo que conocen el desarrollo financiero de </w:t>
      </w:r>
      <w:r w:rsidR="00C43F79" w:rsidRPr="007F09C3">
        <w:rPr>
          <w:rFonts w:ascii="Arial Narrow" w:hAnsi="Arial Narrow" w:cs="Arial"/>
          <w:sz w:val="24"/>
          <w:szCs w:val="24"/>
        </w:rPr>
        <w:t>COOPEJEMPLO</w:t>
      </w:r>
      <w:r w:rsidRPr="007F09C3">
        <w:rPr>
          <w:rFonts w:ascii="Arial Narrow" w:hAnsi="Arial Narrow" w:cs="Arial"/>
          <w:sz w:val="24"/>
          <w:szCs w:val="24"/>
        </w:rPr>
        <w:t>. Cuentan también con los informes que brindan la Revisoría Fiscal en cada una de sus visitas</w:t>
      </w:r>
      <w:r w:rsidR="00F9725D" w:rsidRPr="007F09C3">
        <w:rPr>
          <w:rFonts w:ascii="Arial Narrow" w:hAnsi="Arial Narrow" w:cs="Arial"/>
          <w:sz w:val="24"/>
          <w:szCs w:val="24"/>
        </w:rPr>
        <w:t xml:space="preserve"> y el informe semestral sobre el SARLAFT</w:t>
      </w:r>
      <w:r w:rsidRPr="007F09C3">
        <w:rPr>
          <w:rFonts w:ascii="Arial Narrow" w:hAnsi="Arial Narrow" w:cs="Arial"/>
          <w:sz w:val="24"/>
          <w:szCs w:val="24"/>
        </w:rPr>
        <w:t>.</w:t>
      </w:r>
      <w:r w:rsidR="00F9725D" w:rsidRPr="007F09C3">
        <w:rPr>
          <w:rFonts w:ascii="Arial Narrow" w:hAnsi="Arial Narrow" w:cs="Arial"/>
          <w:sz w:val="24"/>
          <w:szCs w:val="24"/>
        </w:rPr>
        <w:t xml:space="preserve">  En cada reunión se revisan los estados financieros, el cumplimiento de las metas </w:t>
      </w:r>
      <w:r w:rsidR="002121DD" w:rsidRPr="007F09C3">
        <w:rPr>
          <w:rFonts w:ascii="Arial Narrow" w:hAnsi="Arial Narrow" w:cs="Arial"/>
          <w:sz w:val="24"/>
          <w:szCs w:val="24"/>
        </w:rPr>
        <w:t xml:space="preserve">presupuestales, el informe de los comités de riesgos, se debaten sus recomendaciones y aprueban las medidas que deben adoptarse.  La </w:t>
      </w:r>
      <w:r w:rsidR="00D00DDC" w:rsidRPr="007F09C3">
        <w:rPr>
          <w:rFonts w:ascii="Arial Narrow" w:hAnsi="Arial Narrow" w:cs="Arial"/>
          <w:sz w:val="24"/>
          <w:szCs w:val="24"/>
        </w:rPr>
        <w:t xml:space="preserve">Gerencia somete para aprobación del Consejo todos los reglamentos, manuales y políticas respecto a los servicios, los riesgos, los fondos sociales, el funcionamiento de los comités así como el presupuesto, el </w:t>
      </w:r>
      <w:proofErr w:type="spellStart"/>
      <w:r w:rsidR="00812D43" w:rsidRPr="007F09C3">
        <w:rPr>
          <w:rFonts w:ascii="Arial Narrow" w:hAnsi="Arial Narrow" w:cs="Arial"/>
          <w:sz w:val="24"/>
          <w:szCs w:val="24"/>
        </w:rPr>
        <w:t>P</w:t>
      </w:r>
      <w:r w:rsidR="00D00DDC" w:rsidRPr="007F09C3">
        <w:rPr>
          <w:rFonts w:ascii="Arial Narrow" w:hAnsi="Arial Narrow" w:cs="Arial"/>
          <w:sz w:val="24"/>
          <w:szCs w:val="24"/>
        </w:rPr>
        <w:t>esem</w:t>
      </w:r>
      <w:proofErr w:type="spellEnd"/>
      <w:r w:rsidR="00D00DDC" w:rsidRPr="007F09C3">
        <w:rPr>
          <w:rFonts w:ascii="Arial Narrow" w:hAnsi="Arial Narrow" w:cs="Arial"/>
          <w:sz w:val="24"/>
          <w:szCs w:val="24"/>
        </w:rPr>
        <w:t>, el plan estratégico</w:t>
      </w:r>
      <w:r w:rsidR="00812D43" w:rsidRPr="007F09C3">
        <w:rPr>
          <w:rFonts w:ascii="Arial Narrow" w:hAnsi="Arial Narrow" w:cs="Arial"/>
          <w:sz w:val="24"/>
          <w:szCs w:val="24"/>
        </w:rPr>
        <w:t>, el Balance Social</w:t>
      </w:r>
      <w:r w:rsidR="00D00DDC" w:rsidRPr="007F09C3">
        <w:rPr>
          <w:rFonts w:ascii="Arial Narrow" w:hAnsi="Arial Narrow" w:cs="Arial"/>
          <w:sz w:val="24"/>
          <w:szCs w:val="24"/>
        </w:rPr>
        <w:t xml:space="preserve"> y el plan de acción anual.</w:t>
      </w:r>
    </w:p>
    <w:p w14:paraId="4B39FB71" w14:textId="77777777" w:rsidR="00A14E64" w:rsidRPr="007F09C3" w:rsidRDefault="00A14E64" w:rsidP="007F09C3">
      <w:pPr>
        <w:widowControl w:val="0"/>
        <w:ind w:left="426"/>
        <w:jc w:val="both"/>
        <w:rPr>
          <w:rFonts w:ascii="Arial Narrow" w:hAnsi="Arial Narrow" w:cs="Arial"/>
          <w:sz w:val="24"/>
          <w:szCs w:val="24"/>
        </w:rPr>
      </w:pPr>
    </w:p>
    <w:p w14:paraId="0A6FEBFB" w14:textId="2EEBB503" w:rsidR="00A14E64" w:rsidRPr="007F09C3" w:rsidRDefault="00A14E64" w:rsidP="007F09C3">
      <w:pPr>
        <w:widowControl w:val="0"/>
        <w:numPr>
          <w:ilvl w:val="0"/>
          <w:numId w:val="4"/>
        </w:numPr>
        <w:tabs>
          <w:tab w:val="clear" w:pos="720"/>
          <w:tab w:val="num" w:pos="426"/>
        </w:tabs>
        <w:ind w:left="426" w:hanging="284"/>
        <w:jc w:val="both"/>
        <w:rPr>
          <w:rFonts w:ascii="Arial Narrow" w:hAnsi="Arial Narrow" w:cs="Arial"/>
          <w:sz w:val="24"/>
          <w:szCs w:val="24"/>
        </w:rPr>
      </w:pPr>
      <w:r w:rsidRPr="007F09C3">
        <w:rPr>
          <w:rFonts w:ascii="Arial Narrow" w:hAnsi="Arial Narrow" w:cs="Arial"/>
          <w:b/>
          <w:sz w:val="24"/>
          <w:szCs w:val="24"/>
        </w:rPr>
        <w:t xml:space="preserve">Infraestructura tecnológica: </w:t>
      </w:r>
      <w:r w:rsidR="00C43F79" w:rsidRPr="007F09C3">
        <w:rPr>
          <w:rFonts w:ascii="Arial Narrow" w:hAnsi="Arial Narrow" w:cs="Arial"/>
          <w:sz w:val="24"/>
          <w:szCs w:val="24"/>
        </w:rPr>
        <w:t>COOPEJEMPLO</w:t>
      </w:r>
      <w:r w:rsidRPr="007F09C3">
        <w:rPr>
          <w:rFonts w:ascii="Arial Narrow" w:hAnsi="Arial Narrow" w:cs="Arial"/>
          <w:sz w:val="24"/>
          <w:szCs w:val="24"/>
        </w:rPr>
        <w:t>, cuenta con un programa idóneo</w:t>
      </w:r>
      <w:r w:rsidR="002C6045" w:rsidRPr="007F09C3">
        <w:rPr>
          <w:rFonts w:ascii="Arial Narrow" w:hAnsi="Arial Narrow" w:cs="Arial"/>
          <w:sz w:val="24"/>
          <w:szCs w:val="24"/>
        </w:rPr>
        <w:t xml:space="preserve"> para la prestación de los servicios, el registro de las operaciones y la contabilidad que facilita la generación de reportes internos y externos. </w:t>
      </w:r>
      <w:r w:rsidR="00EF2AFB" w:rsidRPr="007F09C3">
        <w:rPr>
          <w:rFonts w:ascii="Arial Narrow" w:hAnsi="Arial Narrow" w:cs="Arial"/>
          <w:sz w:val="24"/>
          <w:szCs w:val="24"/>
        </w:rPr>
        <w:t xml:space="preserve"> </w:t>
      </w:r>
      <w:r w:rsidR="00635B7A" w:rsidRPr="007F09C3">
        <w:rPr>
          <w:rFonts w:ascii="Arial Narrow" w:hAnsi="Arial Narrow" w:cs="Arial"/>
          <w:sz w:val="24"/>
          <w:szCs w:val="24"/>
        </w:rPr>
        <w:t>El Hardware se encuentra actualizado y se cuenta con un plan de mantenimiento preventivo y un plan de inversiones para reemplazar los equipos obsoletos.</w:t>
      </w:r>
      <w:r w:rsidR="00D23C0F" w:rsidRPr="007F09C3">
        <w:rPr>
          <w:rFonts w:ascii="Arial Narrow" w:hAnsi="Arial Narrow" w:cs="Arial"/>
          <w:sz w:val="24"/>
          <w:szCs w:val="24"/>
        </w:rPr>
        <w:t xml:space="preserve">  En materia de acceso remoto se cuenta con posibilidad de acceso a través de VPN con seguridades adecuadas tanto remotas como perimetrales para evitar accesos no autorizados, ataques informáticos o </w:t>
      </w:r>
      <w:r w:rsidR="00D62B88" w:rsidRPr="007F09C3">
        <w:rPr>
          <w:rFonts w:ascii="Arial Narrow" w:hAnsi="Arial Narrow" w:cs="Arial"/>
          <w:sz w:val="24"/>
          <w:szCs w:val="24"/>
        </w:rPr>
        <w:t xml:space="preserve">la entrada de virus.  La entidad respalda de manera externa y en la nube la información crítica de los aplicativos y archivos de ofimática. </w:t>
      </w:r>
    </w:p>
    <w:p w14:paraId="02BCAC11" w14:textId="77777777" w:rsidR="00A14E64" w:rsidRPr="007F09C3" w:rsidRDefault="00A14E64" w:rsidP="007F09C3">
      <w:pPr>
        <w:widowControl w:val="0"/>
        <w:ind w:left="426"/>
        <w:jc w:val="both"/>
        <w:rPr>
          <w:rFonts w:ascii="Arial Narrow" w:hAnsi="Arial Narrow" w:cs="Arial"/>
          <w:sz w:val="24"/>
          <w:szCs w:val="24"/>
        </w:rPr>
      </w:pPr>
    </w:p>
    <w:p w14:paraId="1B21BE47" w14:textId="3F2A696F" w:rsidR="00A14E64" w:rsidRPr="007F09C3" w:rsidRDefault="00A14E64" w:rsidP="007F09C3">
      <w:pPr>
        <w:widowControl w:val="0"/>
        <w:numPr>
          <w:ilvl w:val="0"/>
          <w:numId w:val="4"/>
        </w:numPr>
        <w:tabs>
          <w:tab w:val="clear" w:pos="720"/>
          <w:tab w:val="num" w:pos="426"/>
        </w:tabs>
        <w:ind w:left="426" w:hanging="284"/>
        <w:jc w:val="both"/>
        <w:rPr>
          <w:rFonts w:ascii="Arial Narrow" w:hAnsi="Arial Narrow" w:cs="Arial"/>
          <w:sz w:val="24"/>
          <w:szCs w:val="24"/>
        </w:rPr>
      </w:pPr>
      <w:r w:rsidRPr="007F09C3">
        <w:rPr>
          <w:rFonts w:ascii="Arial Narrow" w:hAnsi="Arial Narrow" w:cs="Arial"/>
          <w:b/>
          <w:sz w:val="24"/>
          <w:szCs w:val="24"/>
        </w:rPr>
        <w:t xml:space="preserve">Auditoría: </w:t>
      </w:r>
      <w:r w:rsidR="00C43F79" w:rsidRPr="007F09C3">
        <w:rPr>
          <w:rFonts w:ascii="Arial Narrow" w:hAnsi="Arial Narrow" w:cs="Arial"/>
          <w:sz w:val="24"/>
          <w:szCs w:val="24"/>
        </w:rPr>
        <w:t>COOPEJEMPLO</w:t>
      </w:r>
      <w:r w:rsidRPr="007F09C3">
        <w:rPr>
          <w:rFonts w:ascii="Arial Narrow" w:hAnsi="Arial Narrow" w:cs="Arial"/>
          <w:sz w:val="24"/>
          <w:szCs w:val="24"/>
        </w:rPr>
        <w:t xml:space="preserve">, tiene Revisoría fiscal, la cual realiza visitas mensuales, para verificar la correcta contabilización y legalidad de los informes que se presentan, control del cumplimiento de las normas legales, además de presentar a </w:t>
      </w:r>
      <w:r w:rsidR="006558A1" w:rsidRPr="007F09C3">
        <w:rPr>
          <w:rFonts w:ascii="Arial Narrow" w:hAnsi="Arial Narrow" w:cs="Arial"/>
          <w:sz w:val="24"/>
          <w:szCs w:val="24"/>
        </w:rPr>
        <w:t>el Consejo de Administración</w:t>
      </w:r>
      <w:r w:rsidRPr="007F09C3">
        <w:rPr>
          <w:rFonts w:ascii="Arial Narrow" w:hAnsi="Arial Narrow" w:cs="Arial"/>
          <w:sz w:val="24"/>
          <w:szCs w:val="24"/>
        </w:rPr>
        <w:t xml:space="preserve"> y al representante legal sugerencias e instrucciones necesarias para fortalecer y mejorar los procedimientos contables, administrativos, financieros y las medidas de control interno.</w:t>
      </w:r>
    </w:p>
    <w:p w14:paraId="0FD7DDE8" w14:textId="4E07BAA1" w:rsidR="00C77314" w:rsidRDefault="00C77314">
      <w:pPr>
        <w:rPr>
          <w:rFonts w:ascii="Arial Narrow" w:hAnsi="Arial Narrow" w:cstheme="minorHAnsi"/>
          <w:sz w:val="24"/>
          <w:szCs w:val="24"/>
          <w:lang w:val="es-CO"/>
        </w:rPr>
      </w:pPr>
      <w:r>
        <w:rPr>
          <w:rFonts w:ascii="Arial Narrow" w:hAnsi="Arial Narrow" w:cstheme="minorHAnsi"/>
          <w:sz w:val="24"/>
          <w:szCs w:val="24"/>
          <w:lang w:val="es-CO"/>
        </w:rPr>
        <w:br w:type="page"/>
      </w:r>
    </w:p>
    <w:p w14:paraId="198F8330" w14:textId="77777777" w:rsidR="00EF2AFB" w:rsidRPr="007F09C3" w:rsidRDefault="00EF2AFB" w:rsidP="007F09C3">
      <w:pPr>
        <w:pStyle w:val="Prrafodelista"/>
        <w:rPr>
          <w:rFonts w:ascii="Arial Narrow" w:hAnsi="Arial Narrow" w:cstheme="minorHAnsi"/>
          <w:sz w:val="24"/>
          <w:szCs w:val="24"/>
          <w:lang w:val="es-CO"/>
        </w:rPr>
      </w:pPr>
    </w:p>
    <w:p w14:paraId="6768D104" w14:textId="1A459FAA" w:rsidR="00EF2AFB" w:rsidRPr="007F09C3" w:rsidRDefault="00EF2AFB" w:rsidP="007F09C3">
      <w:pPr>
        <w:pStyle w:val="Prrafodelista"/>
        <w:numPr>
          <w:ilvl w:val="0"/>
          <w:numId w:val="1"/>
        </w:numPr>
        <w:shd w:val="clear" w:color="auto" w:fill="385623" w:themeFill="accent6" w:themeFillShade="80"/>
        <w:ind w:right="48"/>
        <w:contextualSpacing/>
        <w:rPr>
          <w:rFonts w:ascii="Arial Narrow" w:hAnsi="Arial Narrow"/>
          <w:b/>
          <w:color w:val="FFFFFF" w:themeColor="background1"/>
          <w:sz w:val="24"/>
          <w:szCs w:val="24"/>
        </w:rPr>
      </w:pPr>
      <w:r w:rsidRPr="007F09C3">
        <w:rPr>
          <w:rFonts w:ascii="Arial Narrow" w:hAnsi="Arial Narrow" w:cs="Calibri"/>
          <w:b/>
          <w:color w:val="FFFFFF" w:themeColor="background1"/>
          <w:sz w:val="24"/>
          <w:szCs w:val="24"/>
          <w:lang w:val="es-CO"/>
        </w:rPr>
        <w:t>BALANCE SOCIAL Y PESEM</w:t>
      </w:r>
    </w:p>
    <w:p w14:paraId="3B276816" w14:textId="77777777" w:rsidR="00EF2AFB" w:rsidRPr="007F09C3" w:rsidRDefault="00EF2AFB" w:rsidP="007F09C3">
      <w:pPr>
        <w:jc w:val="both"/>
        <w:rPr>
          <w:rFonts w:ascii="Arial Narrow" w:hAnsi="Arial Narrow" w:cstheme="minorHAnsi"/>
          <w:sz w:val="24"/>
          <w:szCs w:val="24"/>
          <w:lang w:val="es-CO"/>
        </w:rPr>
      </w:pPr>
    </w:p>
    <w:p w14:paraId="54DA0768" w14:textId="0879575E" w:rsidR="007F09C3" w:rsidRPr="007F09C3" w:rsidRDefault="007F09C3" w:rsidP="007F09C3">
      <w:pPr>
        <w:jc w:val="both"/>
        <w:rPr>
          <w:rFonts w:ascii="Arial Narrow" w:hAnsi="Arial Narrow"/>
          <w:sz w:val="24"/>
          <w:szCs w:val="24"/>
          <w:lang w:val="es-AR"/>
        </w:rPr>
      </w:pPr>
      <w:r w:rsidRPr="007F09C3">
        <w:rPr>
          <w:rFonts w:ascii="Arial Narrow" w:hAnsi="Arial Narrow"/>
          <w:sz w:val="24"/>
          <w:szCs w:val="24"/>
          <w:lang w:val="es-AR"/>
        </w:rPr>
        <w:t xml:space="preserve">El informe de gestión se estructuró bajo los cuatro (4) objetivos estratégicos que apuntan al cumplimiento de la planeación estratégica formulada en el año 2015 y que se ha estado ejecutando desde el año 2016 y culmina su vigencia en el </w:t>
      </w:r>
      <w:r w:rsidR="000E7401">
        <w:rPr>
          <w:rFonts w:ascii="Arial Narrow" w:hAnsi="Arial Narrow"/>
          <w:sz w:val="24"/>
          <w:szCs w:val="24"/>
          <w:lang w:val="es-AR"/>
        </w:rPr>
        <w:t>2021</w:t>
      </w:r>
      <w:r w:rsidRPr="007F09C3">
        <w:rPr>
          <w:rFonts w:ascii="Arial Narrow" w:hAnsi="Arial Narrow"/>
          <w:sz w:val="24"/>
          <w:szCs w:val="24"/>
          <w:lang w:val="es-AR"/>
        </w:rPr>
        <w:t xml:space="preserve">, alrededor de los cuales, se vienen logrando importantes avances en los últimos años y muy especialmente en el año </w:t>
      </w:r>
      <w:r w:rsidR="00096788">
        <w:rPr>
          <w:rFonts w:ascii="Arial Narrow" w:hAnsi="Arial Narrow"/>
          <w:sz w:val="24"/>
          <w:szCs w:val="24"/>
          <w:lang w:val="es-AR"/>
        </w:rPr>
        <w:t>2021</w:t>
      </w:r>
      <w:r w:rsidRPr="007F09C3">
        <w:rPr>
          <w:rFonts w:ascii="Arial Narrow" w:hAnsi="Arial Narrow"/>
          <w:sz w:val="24"/>
          <w:szCs w:val="24"/>
          <w:lang w:val="es-AR"/>
        </w:rPr>
        <w:t>, motivo por el cual los resultados nos dejan más que satisfechos. Veamos:</w:t>
      </w:r>
    </w:p>
    <w:p w14:paraId="4B5B0137" w14:textId="77777777" w:rsidR="007F09C3" w:rsidRPr="007F09C3" w:rsidRDefault="007F09C3" w:rsidP="007F09C3">
      <w:pPr>
        <w:jc w:val="both"/>
        <w:rPr>
          <w:rFonts w:ascii="Arial Narrow" w:hAnsi="Arial Narrow"/>
          <w:sz w:val="24"/>
          <w:szCs w:val="24"/>
          <w:lang w:val="es-AR"/>
        </w:rPr>
      </w:pPr>
    </w:p>
    <w:p w14:paraId="2B201D18" w14:textId="2799A25A" w:rsidR="007F09C3" w:rsidRPr="00096788" w:rsidRDefault="007F09C3" w:rsidP="00096788">
      <w:pPr>
        <w:pStyle w:val="Prrafodelista"/>
        <w:numPr>
          <w:ilvl w:val="1"/>
          <w:numId w:val="1"/>
        </w:numPr>
        <w:shd w:val="clear" w:color="auto" w:fill="E2EFD9" w:themeFill="accent6" w:themeFillTint="33"/>
        <w:contextualSpacing/>
        <w:jc w:val="both"/>
        <w:rPr>
          <w:rFonts w:ascii="Arial Narrow" w:hAnsi="Arial Narrow"/>
          <w:b/>
          <w:i/>
          <w:sz w:val="24"/>
          <w:szCs w:val="24"/>
        </w:rPr>
      </w:pPr>
      <w:r w:rsidRPr="00096788">
        <w:rPr>
          <w:rFonts w:ascii="Arial Narrow" w:hAnsi="Arial Narrow"/>
          <w:b/>
          <w:i/>
          <w:sz w:val="24"/>
          <w:szCs w:val="24"/>
        </w:rPr>
        <w:t xml:space="preserve">Objetivo 1: </w:t>
      </w:r>
      <w:r w:rsidRPr="00096788">
        <w:rPr>
          <w:rFonts w:ascii="Arial Narrow" w:hAnsi="Arial Narrow"/>
          <w:b/>
          <w:i/>
          <w:sz w:val="24"/>
          <w:szCs w:val="24"/>
          <w:lang w:val="es-AR"/>
        </w:rPr>
        <w:t>Fomentar la cultura del ahorro y el uso sostenible del crédito, especialmente con fines productivos, de inversión y educativos.</w:t>
      </w:r>
    </w:p>
    <w:p w14:paraId="0A08EAA1" w14:textId="77777777" w:rsidR="007F09C3" w:rsidRPr="007F09C3" w:rsidRDefault="007F09C3" w:rsidP="007F09C3">
      <w:pPr>
        <w:pStyle w:val="Prrafodelista"/>
        <w:ind w:left="1080"/>
        <w:jc w:val="both"/>
        <w:rPr>
          <w:rFonts w:ascii="Arial Narrow" w:hAnsi="Arial Narrow"/>
          <w:sz w:val="24"/>
          <w:szCs w:val="24"/>
        </w:rPr>
      </w:pPr>
    </w:p>
    <w:p w14:paraId="131DCBDA" w14:textId="77777777" w:rsidR="007F09C3" w:rsidRPr="007F09C3" w:rsidRDefault="007F09C3" w:rsidP="00096788">
      <w:pPr>
        <w:pStyle w:val="Prrafodelista"/>
        <w:numPr>
          <w:ilvl w:val="2"/>
          <w:numId w:val="1"/>
        </w:numPr>
        <w:contextualSpacing/>
        <w:jc w:val="both"/>
        <w:rPr>
          <w:rFonts w:ascii="Arial Narrow" w:hAnsi="Arial Narrow"/>
          <w:b/>
          <w:sz w:val="24"/>
          <w:szCs w:val="24"/>
        </w:rPr>
      </w:pPr>
      <w:r w:rsidRPr="007F09C3">
        <w:rPr>
          <w:rFonts w:ascii="Arial Narrow" w:hAnsi="Arial Narrow"/>
          <w:b/>
          <w:sz w:val="24"/>
          <w:szCs w:val="24"/>
        </w:rPr>
        <w:t>Servicio de Crédito</w:t>
      </w:r>
    </w:p>
    <w:p w14:paraId="792227DC" w14:textId="77777777" w:rsidR="007F09C3" w:rsidRPr="007F09C3" w:rsidRDefault="007F09C3" w:rsidP="007F09C3">
      <w:pPr>
        <w:jc w:val="both"/>
        <w:rPr>
          <w:rFonts w:ascii="Arial Narrow" w:hAnsi="Arial Narrow"/>
          <w:sz w:val="24"/>
          <w:szCs w:val="24"/>
        </w:rPr>
      </w:pPr>
    </w:p>
    <w:p w14:paraId="2E600F92" w14:textId="7A4B67A5"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La composición de la cartera ha cambiado drásticamente en los últimos cuatro años:  En el año </w:t>
      </w:r>
      <w:r w:rsidR="00096788">
        <w:rPr>
          <w:rFonts w:ascii="Arial Narrow" w:hAnsi="Arial Narrow"/>
          <w:sz w:val="24"/>
          <w:szCs w:val="24"/>
        </w:rPr>
        <w:t>2020</w:t>
      </w:r>
      <w:r w:rsidRPr="007F09C3">
        <w:rPr>
          <w:rFonts w:ascii="Arial Narrow" w:hAnsi="Arial Narrow"/>
          <w:sz w:val="24"/>
          <w:szCs w:val="24"/>
        </w:rPr>
        <w:t xml:space="preserve"> la cartera valía casi $31 mil millones de los cuales 60% correspondía a Vivienda.  Al cierre del año </w:t>
      </w:r>
      <w:r w:rsidR="00096788">
        <w:rPr>
          <w:rFonts w:ascii="Arial Narrow" w:hAnsi="Arial Narrow"/>
          <w:sz w:val="24"/>
          <w:szCs w:val="24"/>
        </w:rPr>
        <w:t>2021</w:t>
      </w:r>
      <w:r w:rsidRPr="007F09C3">
        <w:rPr>
          <w:rFonts w:ascii="Arial Narrow" w:hAnsi="Arial Narrow"/>
          <w:sz w:val="24"/>
          <w:szCs w:val="24"/>
        </w:rPr>
        <w:t xml:space="preserve">, la cartera total llega casi a los $35 mil millones de pesos, de la cual 41% es Vivienda.  Este cambio en la composición ha permitido mejorar la liquidez y rentabilidad de </w:t>
      </w:r>
      <w:r w:rsidR="00832291">
        <w:rPr>
          <w:rFonts w:ascii="Arial Narrow" w:hAnsi="Arial Narrow"/>
          <w:sz w:val="24"/>
          <w:szCs w:val="24"/>
        </w:rPr>
        <w:t>COOPEJEMPLO</w:t>
      </w:r>
      <w:r w:rsidRPr="007F09C3">
        <w:rPr>
          <w:rFonts w:ascii="Arial Narrow" w:hAnsi="Arial Narrow"/>
          <w:sz w:val="24"/>
          <w:szCs w:val="24"/>
        </w:rPr>
        <w:t xml:space="preserve"> tal y como se planteó en la Planeación Estratégica, dándole sostenibilidad a los programas sociales:</w:t>
      </w:r>
    </w:p>
    <w:p w14:paraId="36421634" w14:textId="77777777" w:rsidR="007F09C3" w:rsidRPr="007F09C3" w:rsidRDefault="007F09C3" w:rsidP="007F09C3">
      <w:pPr>
        <w:jc w:val="both"/>
        <w:rPr>
          <w:rFonts w:ascii="Arial Narrow" w:hAnsi="Arial Narrow"/>
          <w:sz w:val="24"/>
          <w:szCs w:val="24"/>
        </w:rPr>
      </w:pPr>
    </w:p>
    <w:p w14:paraId="205A8B48" w14:textId="77777777" w:rsidR="007F09C3" w:rsidRPr="007F09C3" w:rsidRDefault="007F09C3" w:rsidP="007F09C3">
      <w:pPr>
        <w:jc w:val="both"/>
        <w:rPr>
          <w:rFonts w:ascii="Arial Narrow" w:hAnsi="Arial Narrow"/>
          <w:sz w:val="24"/>
          <w:szCs w:val="24"/>
        </w:rPr>
      </w:pPr>
      <w:r w:rsidRPr="007F09C3">
        <w:rPr>
          <w:rFonts w:ascii="Arial Narrow" w:hAnsi="Arial Narrow"/>
          <w:noProof/>
          <w:sz w:val="24"/>
          <w:szCs w:val="24"/>
          <w:lang w:eastAsia="es-CO"/>
        </w:rPr>
        <w:drawing>
          <wp:inline distT="0" distB="0" distL="0" distR="0" wp14:anchorId="7C6CC6E9" wp14:editId="7417E0C9">
            <wp:extent cx="4806315" cy="299339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6315" cy="2993390"/>
                    </a:xfrm>
                    <a:prstGeom prst="rect">
                      <a:avLst/>
                    </a:prstGeom>
                    <a:noFill/>
                    <a:ln>
                      <a:noFill/>
                    </a:ln>
                  </pic:spPr>
                </pic:pic>
              </a:graphicData>
            </a:graphic>
          </wp:inline>
        </w:drawing>
      </w:r>
    </w:p>
    <w:p w14:paraId="4C9DFA16" w14:textId="77777777" w:rsidR="007F09C3" w:rsidRPr="007F09C3" w:rsidRDefault="007F09C3" w:rsidP="007F09C3">
      <w:pPr>
        <w:jc w:val="both"/>
        <w:rPr>
          <w:rFonts w:ascii="Arial Narrow" w:hAnsi="Arial Narrow"/>
          <w:sz w:val="24"/>
          <w:szCs w:val="24"/>
        </w:rPr>
      </w:pPr>
    </w:p>
    <w:p w14:paraId="638FE8EB" w14:textId="4B12F8A4" w:rsidR="007F09C3" w:rsidRDefault="007F09C3" w:rsidP="007F09C3">
      <w:pPr>
        <w:jc w:val="both"/>
        <w:rPr>
          <w:rFonts w:ascii="Arial Narrow" w:hAnsi="Arial Narrow"/>
          <w:sz w:val="24"/>
          <w:szCs w:val="24"/>
        </w:rPr>
      </w:pPr>
      <w:r w:rsidRPr="007F09C3">
        <w:rPr>
          <w:rFonts w:ascii="Arial Narrow" w:hAnsi="Arial Narrow"/>
          <w:sz w:val="24"/>
          <w:szCs w:val="24"/>
        </w:rPr>
        <w:t xml:space="preserve">Los créditos aprobados en el año </w:t>
      </w:r>
      <w:r w:rsidR="00662D26">
        <w:rPr>
          <w:rFonts w:ascii="Arial Narrow" w:hAnsi="Arial Narrow"/>
          <w:sz w:val="24"/>
          <w:szCs w:val="24"/>
        </w:rPr>
        <w:t>2021</w:t>
      </w:r>
      <w:r w:rsidRPr="007F09C3">
        <w:rPr>
          <w:rFonts w:ascii="Arial Narrow" w:hAnsi="Arial Narrow"/>
          <w:sz w:val="24"/>
          <w:szCs w:val="24"/>
        </w:rPr>
        <w:t xml:space="preserve"> totalizaron $19.408 millones (incluidas refinanciaciones), cifra muy similar a la cifra del año </w:t>
      </w:r>
      <w:r w:rsidR="00662D26">
        <w:rPr>
          <w:rFonts w:ascii="Arial Narrow" w:hAnsi="Arial Narrow"/>
          <w:sz w:val="24"/>
          <w:szCs w:val="24"/>
        </w:rPr>
        <w:t>2020</w:t>
      </w:r>
      <w:r w:rsidRPr="007F09C3">
        <w:rPr>
          <w:rFonts w:ascii="Arial Narrow" w:hAnsi="Arial Narrow"/>
          <w:sz w:val="24"/>
          <w:szCs w:val="24"/>
        </w:rPr>
        <w:t xml:space="preserve"> que fue de $19.672 millones, es decir que en los últimos dos años se aprobaron $38.214 millones, de las cuales, dos tercios correspondieron a la línea Libre Inversión seguida de Vivienda con un 27% y Educativo con un 4%.  Estas tres líneas acumulan el 96% de los recursos desembolsados en los últimos dos años:</w:t>
      </w:r>
    </w:p>
    <w:p w14:paraId="195607B0" w14:textId="77777777" w:rsidR="000E041A" w:rsidRDefault="000E041A" w:rsidP="007F09C3">
      <w:pPr>
        <w:jc w:val="both"/>
        <w:rPr>
          <w:rFonts w:ascii="Arial Narrow" w:hAnsi="Arial Narrow"/>
          <w:sz w:val="24"/>
          <w:szCs w:val="24"/>
        </w:rPr>
      </w:pPr>
    </w:p>
    <w:p w14:paraId="65DCD9EB" w14:textId="77777777" w:rsidR="000E041A" w:rsidRDefault="000E041A" w:rsidP="007F09C3">
      <w:pPr>
        <w:jc w:val="both"/>
        <w:rPr>
          <w:rFonts w:ascii="Arial Narrow" w:hAnsi="Arial Narrow"/>
          <w:sz w:val="24"/>
          <w:szCs w:val="24"/>
        </w:rPr>
      </w:pPr>
    </w:p>
    <w:tbl>
      <w:tblPr>
        <w:tblStyle w:val="Tablaconcuadrcula"/>
        <w:tblW w:w="0" w:type="auto"/>
        <w:tblLook w:val="04A0" w:firstRow="1" w:lastRow="0" w:firstColumn="1" w:lastColumn="0" w:noHBand="0" w:noVBand="1"/>
      </w:tblPr>
      <w:tblGrid>
        <w:gridCol w:w="4837"/>
        <w:gridCol w:w="4705"/>
      </w:tblGrid>
      <w:tr w:rsidR="000E041A" w14:paraId="72037AEB" w14:textId="77777777" w:rsidTr="000E041A">
        <w:tc>
          <w:tcPr>
            <w:tcW w:w="4771" w:type="dxa"/>
          </w:tcPr>
          <w:p w14:paraId="162F28E1" w14:textId="1369D893" w:rsidR="000E041A" w:rsidRDefault="000E041A" w:rsidP="007F09C3">
            <w:pPr>
              <w:jc w:val="both"/>
              <w:rPr>
                <w:rFonts w:ascii="Arial Narrow" w:hAnsi="Arial Narrow"/>
                <w:sz w:val="24"/>
                <w:szCs w:val="24"/>
              </w:rPr>
            </w:pPr>
            <w:r w:rsidRPr="007F09C3">
              <w:rPr>
                <w:rFonts w:ascii="Arial Narrow" w:hAnsi="Arial Narrow"/>
                <w:noProof/>
                <w:sz w:val="24"/>
                <w:szCs w:val="24"/>
                <w:lang w:eastAsia="es-CO"/>
              </w:rPr>
              <w:lastRenderedPageBreak/>
              <w:drawing>
                <wp:inline distT="0" distB="0" distL="0" distR="0" wp14:anchorId="5EA649A8" wp14:editId="072121AC">
                  <wp:extent cx="2934865" cy="1555058"/>
                  <wp:effectExtent l="0" t="0" r="0" b="762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40929" cy="1558271"/>
                          </a:xfrm>
                          <a:prstGeom prst="rect">
                            <a:avLst/>
                          </a:prstGeom>
                          <a:noFill/>
                          <a:ln>
                            <a:noFill/>
                          </a:ln>
                        </pic:spPr>
                      </pic:pic>
                    </a:graphicData>
                  </a:graphic>
                </wp:inline>
              </w:drawing>
            </w:r>
          </w:p>
        </w:tc>
        <w:tc>
          <w:tcPr>
            <w:tcW w:w="4771" w:type="dxa"/>
          </w:tcPr>
          <w:p w14:paraId="2A3FF0BE" w14:textId="20896C6F" w:rsidR="000E041A" w:rsidRDefault="000E041A" w:rsidP="007F09C3">
            <w:pPr>
              <w:jc w:val="both"/>
              <w:rPr>
                <w:rFonts w:ascii="Arial Narrow" w:hAnsi="Arial Narrow"/>
                <w:sz w:val="24"/>
                <w:szCs w:val="24"/>
              </w:rPr>
            </w:pPr>
            <w:r w:rsidRPr="007F09C3">
              <w:rPr>
                <w:rFonts w:ascii="Arial Narrow" w:hAnsi="Arial Narrow"/>
                <w:noProof/>
                <w:sz w:val="24"/>
                <w:szCs w:val="24"/>
                <w:lang w:eastAsia="es-CO"/>
              </w:rPr>
              <w:drawing>
                <wp:inline distT="0" distB="0" distL="0" distR="0" wp14:anchorId="5311B0E5" wp14:editId="1AA9FEF2">
                  <wp:extent cx="2822890" cy="194859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28654" cy="1952569"/>
                          </a:xfrm>
                          <a:prstGeom prst="rect">
                            <a:avLst/>
                          </a:prstGeom>
                          <a:noFill/>
                          <a:ln>
                            <a:noFill/>
                          </a:ln>
                        </pic:spPr>
                      </pic:pic>
                    </a:graphicData>
                  </a:graphic>
                </wp:inline>
              </w:drawing>
            </w:r>
          </w:p>
        </w:tc>
      </w:tr>
    </w:tbl>
    <w:p w14:paraId="101EC414" w14:textId="77777777" w:rsidR="000E041A" w:rsidRDefault="000E041A" w:rsidP="007F09C3">
      <w:pPr>
        <w:jc w:val="both"/>
        <w:rPr>
          <w:rFonts w:ascii="Arial Narrow" w:hAnsi="Arial Narrow"/>
          <w:sz w:val="24"/>
          <w:szCs w:val="24"/>
        </w:rPr>
      </w:pPr>
    </w:p>
    <w:p w14:paraId="2EC6ED50" w14:textId="00956EE9"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Este cambio en la demanda de crédito puede tener que ver con el hecho que de la mitad de los asociados es mayor de 55 años y muchos de ellos ya se encuentran pensionados, con lo cual, seguramente el tema de la Vivienda se encuentra resuelto.  Tal ver por esto mientras los desembolsos de libre inversión del </w:t>
      </w:r>
      <w:r w:rsidR="00662D26">
        <w:rPr>
          <w:rFonts w:ascii="Arial Narrow" w:hAnsi="Arial Narrow"/>
          <w:sz w:val="24"/>
          <w:szCs w:val="24"/>
        </w:rPr>
        <w:t>2020</w:t>
      </w:r>
      <w:r w:rsidRPr="007F09C3">
        <w:rPr>
          <w:rFonts w:ascii="Arial Narrow" w:hAnsi="Arial Narrow"/>
          <w:sz w:val="24"/>
          <w:szCs w:val="24"/>
        </w:rPr>
        <w:t xml:space="preserve"> al </w:t>
      </w:r>
      <w:r w:rsidR="00662D26">
        <w:rPr>
          <w:rFonts w:ascii="Arial Narrow" w:hAnsi="Arial Narrow"/>
          <w:sz w:val="24"/>
          <w:szCs w:val="24"/>
        </w:rPr>
        <w:t>2021</w:t>
      </w:r>
      <w:r w:rsidRPr="007F09C3">
        <w:rPr>
          <w:rFonts w:ascii="Arial Narrow" w:hAnsi="Arial Narrow"/>
          <w:sz w:val="24"/>
          <w:szCs w:val="24"/>
        </w:rPr>
        <w:t xml:space="preserve"> muestran crecimientos anuales del 10%, y 11% respectivamente, la línea Vivienda muestra un comportamiento totalmente contrario decreciendo -4,5% y -33,5% respectivamente:</w:t>
      </w:r>
    </w:p>
    <w:p w14:paraId="208AD12F" w14:textId="77777777" w:rsidR="007F09C3" w:rsidRPr="007F09C3" w:rsidRDefault="007F09C3" w:rsidP="007F09C3">
      <w:pPr>
        <w:jc w:val="both"/>
        <w:rPr>
          <w:rFonts w:ascii="Arial Narrow" w:hAnsi="Arial Narrow"/>
          <w:sz w:val="24"/>
          <w:szCs w:val="24"/>
        </w:rPr>
      </w:pPr>
    </w:p>
    <w:tbl>
      <w:tblPr>
        <w:tblW w:w="0" w:type="auto"/>
        <w:tblCellMar>
          <w:left w:w="70" w:type="dxa"/>
          <w:right w:w="70" w:type="dxa"/>
        </w:tblCellMar>
        <w:tblLook w:val="04A0" w:firstRow="1" w:lastRow="0" w:firstColumn="1" w:lastColumn="0" w:noHBand="0" w:noVBand="1"/>
      </w:tblPr>
      <w:tblGrid>
        <w:gridCol w:w="1694"/>
        <w:gridCol w:w="1016"/>
        <w:gridCol w:w="1016"/>
        <w:gridCol w:w="1016"/>
        <w:gridCol w:w="1071"/>
        <w:gridCol w:w="1071"/>
        <w:gridCol w:w="1071"/>
      </w:tblGrid>
      <w:tr w:rsidR="007F09C3" w:rsidRPr="007F09C3" w14:paraId="4B7CEFFA" w14:textId="77777777" w:rsidTr="00E3409C">
        <w:trPr>
          <w:trHeight w:val="290"/>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center"/>
            <w:hideMark/>
          </w:tcPr>
          <w:p w14:paraId="0887B79E" w14:textId="77777777"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w:t>
            </w:r>
          </w:p>
        </w:tc>
        <w:tc>
          <w:tcPr>
            <w:tcW w:w="0" w:type="auto"/>
            <w:gridSpan w:val="6"/>
            <w:tcBorders>
              <w:top w:val="single" w:sz="4" w:space="0" w:color="auto"/>
              <w:left w:val="nil"/>
              <w:bottom w:val="single" w:sz="4" w:space="0" w:color="auto"/>
              <w:right w:val="single" w:sz="4" w:space="0" w:color="auto"/>
            </w:tcBorders>
            <w:shd w:val="clear" w:color="000000" w:fill="375623"/>
            <w:noWrap/>
            <w:vAlign w:val="center"/>
            <w:hideMark/>
          </w:tcPr>
          <w:p w14:paraId="599BDD12" w14:textId="77777777"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DESEMBOLSO $ (millones)</w:t>
            </w:r>
          </w:p>
        </w:tc>
      </w:tr>
      <w:tr w:rsidR="007F09C3" w:rsidRPr="007F09C3" w14:paraId="722278A8" w14:textId="77777777" w:rsidTr="00E3409C">
        <w:trPr>
          <w:trHeight w:val="290"/>
        </w:trPr>
        <w:tc>
          <w:tcPr>
            <w:tcW w:w="0" w:type="auto"/>
            <w:tcBorders>
              <w:top w:val="nil"/>
              <w:left w:val="single" w:sz="4" w:space="0" w:color="auto"/>
              <w:bottom w:val="single" w:sz="4" w:space="0" w:color="auto"/>
              <w:right w:val="single" w:sz="4" w:space="0" w:color="auto"/>
            </w:tcBorders>
            <w:shd w:val="clear" w:color="000000" w:fill="0000FF"/>
            <w:noWrap/>
            <w:vAlign w:val="center"/>
            <w:hideMark/>
          </w:tcPr>
          <w:p w14:paraId="130F2E01" w14:textId="77777777"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LINEA</w:t>
            </w:r>
          </w:p>
        </w:tc>
        <w:tc>
          <w:tcPr>
            <w:tcW w:w="0" w:type="auto"/>
            <w:tcBorders>
              <w:top w:val="nil"/>
              <w:left w:val="nil"/>
              <w:bottom w:val="single" w:sz="4" w:space="0" w:color="auto"/>
              <w:right w:val="single" w:sz="4" w:space="0" w:color="auto"/>
            </w:tcBorders>
            <w:shd w:val="clear" w:color="000000" w:fill="375623"/>
            <w:noWrap/>
            <w:vAlign w:val="center"/>
            <w:hideMark/>
          </w:tcPr>
          <w:p w14:paraId="48648A38" w14:textId="047BF13A"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Año 1</w:t>
            </w:r>
            <w:r w:rsidR="007D2239">
              <w:rPr>
                <w:rFonts w:ascii="Arial Narrow" w:hAnsi="Arial Narrow" w:cs="Calibri"/>
                <w:b/>
                <w:bCs/>
                <w:color w:val="FFFFFF"/>
                <w:sz w:val="24"/>
                <w:szCs w:val="24"/>
                <w:lang w:eastAsia="es-CO"/>
              </w:rPr>
              <w:t>7</w:t>
            </w:r>
          </w:p>
        </w:tc>
        <w:tc>
          <w:tcPr>
            <w:tcW w:w="0" w:type="auto"/>
            <w:tcBorders>
              <w:top w:val="nil"/>
              <w:left w:val="nil"/>
              <w:bottom w:val="single" w:sz="4" w:space="0" w:color="auto"/>
              <w:right w:val="single" w:sz="4" w:space="0" w:color="auto"/>
            </w:tcBorders>
            <w:shd w:val="clear" w:color="000000" w:fill="375623"/>
            <w:noWrap/>
            <w:vAlign w:val="center"/>
            <w:hideMark/>
          </w:tcPr>
          <w:p w14:paraId="5417667A" w14:textId="0754F28D"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Año 1</w:t>
            </w:r>
            <w:r w:rsidR="007D2239">
              <w:rPr>
                <w:rFonts w:ascii="Arial Narrow" w:hAnsi="Arial Narrow" w:cs="Calibri"/>
                <w:b/>
                <w:bCs/>
                <w:color w:val="FFFFFF"/>
                <w:sz w:val="24"/>
                <w:szCs w:val="24"/>
                <w:lang w:eastAsia="es-CO"/>
              </w:rPr>
              <w:t>8</w:t>
            </w:r>
          </w:p>
        </w:tc>
        <w:tc>
          <w:tcPr>
            <w:tcW w:w="0" w:type="auto"/>
            <w:tcBorders>
              <w:top w:val="nil"/>
              <w:left w:val="nil"/>
              <w:bottom w:val="single" w:sz="4" w:space="0" w:color="auto"/>
              <w:right w:val="single" w:sz="4" w:space="0" w:color="auto"/>
            </w:tcBorders>
            <w:shd w:val="clear" w:color="000000" w:fill="375623"/>
            <w:noWrap/>
            <w:vAlign w:val="center"/>
            <w:hideMark/>
          </w:tcPr>
          <w:p w14:paraId="20C331E3" w14:textId="53C520DF"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Año 1</w:t>
            </w:r>
            <w:r w:rsidR="007D2239">
              <w:rPr>
                <w:rFonts w:ascii="Arial Narrow" w:hAnsi="Arial Narrow" w:cs="Calibri"/>
                <w:b/>
                <w:bCs/>
                <w:color w:val="FFFFFF"/>
                <w:sz w:val="24"/>
                <w:szCs w:val="24"/>
                <w:lang w:eastAsia="es-CO"/>
              </w:rPr>
              <w:t>9</w:t>
            </w:r>
          </w:p>
        </w:tc>
        <w:tc>
          <w:tcPr>
            <w:tcW w:w="0" w:type="auto"/>
            <w:tcBorders>
              <w:top w:val="nil"/>
              <w:left w:val="nil"/>
              <w:bottom w:val="single" w:sz="4" w:space="0" w:color="auto"/>
              <w:right w:val="single" w:sz="4" w:space="0" w:color="auto"/>
            </w:tcBorders>
            <w:shd w:val="clear" w:color="000000" w:fill="375623"/>
            <w:noWrap/>
            <w:vAlign w:val="center"/>
            <w:hideMark/>
          </w:tcPr>
          <w:p w14:paraId="7B5D8397" w14:textId="74198E2D"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Año </w:t>
            </w:r>
            <w:r w:rsidR="007D2239">
              <w:rPr>
                <w:rFonts w:ascii="Arial Narrow" w:hAnsi="Arial Narrow" w:cs="Calibri"/>
                <w:b/>
                <w:bCs/>
                <w:color w:val="FFFFFF"/>
                <w:sz w:val="24"/>
                <w:szCs w:val="24"/>
                <w:lang w:eastAsia="es-CO"/>
              </w:rPr>
              <w:t>20</w:t>
            </w:r>
          </w:p>
        </w:tc>
        <w:tc>
          <w:tcPr>
            <w:tcW w:w="0" w:type="auto"/>
            <w:tcBorders>
              <w:top w:val="nil"/>
              <w:left w:val="nil"/>
              <w:bottom w:val="single" w:sz="4" w:space="0" w:color="auto"/>
              <w:right w:val="single" w:sz="4" w:space="0" w:color="auto"/>
            </w:tcBorders>
            <w:shd w:val="clear" w:color="000000" w:fill="375623"/>
            <w:noWrap/>
            <w:vAlign w:val="center"/>
            <w:hideMark/>
          </w:tcPr>
          <w:p w14:paraId="4D8E258D" w14:textId="021F0636" w:rsidR="007F09C3" w:rsidRPr="007F09C3" w:rsidRDefault="007F09C3" w:rsidP="007F09C3">
            <w:pPr>
              <w:jc w:val="cente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Año </w:t>
            </w:r>
            <w:r w:rsidR="007D2239">
              <w:rPr>
                <w:rFonts w:ascii="Arial Narrow" w:hAnsi="Arial Narrow" w:cs="Calibri"/>
                <w:b/>
                <w:bCs/>
                <w:color w:val="FFFFFF"/>
                <w:sz w:val="24"/>
                <w:szCs w:val="24"/>
                <w:lang w:eastAsia="es-CO"/>
              </w:rPr>
              <w:t>21</w:t>
            </w:r>
          </w:p>
        </w:tc>
        <w:tc>
          <w:tcPr>
            <w:tcW w:w="0" w:type="auto"/>
            <w:tcBorders>
              <w:top w:val="nil"/>
              <w:left w:val="nil"/>
              <w:bottom w:val="single" w:sz="4" w:space="0" w:color="auto"/>
              <w:right w:val="single" w:sz="4" w:space="0" w:color="auto"/>
            </w:tcBorders>
            <w:shd w:val="clear" w:color="000000" w:fill="375623"/>
            <w:noWrap/>
            <w:vAlign w:val="center"/>
            <w:hideMark/>
          </w:tcPr>
          <w:p w14:paraId="61436910" w14:textId="7506F254" w:rsidR="007F09C3" w:rsidRPr="007F09C3" w:rsidRDefault="007D2239" w:rsidP="007F09C3">
            <w:pPr>
              <w:jc w:val="center"/>
              <w:rPr>
                <w:rFonts w:ascii="Arial Narrow" w:hAnsi="Arial Narrow" w:cs="Calibri"/>
                <w:b/>
                <w:bCs/>
                <w:color w:val="FFFFFF"/>
                <w:sz w:val="24"/>
                <w:szCs w:val="24"/>
                <w:lang w:eastAsia="es-CO"/>
              </w:rPr>
            </w:pPr>
            <w:r>
              <w:rPr>
                <w:rFonts w:ascii="Arial Narrow" w:hAnsi="Arial Narrow" w:cs="Calibri"/>
                <w:b/>
                <w:bCs/>
                <w:color w:val="FFFFFF"/>
                <w:sz w:val="24"/>
                <w:szCs w:val="24"/>
                <w:lang w:eastAsia="es-CO"/>
              </w:rPr>
              <w:t>20</w:t>
            </w:r>
            <w:r w:rsidR="007F09C3" w:rsidRPr="007F09C3">
              <w:rPr>
                <w:rFonts w:ascii="Arial Narrow" w:hAnsi="Arial Narrow" w:cs="Calibri"/>
                <w:b/>
                <w:bCs/>
                <w:color w:val="FFFFFF"/>
                <w:sz w:val="24"/>
                <w:szCs w:val="24"/>
                <w:lang w:eastAsia="es-CO"/>
              </w:rPr>
              <w:t>-</w:t>
            </w:r>
            <w:r>
              <w:rPr>
                <w:rFonts w:ascii="Arial Narrow" w:hAnsi="Arial Narrow" w:cs="Calibri"/>
                <w:b/>
                <w:bCs/>
                <w:color w:val="FFFFFF"/>
                <w:sz w:val="24"/>
                <w:szCs w:val="24"/>
                <w:lang w:eastAsia="es-CO"/>
              </w:rPr>
              <w:t>21</w:t>
            </w:r>
          </w:p>
        </w:tc>
      </w:tr>
      <w:tr w:rsidR="007F09C3" w:rsidRPr="007F09C3" w14:paraId="55A065A0" w14:textId="77777777" w:rsidTr="00E3409C">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7BA9D0"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LI y portafolio </w:t>
            </w:r>
            <w:proofErr w:type="spellStart"/>
            <w:r w:rsidRPr="007F09C3">
              <w:rPr>
                <w:rFonts w:ascii="Arial Narrow" w:hAnsi="Arial Narrow" w:cs="Calibri"/>
                <w:color w:val="000000"/>
                <w:sz w:val="24"/>
                <w:szCs w:val="24"/>
                <w:lang w:eastAsia="es-CO"/>
              </w:rPr>
              <w:t>esp</w:t>
            </w:r>
            <w:proofErr w:type="spellEnd"/>
          </w:p>
        </w:tc>
        <w:tc>
          <w:tcPr>
            <w:tcW w:w="0" w:type="auto"/>
            <w:tcBorders>
              <w:top w:val="nil"/>
              <w:left w:val="nil"/>
              <w:bottom w:val="single" w:sz="4" w:space="0" w:color="auto"/>
              <w:right w:val="single" w:sz="4" w:space="0" w:color="auto"/>
            </w:tcBorders>
            <w:shd w:val="clear" w:color="000000" w:fill="E2EFDA"/>
            <w:noWrap/>
            <w:vAlign w:val="bottom"/>
            <w:hideMark/>
          </w:tcPr>
          <w:p w14:paraId="362E4FE1"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6.441 </w:t>
            </w:r>
          </w:p>
        </w:tc>
        <w:tc>
          <w:tcPr>
            <w:tcW w:w="0" w:type="auto"/>
            <w:tcBorders>
              <w:top w:val="nil"/>
              <w:left w:val="nil"/>
              <w:bottom w:val="single" w:sz="4" w:space="0" w:color="auto"/>
              <w:right w:val="single" w:sz="4" w:space="0" w:color="auto"/>
            </w:tcBorders>
            <w:shd w:val="clear" w:color="000000" w:fill="E2EFDA"/>
            <w:noWrap/>
            <w:vAlign w:val="bottom"/>
            <w:hideMark/>
          </w:tcPr>
          <w:p w14:paraId="29BB30DF"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9.646 </w:t>
            </w:r>
          </w:p>
        </w:tc>
        <w:tc>
          <w:tcPr>
            <w:tcW w:w="0" w:type="auto"/>
            <w:tcBorders>
              <w:top w:val="nil"/>
              <w:left w:val="nil"/>
              <w:bottom w:val="single" w:sz="4" w:space="0" w:color="auto"/>
              <w:right w:val="single" w:sz="4" w:space="0" w:color="auto"/>
            </w:tcBorders>
            <w:shd w:val="clear" w:color="000000" w:fill="E2EFDA"/>
            <w:noWrap/>
            <w:vAlign w:val="bottom"/>
            <w:hideMark/>
          </w:tcPr>
          <w:p w14:paraId="0D4EB574"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11.188 </w:t>
            </w:r>
          </w:p>
        </w:tc>
        <w:tc>
          <w:tcPr>
            <w:tcW w:w="0" w:type="auto"/>
            <w:tcBorders>
              <w:top w:val="nil"/>
              <w:left w:val="nil"/>
              <w:bottom w:val="single" w:sz="4" w:space="0" w:color="auto"/>
              <w:right w:val="single" w:sz="4" w:space="0" w:color="auto"/>
            </w:tcBorders>
            <w:shd w:val="clear" w:color="000000" w:fill="E2EFDA"/>
            <w:noWrap/>
            <w:vAlign w:val="bottom"/>
            <w:hideMark/>
          </w:tcPr>
          <w:p w14:paraId="1F93DFD6"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12.336 </w:t>
            </w:r>
          </w:p>
        </w:tc>
        <w:tc>
          <w:tcPr>
            <w:tcW w:w="0" w:type="auto"/>
            <w:tcBorders>
              <w:top w:val="nil"/>
              <w:left w:val="nil"/>
              <w:bottom w:val="single" w:sz="4" w:space="0" w:color="auto"/>
              <w:right w:val="single" w:sz="4" w:space="0" w:color="auto"/>
            </w:tcBorders>
            <w:shd w:val="clear" w:color="000000" w:fill="E2EFDA"/>
            <w:noWrap/>
            <w:vAlign w:val="bottom"/>
            <w:hideMark/>
          </w:tcPr>
          <w:p w14:paraId="06FECD2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13.711 </w:t>
            </w:r>
          </w:p>
        </w:tc>
        <w:tc>
          <w:tcPr>
            <w:tcW w:w="0" w:type="auto"/>
            <w:tcBorders>
              <w:top w:val="nil"/>
              <w:left w:val="nil"/>
              <w:bottom w:val="single" w:sz="4" w:space="0" w:color="auto"/>
              <w:right w:val="single" w:sz="4" w:space="0" w:color="auto"/>
            </w:tcBorders>
            <w:shd w:val="clear" w:color="000000" w:fill="E2EFDA"/>
            <w:noWrap/>
            <w:vAlign w:val="bottom"/>
            <w:hideMark/>
          </w:tcPr>
          <w:p w14:paraId="7811957A"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24.898 </w:t>
            </w:r>
          </w:p>
        </w:tc>
      </w:tr>
      <w:tr w:rsidR="007F09C3" w:rsidRPr="007F09C3" w14:paraId="695E1401" w14:textId="77777777" w:rsidTr="00E3409C">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5679228"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Vivienda </w:t>
            </w:r>
          </w:p>
        </w:tc>
        <w:tc>
          <w:tcPr>
            <w:tcW w:w="0" w:type="auto"/>
            <w:tcBorders>
              <w:top w:val="nil"/>
              <w:left w:val="nil"/>
              <w:bottom w:val="single" w:sz="4" w:space="0" w:color="auto"/>
              <w:right w:val="single" w:sz="4" w:space="0" w:color="auto"/>
            </w:tcBorders>
            <w:shd w:val="clear" w:color="000000" w:fill="E2EFDA"/>
            <w:noWrap/>
            <w:vAlign w:val="bottom"/>
            <w:hideMark/>
          </w:tcPr>
          <w:p w14:paraId="715EB2A3"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9.900 </w:t>
            </w:r>
          </w:p>
        </w:tc>
        <w:tc>
          <w:tcPr>
            <w:tcW w:w="0" w:type="auto"/>
            <w:tcBorders>
              <w:top w:val="nil"/>
              <w:left w:val="nil"/>
              <w:bottom w:val="single" w:sz="4" w:space="0" w:color="auto"/>
              <w:right w:val="single" w:sz="4" w:space="0" w:color="auto"/>
            </w:tcBorders>
            <w:shd w:val="clear" w:color="000000" w:fill="E2EFDA"/>
            <w:noWrap/>
            <w:vAlign w:val="bottom"/>
            <w:hideMark/>
          </w:tcPr>
          <w:p w14:paraId="58F81A90"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4.049 </w:t>
            </w:r>
          </w:p>
        </w:tc>
        <w:tc>
          <w:tcPr>
            <w:tcW w:w="0" w:type="auto"/>
            <w:tcBorders>
              <w:top w:val="nil"/>
              <w:left w:val="nil"/>
              <w:bottom w:val="single" w:sz="4" w:space="0" w:color="auto"/>
              <w:right w:val="single" w:sz="4" w:space="0" w:color="auto"/>
            </w:tcBorders>
            <w:shd w:val="clear" w:color="000000" w:fill="E2EFDA"/>
            <w:noWrap/>
            <w:vAlign w:val="bottom"/>
            <w:hideMark/>
          </w:tcPr>
          <w:p w14:paraId="411FF030"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6.252 </w:t>
            </w:r>
          </w:p>
        </w:tc>
        <w:tc>
          <w:tcPr>
            <w:tcW w:w="0" w:type="auto"/>
            <w:tcBorders>
              <w:top w:val="nil"/>
              <w:left w:val="nil"/>
              <w:bottom w:val="single" w:sz="4" w:space="0" w:color="auto"/>
              <w:right w:val="single" w:sz="4" w:space="0" w:color="auto"/>
            </w:tcBorders>
            <w:shd w:val="clear" w:color="000000" w:fill="E2EFDA"/>
            <w:noWrap/>
            <w:vAlign w:val="bottom"/>
            <w:hideMark/>
          </w:tcPr>
          <w:p w14:paraId="014E2E2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5.973 </w:t>
            </w:r>
          </w:p>
        </w:tc>
        <w:tc>
          <w:tcPr>
            <w:tcW w:w="0" w:type="auto"/>
            <w:tcBorders>
              <w:top w:val="nil"/>
              <w:left w:val="nil"/>
              <w:bottom w:val="single" w:sz="4" w:space="0" w:color="auto"/>
              <w:right w:val="single" w:sz="4" w:space="0" w:color="auto"/>
            </w:tcBorders>
            <w:shd w:val="clear" w:color="000000" w:fill="E2EFDA"/>
            <w:noWrap/>
            <w:vAlign w:val="bottom"/>
            <w:hideMark/>
          </w:tcPr>
          <w:p w14:paraId="2F4DDB1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3.973 </w:t>
            </w:r>
          </w:p>
        </w:tc>
        <w:tc>
          <w:tcPr>
            <w:tcW w:w="0" w:type="auto"/>
            <w:tcBorders>
              <w:top w:val="nil"/>
              <w:left w:val="nil"/>
              <w:bottom w:val="single" w:sz="4" w:space="0" w:color="auto"/>
              <w:right w:val="single" w:sz="4" w:space="0" w:color="auto"/>
            </w:tcBorders>
            <w:shd w:val="clear" w:color="000000" w:fill="E2EFDA"/>
            <w:noWrap/>
            <w:vAlign w:val="bottom"/>
            <w:hideMark/>
          </w:tcPr>
          <w:p w14:paraId="58DB1FC1"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10.225 </w:t>
            </w:r>
          </w:p>
        </w:tc>
      </w:tr>
      <w:tr w:rsidR="007F09C3" w:rsidRPr="007F09C3" w14:paraId="2EE03242" w14:textId="77777777" w:rsidTr="00E3409C">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9324746"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Educativo</w:t>
            </w:r>
          </w:p>
        </w:tc>
        <w:tc>
          <w:tcPr>
            <w:tcW w:w="0" w:type="auto"/>
            <w:tcBorders>
              <w:top w:val="nil"/>
              <w:left w:val="nil"/>
              <w:bottom w:val="single" w:sz="4" w:space="0" w:color="auto"/>
              <w:right w:val="single" w:sz="4" w:space="0" w:color="auto"/>
            </w:tcBorders>
            <w:shd w:val="clear" w:color="000000" w:fill="E2EFDA"/>
            <w:noWrap/>
            <w:vAlign w:val="bottom"/>
            <w:hideMark/>
          </w:tcPr>
          <w:p w14:paraId="78E52B42"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607 </w:t>
            </w:r>
          </w:p>
        </w:tc>
        <w:tc>
          <w:tcPr>
            <w:tcW w:w="0" w:type="auto"/>
            <w:tcBorders>
              <w:top w:val="nil"/>
              <w:left w:val="nil"/>
              <w:bottom w:val="single" w:sz="4" w:space="0" w:color="auto"/>
              <w:right w:val="single" w:sz="4" w:space="0" w:color="auto"/>
            </w:tcBorders>
            <w:shd w:val="clear" w:color="000000" w:fill="E2EFDA"/>
            <w:noWrap/>
            <w:vAlign w:val="bottom"/>
            <w:hideMark/>
          </w:tcPr>
          <w:p w14:paraId="0AB9733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1.077 </w:t>
            </w:r>
          </w:p>
        </w:tc>
        <w:tc>
          <w:tcPr>
            <w:tcW w:w="0" w:type="auto"/>
            <w:tcBorders>
              <w:top w:val="nil"/>
              <w:left w:val="nil"/>
              <w:bottom w:val="single" w:sz="4" w:space="0" w:color="auto"/>
              <w:right w:val="single" w:sz="4" w:space="0" w:color="auto"/>
            </w:tcBorders>
            <w:shd w:val="clear" w:color="000000" w:fill="E2EFDA"/>
            <w:noWrap/>
            <w:vAlign w:val="bottom"/>
            <w:hideMark/>
          </w:tcPr>
          <w:p w14:paraId="07860915"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668 </w:t>
            </w:r>
          </w:p>
        </w:tc>
        <w:tc>
          <w:tcPr>
            <w:tcW w:w="0" w:type="auto"/>
            <w:tcBorders>
              <w:top w:val="nil"/>
              <w:left w:val="nil"/>
              <w:bottom w:val="single" w:sz="4" w:space="0" w:color="auto"/>
              <w:right w:val="single" w:sz="4" w:space="0" w:color="auto"/>
            </w:tcBorders>
            <w:shd w:val="clear" w:color="000000" w:fill="E2EFDA"/>
            <w:noWrap/>
            <w:vAlign w:val="bottom"/>
            <w:hideMark/>
          </w:tcPr>
          <w:p w14:paraId="3C172706"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897 </w:t>
            </w:r>
          </w:p>
        </w:tc>
        <w:tc>
          <w:tcPr>
            <w:tcW w:w="0" w:type="auto"/>
            <w:tcBorders>
              <w:top w:val="nil"/>
              <w:left w:val="nil"/>
              <w:bottom w:val="single" w:sz="4" w:space="0" w:color="auto"/>
              <w:right w:val="single" w:sz="4" w:space="0" w:color="auto"/>
            </w:tcBorders>
            <w:shd w:val="clear" w:color="000000" w:fill="E2EFDA"/>
            <w:noWrap/>
            <w:vAlign w:val="bottom"/>
            <w:hideMark/>
          </w:tcPr>
          <w:p w14:paraId="5F40D417"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1.076 </w:t>
            </w:r>
          </w:p>
        </w:tc>
        <w:tc>
          <w:tcPr>
            <w:tcW w:w="0" w:type="auto"/>
            <w:tcBorders>
              <w:top w:val="nil"/>
              <w:left w:val="nil"/>
              <w:bottom w:val="single" w:sz="4" w:space="0" w:color="auto"/>
              <w:right w:val="single" w:sz="4" w:space="0" w:color="auto"/>
            </w:tcBorders>
            <w:shd w:val="clear" w:color="000000" w:fill="E2EFDA"/>
            <w:noWrap/>
            <w:vAlign w:val="bottom"/>
            <w:hideMark/>
          </w:tcPr>
          <w:p w14:paraId="55155810"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1.744 </w:t>
            </w:r>
          </w:p>
        </w:tc>
      </w:tr>
      <w:tr w:rsidR="007F09C3" w:rsidRPr="007F09C3" w14:paraId="4FF10B02" w14:textId="77777777" w:rsidTr="00E3409C">
        <w:trPr>
          <w:trHeight w:val="290"/>
        </w:trPr>
        <w:tc>
          <w:tcPr>
            <w:tcW w:w="0" w:type="auto"/>
            <w:tcBorders>
              <w:top w:val="nil"/>
              <w:left w:val="single" w:sz="4" w:space="0" w:color="auto"/>
              <w:bottom w:val="single" w:sz="4" w:space="0" w:color="auto"/>
              <w:right w:val="single" w:sz="4" w:space="0" w:color="auto"/>
            </w:tcBorders>
            <w:shd w:val="clear" w:color="000000" w:fill="A9D08E"/>
            <w:noWrap/>
            <w:vAlign w:val="bottom"/>
            <w:hideMark/>
          </w:tcPr>
          <w:p w14:paraId="69F4DCA6"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Otras =</w:t>
            </w:r>
          </w:p>
        </w:tc>
        <w:tc>
          <w:tcPr>
            <w:tcW w:w="0" w:type="auto"/>
            <w:tcBorders>
              <w:top w:val="nil"/>
              <w:left w:val="nil"/>
              <w:bottom w:val="single" w:sz="4" w:space="0" w:color="auto"/>
              <w:right w:val="single" w:sz="4" w:space="0" w:color="auto"/>
            </w:tcBorders>
            <w:shd w:val="clear" w:color="000000" w:fill="A9D08E"/>
            <w:noWrap/>
            <w:vAlign w:val="bottom"/>
            <w:hideMark/>
          </w:tcPr>
          <w:p w14:paraId="71C1C1DD"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    1.049 </w:t>
            </w:r>
          </w:p>
        </w:tc>
        <w:tc>
          <w:tcPr>
            <w:tcW w:w="0" w:type="auto"/>
            <w:tcBorders>
              <w:top w:val="nil"/>
              <w:left w:val="nil"/>
              <w:bottom w:val="single" w:sz="4" w:space="0" w:color="auto"/>
              <w:right w:val="single" w:sz="4" w:space="0" w:color="auto"/>
            </w:tcBorders>
            <w:shd w:val="clear" w:color="000000" w:fill="A9D08E"/>
            <w:noWrap/>
            <w:vAlign w:val="bottom"/>
            <w:hideMark/>
          </w:tcPr>
          <w:p w14:paraId="31373B44"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       949 </w:t>
            </w:r>
          </w:p>
        </w:tc>
        <w:tc>
          <w:tcPr>
            <w:tcW w:w="0" w:type="auto"/>
            <w:tcBorders>
              <w:top w:val="nil"/>
              <w:left w:val="nil"/>
              <w:bottom w:val="single" w:sz="4" w:space="0" w:color="auto"/>
              <w:right w:val="single" w:sz="4" w:space="0" w:color="auto"/>
            </w:tcBorders>
            <w:shd w:val="clear" w:color="000000" w:fill="A9D08E"/>
            <w:noWrap/>
            <w:vAlign w:val="bottom"/>
            <w:hideMark/>
          </w:tcPr>
          <w:p w14:paraId="2EE95C79"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       699 </w:t>
            </w:r>
          </w:p>
        </w:tc>
        <w:tc>
          <w:tcPr>
            <w:tcW w:w="0" w:type="auto"/>
            <w:tcBorders>
              <w:top w:val="nil"/>
              <w:left w:val="nil"/>
              <w:bottom w:val="single" w:sz="4" w:space="0" w:color="auto"/>
              <w:right w:val="single" w:sz="4" w:space="0" w:color="auto"/>
            </w:tcBorders>
            <w:shd w:val="clear" w:color="000000" w:fill="A9D08E"/>
            <w:noWrap/>
            <w:vAlign w:val="bottom"/>
            <w:hideMark/>
          </w:tcPr>
          <w:p w14:paraId="498D4D59"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        466 </w:t>
            </w:r>
          </w:p>
        </w:tc>
        <w:tc>
          <w:tcPr>
            <w:tcW w:w="0" w:type="auto"/>
            <w:tcBorders>
              <w:top w:val="nil"/>
              <w:left w:val="nil"/>
              <w:bottom w:val="single" w:sz="4" w:space="0" w:color="auto"/>
              <w:right w:val="single" w:sz="4" w:space="0" w:color="auto"/>
            </w:tcBorders>
            <w:shd w:val="clear" w:color="000000" w:fill="A9D08E"/>
            <w:noWrap/>
            <w:vAlign w:val="bottom"/>
            <w:hideMark/>
          </w:tcPr>
          <w:p w14:paraId="4CDD1C6F"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        649 </w:t>
            </w:r>
          </w:p>
        </w:tc>
        <w:tc>
          <w:tcPr>
            <w:tcW w:w="0" w:type="auto"/>
            <w:tcBorders>
              <w:top w:val="nil"/>
              <w:left w:val="nil"/>
              <w:bottom w:val="single" w:sz="4" w:space="0" w:color="auto"/>
              <w:right w:val="single" w:sz="4" w:space="0" w:color="auto"/>
            </w:tcBorders>
            <w:shd w:val="clear" w:color="000000" w:fill="A9D08E"/>
            <w:noWrap/>
            <w:vAlign w:val="bottom"/>
            <w:hideMark/>
          </w:tcPr>
          <w:p w14:paraId="5998A4A4"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     1.348 </w:t>
            </w:r>
          </w:p>
        </w:tc>
      </w:tr>
      <w:tr w:rsidR="007F09C3" w:rsidRPr="007F09C3" w14:paraId="77DB19BE" w14:textId="77777777" w:rsidTr="00E3409C">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D4026FD" w14:textId="77777777" w:rsidR="007F09C3" w:rsidRPr="007F09C3" w:rsidRDefault="007F09C3" w:rsidP="007F09C3">
            <w:pPr>
              <w:rPr>
                <w:rFonts w:ascii="Arial Narrow" w:hAnsi="Arial Narrow" w:cs="Calibri"/>
                <w:color w:val="000000"/>
                <w:sz w:val="24"/>
                <w:szCs w:val="24"/>
                <w:lang w:eastAsia="es-CO"/>
              </w:rPr>
            </w:pPr>
            <w:proofErr w:type="spellStart"/>
            <w:r w:rsidRPr="007F09C3">
              <w:rPr>
                <w:rFonts w:ascii="Arial Narrow" w:hAnsi="Arial Narrow" w:cs="Calibri"/>
                <w:color w:val="000000"/>
                <w:sz w:val="24"/>
                <w:szCs w:val="24"/>
                <w:lang w:eastAsia="es-CO"/>
              </w:rPr>
              <w:t>Vehiculo</w:t>
            </w:r>
            <w:proofErr w:type="spellEnd"/>
          </w:p>
        </w:tc>
        <w:tc>
          <w:tcPr>
            <w:tcW w:w="0" w:type="auto"/>
            <w:tcBorders>
              <w:top w:val="nil"/>
              <w:left w:val="nil"/>
              <w:bottom w:val="single" w:sz="4" w:space="0" w:color="auto"/>
              <w:right w:val="single" w:sz="4" w:space="0" w:color="auto"/>
            </w:tcBorders>
            <w:shd w:val="clear" w:color="000000" w:fill="E2EFDA"/>
            <w:noWrap/>
            <w:vAlign w:val="bottom"/>
            <w:hideMark/>
          </w:tcPr>
          <w:p w14:paraId="51249AE4"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713 </w:t>
            </w:r>
          </w:p>
        </w:tc>
        <w:tc>
          <w:tcPr>
            <w:tcW w:w="0" w:type="auto"/>
            <w:tcBorders>
              <w:top w:val="nil"/>
              <w:left w:val="nil"/>
              <w:bottom w:val="single" w:sz="4" w:space="0" w:color="auto"/>
              <w:right w:val="single" w:sz="4" w:space="0" w:color="auto"/>
            </w:tcBorders>
            <w:shd w:val="clear" w:color="000000" w:fill="E2EFDA"/>
            <w:noWrap/>
            <w:vAlign w:val="bottom"/>
            <w:hideMark/>
          </w:tcPr>
          <w:p w14:paraId="0456F4B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595 </w:t>
            </w:r>
          </w:p>
        </w:tc>
        <w:tc>
          <w:tcPr>
            <w:tcW w:w="0" w:type="auto"/>
            <w:tcBorders>
              <w:top w:val="nil"/>
              <w:left w:val="nil"/>
              <w:bottom w:val="single" w:sz="4" w:space="0" w:color="auto"/>
              <w:right w:val="single" w:sz="4" w:space="0" w:color="auto"/>
            </w:tcBorders>
            <w:shd w:val="clear" w:color="000000" w:fill="E2EFDA"/>
            <w:noWrap/>
            <w:vAlign w:val="bottom"/>
            <w:hideMark/>
          </w:tcPr>
          <w:p w14:paraId="16F7132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177 </w:t>
            </w:r>
          </w:p>
        </w:tc>
        <w:tc>
          <w:tcPr>
            <w:tcW w:w="0" w:type="auto"/>
            <w:tcBorders>
              <w:top w:val="nil"/>
              <w:left w:val="nil"/>
              <w:bottom w:val="single" w:sz="4" w:space="0" w:color="auto"/>
              <w:right w:val="single" w:sz="4" w:space="0" w:color="auto"/>
            </w:tcBorders>
            <w:shd w:val="clear" w:color="000000" w:fill="E2EFDA"/>
            <w:noWrap/>
            <w:vAlign w:val="bottom"/>
            <w:hideMark/>
          </w:tcPr>
          <w:p w14:paraId="1FA6B6F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127 </w:t>
            </w:r>
          </w:p>
        </w:tc>
        <w:tc>
          <w:tcPr>
            <w:tcW w:w="0" w:type="auto"/>
            <w:tcBorders>
              <w:top w:val="nil"/>
              <w:left w:val="nil"/>
              <w:bottom w:val="single" w:sz="4" w:space="0" w:color="auto"/>
              <w:right w:val="single" w:sz="4" w:space="0" w:color="auto"/>
            </w:tcBorders>
            <w:shd w:val="clear" w:color="000000" w:fill="E2EFDA"/>
            <w:noWrap/>
            <w:vAlign w:val="bottom"/>
            <w:hideMark/>
          </w:tcPr>
          <w:p w14:paraId="59C67FA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317 </w:t>
            </w:r>
          </w:p>
        </w:tc>
        <w:tc>
          <w:tcPr>
            <w:tcW w:w="0" w:type="auto"/>
            <w:tcBorders>
              <w:top w:val="nil"/>
              <w:left w:val="nil"/>
              <w:bottom w:val="single" w:sz="4" w:space="0" w:color="auto"/>
              <w:right w:val="single" w:sz="4" w:space="0" w:color="auto"/>
            </w:tcBorders>
            <w:shd w:val="clear" w:color="000000" w:fill="E2EFDA"/>
            <w:noWrap/>
            <w:vAlign w:val="bottom"/>
            <w:hideMark/>
          </w:tcPr>
          <w:p w14:paraId="2F1C9DB6"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494 </w:t>
            </w:r>
          </w:p>
        </w:tc>
      </w:tr>
      <w:tr w:rsidR="007F09C3" w:rsidRPr="007F09C3" w14:paraId="4B08A592" w14:textId="77777777" w:rsidTr="00E3409C">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B778AEE" w14:textId="77777777" w:rsidR="007F09C3" w:rsidRPr="007F09C3" w:rsidRDefault="007F09C3" w:rsidP="007F09C3">
            <w:pPr>
              <w:rPr>
                <w:rFonts w:ascii="Arial Narrow" w:hAnsi="Arial Narrow" w:cs="Calibri"/>
                <w:color w:val="000000"/>
                <w:sz w:val="24"/>
                <w:szCs w:val="24"/>
                <w:lang w:eastAsia="es-CO"/>
              </w:rPr>
            </w:pPr>
            <w:proofErr w:type="spellStart"/>
            <w:r w:rsidRPr="007F09C3">
              <w:rPr>
                <w:rFonts w:ascii="Arial Narrow" w:hAnsi="Arial Narrow" w:cs="Calibri"/>
                <w:color w:val="000000"/>
                <w:sz w:val="24"/>
                <w:szCs w:val="24"/>
                <w:lang w:eastAsia="es-CO"/>
              </w:rPr>
              <w:t>Credi</w:t>
            </w:r>
            <w:proofErr w:type="spellEnd"/>
            <w:r w:rsidRPr="007F09C3">
              <w:rPr>
                <w:rFonts w:ascii="Arial Narrow" w:hAnsi="Arial Narrow" w:cs="Calibri"/>
                <w:color w:val="000000"/>
                <w:sz w:val="24"/>
                <w:szCs w:val="24"/>
                <w:lang w:eastAsia="es-CO"/>
              </w:rPr>
              <w:t xml:space="preserve"> Express</w:t>
            </w:r>
          </w:p>
        </w:tc>
        <w:tc>
          <w:tcPr>
            <w:tcW w:w="0" w:type="auto"/>
            <w:tcBorders>
              <w:top w:val="nil"/>
              <w:left w:val="nil"/>
              <w:bottom w:val="single" w:sz="4" w:space="0" w:color="auto"/>
              <w:right w:val="single" w:sz="4" w:space="0" w:color="auto"/>
            </w:tcBorders>
            <w:shd w:val="clear" w:color="000000" w:fill="E2EFDA"/>
            <w:noWrap/>
            <w:vAlign w:val="bottom"/>
            <w:hideMark/>
          </w:tcPr>
          <w:p w14:paraId="24199E82"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220 </w:t>
            </w:r>
          </w:p>
        </w:tc>
        <w:tc>
          <w:tcPr>
            <w:tcW w:w="0" w:type="auto"/>
            <w:tcBorders>
              <w:top w:val="nil"/>
              <w:left w:val="nil"/>
              <w:bottom w:val="single" w:sz="4" w:space="0" w:color="auto"/>
              <w:right w:val="single" w:sz="4" w:space="0" w:color="auto"/>
            </w:tcBorders>
            <w:shd w:val="clear" w:color="000000" w:fill="E2EFDA"/>
            <w:noWrap/>
            <w:vAlign w:val="bottom"/>
            <w:hideMark/>
          </w:tcPr>
          <w:p w14:paraId="05E2B71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182 </w:t>
            </w:r>
          </w:p>
        </w:tc>
        <w:tc>
          <w:tcPr>
            <w:tcW w:w="0" w:type="auto"/>
            <w:tcBorders>
              <w:top w:val="nil"/>
              <w:left w:val="nil"/>
              <w:bottom w:val="single" w:sz="4" w:space="0" w:color="auto"/>
              <w:right w:val="single" w:sz="4" w:space="0" w:color="auto"/>
            </w:tcBorders>
            <w:shd w:val="clear" w:color="000000" w:fill="E2EFDA"/>
            <w:noWrap/>
            <w:vAlign w:val="bottom"/>
            <w:hideMark/>
          </w:tcPr>
          <w:p w14:paraId="6596F3B3"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135 </w:t>
            </w:r>
          </w:p>
        </w:tc>
        <w:tc>
          <w:tcPr>
            <w:tcW w:w="0" w:type="auto"/>
            <w:tcBorders>
              <w:top w:val="nil"/>
              <w:left w:val="nil"/>
              <w:bottom w:val="single" w:sz="4" w:space="0" w:color="auto"/>
              <w:right w:val="single" w:sz="4" w:space="0" w:color="auto"/>
            </w:tcBorders>
            <w:shd w:val="clear" w:color="000000" w:fill="E2EFDA"/>
            <w:noWrap/>
            <w:vAlign w:val="bottom"/>
            <w:hideMark/>
          </w:tcPr>
          <w:p w14:paraId="6B100E04"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109 </w:t>
            </w:r>
          </w:p>
        </w:tc>
        <w:tc>
          <w:tcPr>
            <w:tcW w:w="0" w:type="auto"/>
            <w:tcBorders>
              <w:top w:val="nil"/>
              <w:left w:val="nil"/>
              <w:bottom w:val="single" w:sz="4" w:space="0" w:color="auto"/>
              <w:right w:val="single" w:sz="4" w:space="0" w:color="auto"/>
            </w:tcBorders>
            <w:shd w:val="clear" w:color="000000" w:fill="E2EFDA"/>
            <w:noWrap/>
            <w:vAlign w:val="bottom"/>
            <w:hideMark/>
          </w:tcPr>
          <w:p w14:paraId="61F6902F"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95 </w:t>
            </w:r>
          </w:p>
        </w:tc>
        <w:tc>
          <w:tcPr>
            <w:tcW w:w="0" w:type="auto"/>
            <w:tcBorders>
              <w:top w:val="nil"/>
              <w:left w:val="nil"/>
              <w:bottom w:val="single" w:sz="4" w:space="0" w:color="auto"/>
              <w:right w:val="single" w:sz="4" w:space="0" w:color="auto"/>
            </w:tcBorders>
            <w:shd w:val="clear" w:color="000000" w:fill="E2EFDA"/>
            <w:noWrap/>
            <w:vAlign w:val="bottom"/>
            <w:hideMark/>
          </w:tcPr>
          <w:p w14:paraId="4B064818"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230 </w:t>
            </w:r>
          </w:p>
        </w:tc>
      </w:tr>
      <w:tr w:rsidR="007F09C3" w:rsidRPr="007F09C3" w14:paraId="295C9113" w14:textId="77777777" w:rsidTr="00E3409C">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C4BE9D"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Otras </w:t>
            </w:r>
          </w:p>
        </w:tc>
        <w:tc>
          <w:tcPr>
            <w:tcW w:w="0" w:type="auto"/>
            <w:tcBorders>
              <w:top w:val="nil"/>
              <w:left w:val="nil"/>
              <w:bottom w:val="single" w:sz="4" w:space="0" w:color="auto"/>
              <w:right w:val="single" w:sz="4" w:space="0" w:color="auto"/>
            </w:tcBorders>
            <w:shd w:val="clear" w:color="000000" w:fill="E2EFDA"/>
            <w:noWrap/>
            <w:vAlign w:val="bottom"/>
            <w:hideMark/>
          </w:tcPr>
          <w:p w14:paraId="07D14815"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116 </w:t>
            </w:r>
          </w:p>
        </w:tc>
        <w:tc>
          <w:tcPr>
            <w:tcW w:w="0" w:type="auto"/>
            <w:tcBorders>
              <w:top w:val="nil"/>
              <w:left w:val="nil"/>
              <w:bottom w:val="single" w:sz="4" w:space="0" w:color="auto"/>
              <w:right w:val="single" w:sz="4" w:space="0" w:color="auto"/>
            </w:tcBorders>
            <w:shd w:val="clear" w:color="000000" w:fill="E2EFDA"/>
            <w:noWrap/>
            <w:vAlign w:val="bottom"/>
            <w:hideMark/>
          </w:tcPr>
          <w:p w14:paraId="02C70634"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172 </w:t>
            </w:r>
          </w:p>
        </w:tc>
        <w:tc>
          <w:tcPr>
            <w:tcW w:w="0" w:type="auto"/>
            <w:tcBorders>
              <w:top w:val="nil"/>
              <w:left w:val="nil"/>
              <w:bottom w:val="single" w:sz="4" w:space="0" w:color="auto"/>
              <w:right w:val="single" w:sz="4" w:space="0" w:color="auto"/>
            </w:tcBorders>
            <w:shd w:val="clear" w:color="000000" w:fill="E2EFDA"/>
            <w:noWrap/>
            <w:vAlign w:val="bottom"/>
            <w:hideMark/>
          </w:tcPr>
          <w:p w14:paraId="2845B1B0"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387 </w:t>
            </w:r>
          </w:p>
        </w:tc>
        <w:tc>
          <w:tcPr>
            <w:tcW w:w="0" w:type="auto"/>
            <w:tcBorders>
              <w:top w:val="nil"/>
              <w:left w:val="nil"/>
              <w:bottom w:val="single" w:sz="4" w:space="0" w:color="auto"/>
              <w:right w:val="single" w:sz="4" w:space="0" w:color="auto"/>
            </w:tcBorders>
            <w:shd w:val="clear" w:color="000000" w:fill="E2EFDA"/>
            <w:noWrap/>
            <w:vAlign w:val="bottom"/>
            <w:hideMark/>
          </w:tcPr>
          <w:p w14:paraId="14BE7AA5"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230 </w:t>
            </w:r>
          </w:p>
        </w:tc>
        <w:tc>
          <w:tcPr>
            <w:tcW w:w="0" w:type="auto"/>
            <w:tcBorders>
              <w:top w:val="nil"/>
              <w:left w:val="nil"/>
              <w:bottom w:val="single" w:sz="4" w:space="0" w:color="auto"/>
              <w:right w:val="single" w:sz="4" w:space="0" w:color="auto"/>
            </w:tcBorders>
            <w:shd w:val="clear" w:color="000000" w:fill="E2EFDA"/>
            <w:noWrap/>
            <w:vAlign w:val="bottom"/>
            <w:hideMark/>
          </w:tcPr>
          <w:p w14:paraId="6A73BDE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237 </w:t>
            </w:r>
          </w:p>
        </w:tc>
        <w:tc>
          <w:tcPr>
            <w:tcW w:w="0" w:type="auto"/>
            <w:tcBorders>
              <w:top w:val="nil"/>
              <w:left w:val="nil"/>
              <w:bottom w:val="single" w:sz="4" w:space="0" w:color="auto"/>
              <w:right w:val="single" w:sz="4" w:space="0" w:color="auto"/>
            </w:tcBorders>
            <w:shd w:val="clear" w:color="000000" w:fill="E2EFDA"/>
            <w:noWrap/>
            <w:vAlign w:val="bottom"/>
            <w:hideMark/>
          </w:tcPr>
          <w:p w14:paraId="7549C020"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        623 </w:t>
            </w:r>
          </w:p>
        </w:tc>
      </w:tr>
      <w:tr w:rsidR="007F09C3" w:rsidRPr="007F09C3" w14:paraId="4AFCB801" w14:textId="77777777" w:rsidTr="00E3409C">
        <w:trPr>
          <w:trHeight w:val="290"/>
        </w:trPr>
        <w:tc>
          <w:tcPr>
            <w:tcW w:w="0" w:type="auto"/>
            <w:tcBorders>
              <w:top w:val="nil"/>
              <w:left w:val="single" w:sz="4" w:space="0" w:color="auto"/>
              <w:bottom w:val="single" w:sz="4" w:space="0" w:color="auto"/>
              <w:right w:val="single" w:sz="4" w:space="0" w:color="auto"/>
            </w:tcBorders>
            <w:shd w:val="clear" w:color="000000" w:fill="0000FF"/>
            <w:noWrap/>
            <w:vAlign w:val="bottom"/>
            <w:hideMark/>
          </w:tcPr>
          <w:p w14:paraId="5F364CB5"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Total general</w:t>
            </w:r>
          </w:p>
        </w:tc>
        <w:tc>
          <w:tcPr>
            <w:tcW w:w="0" w:type="auto"/>
            <w:tcBorders>
              <w:top w:val="nil"/>
              <w:left w:val="nil"/>
              <w:bottom w:val="single" w:sz="4" w:space="0" w:color="auto"/>
              <w:right w:val="single" w:sz="4" w:space="0" w:color="auto"/>
            </w:tcBorders>
            <w:shd w:val="clear" w:color="000000" w:fill="375623"/>
            <w:noWrap/>
            <w:vAlign w:val="bottom"/>
            <w:hideMark/>
          </w:tcPr>
          <w:p w14:paraId="4129AE8B"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 $  17.998 </w:t>
            </w:r>
          </w:p>
        </w:tc>
        <w:tc>
          <w:tcPr>
            <w:tcW w:w="0" w:type="auto"/>
            <w:tcBorders>
              <w:top w:val="nil"/>
              <w:left w:val="nil"/>
              <w:bottom w:val="single" w:sz="4" w:space="0" w:color="auto"/>
              <w:right w:val="single" w:sz="4" w:space="0" w:color="auto"/>
            </w:tcBorders>
            <w:shd w:val="clear" w:color="000000" w:fill="375623"/>
            <w:noWrap/>
            <w:vAlign w:val="bottom"/>
            <w:hideMark/>
          </w:tcPr>
          <w:p w14:paraId="7719EED2"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 $  15.721 </w:t>
            </w:r>
          </w:p>
        </w:tc>
        <w:tc>
          <w:tcPr>
            <w:tcW w:w="0" w:type="auto"/>
            <w:tcBorders>
              <w:top w:val="nil"/>
              <w:left w:val="nil"/>
              <w:bottom w:val="single" w:sz="4" w:space="0" w:color="auto"/>
              <w:right w:val="single" w:sz="4" w:space="0" w:color="auto"/>
            </w:tcBorders>
            <w:shd w:val="clear" w:color="000000" w:fill="375623"/>
            <w:noWrap/>
            <w:vAlign w:val="bottom"/>
            <w:hideMark/>
          </w:tcPr>
          <w:p w14:paraId="38EBF6CF"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 $  18.806 </w:t>
            </w:r>
          </w:p>
        </w:tc>
        <w:tc>
          <w:tcPr>
            <w:tcW w:w="0" w:type="auto"/>
            <w:tcBorders>
              <w:top w:val="nil"/>
              <w:left w:val="nil"/>
              <w:bottom w:val="single" w:sz="4" w:space="0" w:color="auto"/>
              <w:right w:val="single" w:sz="4" w:space="0" w:color="auto"/>
            </w:tcBorders>
            <w:shd w:val="clear" w:color="000000" w:fill="375623"/>
            <w:noWrap/>
            <w:vAlign w:val="bottom"/>
            <w:hideMark/>
          </w:tcPr>
          <w:p w14:paraId="4F683B3D"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 $   19.672 </w:t>
            </w:r>
          </w:p>
        </w:tc>
        <w:tc>
          <w:tcPr>
            <w:tcW w:w="0" w:type="auto"/>
            <w:tcBorders>
              <w:top w:val="nil"/>
              <w:left w:val="nil"/>
              <w:bottom w:val="single" w:sz="4" w:space="0" w:color="auto"/>
              <w:right w:val="single" w:sz="4" w:space="0" w:color="auto"/>
            </w:tcBorders>
            <w:shd w:val="clear" w:color="000000" w:fill="375623"/>
            <w:noWrap/>
            <w:vAlign w:val="bottom"/>
            <w:hideMark/>
          </w:tcPr>
          <w:p w14:paraId="6CB57D68"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 $   19.408 </w:t>
            </w:r>
          </w:p>
        </w:tc>
        <w:tc>
          <w:tcPr>
            <w:tcW w:w="0" w:type="auto"/>
            <w:tcBorders>
              <w:top w:val="nil"/>
              <w:left w:val="nil"/>
              <w:bottom w:val="single" w:sz="4" w:space="0" w:color="auto"/>
              <w:right w:val="single" w:sz="4" w:space="0" w:color="auto"/>
            </w:tcBorders>
            <w:shd w:val="clear" w:color="000000" w:fill="375623"/>
            <w:noWrap/>
            <w:vAlign w:val="bottom"/>
            <w:hideMark/>
          </w:tcPr>
          <w:p w14:paraId="0998EE5A" w14:textId="77777777" w:rsidR="007F09C3" w:rsidRPr="007F09C3" w:rsidRDefault="007F09C3" w:rsidP="007F09C3">
            <w:pPr>
              <w:rPr>
                <w:rFonts w:ascii="Arial Narrow" w:hAnsi="Arial Narrow" w:cs="Calibri"/>
                <w:b/>
                <w:bCs/>
                <w:color w:val="FFFFFF"/>
                <w:sz w:val="24"/>
                <w:szCs w:val="24"/>
                <w:lang w:eastAsia="es-CO"/>
              </w:rPr>
            </w:pPr>
            <w:r w:rsidRPr="007F09C3">
              <w:rPr>
                <w:rFonts w:ascii="Arial Narrow" w:hAnsi="Arial Narrow" w:cs="Calibri"/>
                <w:b/>
                <w:bCs/>
                <w:color w:val="FFFFFF"/>
                <w:sz w:val="24"/>
                <w:szCs w:val="24"/>
                <w:lang w:eastAsia="es-CO"/>
              </w:rPr>
              <w:t xml:space="preserve"> $   38.214 </w:t>
            </w:r>
          </w:p>
        </w:tc>
      </w:tr>
    </w:tbl>
    <w:p w14:paraId="5C2BD8E0"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  </w:t>
      </w:r>
    </w:p>
    <w:p w14:paraId="192BF367" w14:textId="18086D5D"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Aún, así, el crecimiento potencial de la cartera dependerá en buena medida de dos estrategias fundamentales:  La renovación de la base social, es decir, un proceso ordenado de “Relevo Generacional” durante la siguiente década que permita el ingreso de asociados jóvenes que demanden crédito y la Compra de Cartera de asociados Pensionados para evitar una deserción masiva en el corto plazo con los consecuentes riesgos de descapitalización y en una fuerte competencia con otras entidades como el Banco </w:t>
      </w:r>
      <w:r w:rsidR="00BF7B03">
        <w:rPr>
          <w:rFonts w:ascii="Arial Narrow" w:hAnsi="Arial Narrow"/>
          <w:sz w:val="24"/>
          <w:szCs w:val="24"/>
        </w:rPr>
        <w:t>Davivienda</w:t>
      </w:r>
      <w:r w:rsidRPr="007F09C3">
        <w:rPr>
          <w:rFonts w:ascii="Arial Narrow" w:hAnsi="Arial Narrow"/>
          <w:sz w:val="24"/>
          <w:szCs w:val="24"/>
        </w:rPr>
        <w:t xml:space="preserve">, BBVA y otras entidades cooperativas como </w:t>
      </w:r>
      <w:r w:rsidR="007D2239">
        <w:rPr>
          <w:rFonts w:ascii="Arial Narrow" w:hAnsi="Arial Narrow"/>
          <w:sz w:val="24"/>
          <w:szCs w:val="24"/>
        </w:rPr>
        <w:t>___________</w:t>
      </w:r>
      <w:r w:rsidRPr="007F09C3">
        <w:rPr>
          <w:rFonts w:ascii="Arial Narrow" w:hAnsi="Arial Narrow"/>
          <w:sz w:val="24"/>
          <w:szCs w:val="24"/>
        </w:rPr>
        <w:t>, dado que el promedio de edad es de 56 años y se observa que entre mayor es la edad, menor es el uso del crédito como se observa en el siguiente cuadro:</w:t>
      </w:r>
    </w:p>
    <w:p w14:paraId="46256AB8" w14:textId="77777777" w:rsidR="007F09C3" w:rsidRPr="007F09C3" w:rsidRDefault="007F09C3" w:rsidP="007F09C3">
      <w:pPr>
        <w:jc w:val="both"/>
        <w:rPr>
          <w:rFonts w:ascii="Arial Narrow" w:hAnsi="Arial Narrow"/>
          <w:sz w:val="24"/>
          <w:szCs w:val="24"/>
        </w:rPr>
      </w:pPr>
    </w:p>
    <w:tbl>
      <w:tblPr>
        <w:tblW w:w="0" w:type="auto"/>
        <w:tblCellMar>
          <w:left w:w="70" w:type="dxa"/>
          <w:right w:w="70" w:type="dxa"/>
        </w:tblCellMar>
        <w:tblLook w:val="04A0" w:firstRow="1" w:lastRow="0" w:firstColumn="1" w:lastColumn="0" w:noHBand="0" w:noVBand="1"/>
      </w:tblPr>
      <w:tblGrid>
        <w:gridCol w:w="1749"/>
        <w:gridCol w:w="578"/>
        <w:gridCol w:w="907"/>
        <w:gridCol w:w="907"/>
        <w:gridCol w:w="972"/>
        <w:gridCol w:w="1071"/>
        <w:gridCol w:w="1071"/>
        <w:gridCol w:w="1071"/>
      </w:tblGrid>
      <w:tr w:rsidR="007F09C3" w:rsidRPr="007F09C3" w14:paraId="28BE4318" w14:textId="77777777" w:rsidTr="00E3409C">
        <w:trPr>
          <w:trHeight w:val="290"/>
        </w:trPr>
        <w:tc>
          <w:tcPr>
            <w:tcW w:w="0" w:type="auto"/>
            <w:tcBorders>
              <w:top w:val="nil"/>
              <w:left w:val="nil"/>
              <w:bottom w:val="single" w:sz="4" w:space="0" w:color="D9E1F2"/>
              <w:right w:val="nil"/>
            </w:tcBorders>
            <w:shd w:val="clear" w:color="305496" w:fill="305496"/>
            <w:noWrap/>
            <w:vAlign w:val="center"/>
            <w:hideMark/>
          </w:tcPr>
          <w:p w14:paraId="247BE671"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DESCUBIERTO</w:t>
            </w:r>
          </w:p>
        </w:tc>
        <w:tc>
          <w:tcPr>
            <w:tcW w:w="0" w:type="auto"/>
            <w:tcBorders>
              <w:top w:val="nil"/>
              <w:left w:val="nil"/>
              <w:bottom w:val="single" w:sz="4" w:space="0" w:color="B4C6E7"/>
              <w:right w:val="nil"/>
            </w:tcBorders>
            <w:shd w:val="clear" w:color="305496" w:fill="305496"/>
            <w:noWrap/>
            <w:vAlign w:val="center"/>
            <w:hideMark/>
          </w:tcPr>
          <w:p w14:paraId="40444F79"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w:t>
            </w:r>
          </w:p>
        </w:tc>
        <w:tc>
          <w:tcPr>
            <w:tcW w:w="0" w:type="auto"/>
            <w:tcBorders>
              <w:top w:val="nil"/>
              <w:left w:val="nil"/>
              <w:bottom w:val="single" w:sz="4" w:space="0" w:color="B4C6E7"/>
              <w:right w:val="nil"/>
            </w:tcBorders>
            <w:shd w:val="clear" w:color="305496" w:fill="305496"/>
            <w:noWrap/>
            <w:vAlign w:val="center"/>
            <w:hideMark/>
          </w:tcPr>
          <w:p w14:paraId="17A9A74E"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 xml:space="preserve"> </w:t>
            </w:r>
            <w:proofErr w:type="spellStart"/>
            <w:r w:rsidRPr="007F09C3">
              <w:rPr>
                <w:rFonts w:ascii="Arial Narrow" w:hAnsi="Arial Narrow" w:cs="Calibri"/>
                <w:color w:val="FFFFFF"/>
                <w:sz w:val="24"/>
                <w:szCs w:val="24"/>
                <w:lang w:eastAsia="es-CO"/>
              </w:rPr>
              <w:t>Ant</w:t>
            </w:r>
            <w:proofErr w:type="spellEnd"/>
            <w:r w:rsidRPr="007F09C3">
              <w:rPr>
                <w:rFonts w:ascii="Arial Narrow" w:hAnsi="Arial Narrow" w:cs="Calibri"/>
                <w:color w:val="FFFFFF"/>
                <w:sz w:val="24"/>
                <w:szCs w:val="24"/>
                <w:lang w:eastAsia="es-CO"/>
              </w:rPr>
              <w:t xml:space="preserve"> </w:t>
            </w:r>
          </w:p>
        </w:tc>
        <w:tc>
          <w:tcPr>
            <w:tcW w:w="0" w:type="auto"/>
            <w:tcBorders>
              <w:top w:val="nil"/>
              <w:left w:val="nil"/>
              <w:bottom w:val="single" w:sz="4" w:space="0" w:color="B4C6E7"/>
              <w:right w:val="nil"/>
            </w:tcBorders>
            <w:shd w:val="clear" w:color="305496" w:fill="305496"/>
            <w:noWrap/>
            <w:vAlign w:val="center"/>
            <w:hideMark/>
          </w:tcPr>
          <w:p w14:paraId="628426B6"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 xml:space="preserve"> Edad  </w:t>
            </w:r>
          </w:p>
        </w:tc>
        <w:tc>
          <w:tcPr>
            <w:tcW w:w="0" w:type="auto"/>
            <w:tcBorders>
              <w:top w:val="nil"/>
              <w:left w:val="nil"/>
              <w:bottom w:val="single" w:sz="4" w:space="0" w:color="B4C6E7"/>
              <w:right w:val="nil"/>
            </w:tcBorders>
            <w:shd w:val="clear" w:color="305496" w:fill="305496"/>
            <w:noWrap/>
            <w:vAlign w:val="center"/>
            <w:hideMark/>
          </w:tcPr>
          <w:p w14:paraId="02CE09FC"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Otros Ah.</w:t>
            </w:r>
          </w:p>
        </w:tc>
        <w:tc>
          <w:tcPr>
            <w:tcW w:w="0" w:type="auto"/>
            <w:tcBorders>
              <w:top w:val="nil"/>
              <w:left w:val="nil"/>
              <w:bottom w:val="single" w:sz="4" w:space="0" w:color="B4C6E7"/>
              <w:right w:val="nil"/>
            </w:tcBorders>
            <w:shd w:val="clear" w:color="305496" w:fill="305496"/>
            <w:noWrap/>
            <w:vAlign w:val="center"/>
            <w:hideMark/>
          </w:tcPr>
          <w:p w14:paraId="3561B14F" w14:textId="77777777" w:rsidR="007F09C3" w:rsidRPr="007F09C3" w:rsidRDefault="007F09C3" w:rsidP="007F09C3">
            <w:pPr>
              <w:jc w:val="center"/>
              <w:rPr>
                <w:rFonts w:ascii="Arial Narrow" w:hAnsi="Arial Narrow" w:cs="Calibri"/>
                <w:color w:val="FFFFFF"/>
                <w:sz w:val="24"/>
                <w:szCs w:val="24"/>
                <w:lang w:eastAsia="es-CO"/>
              </w:rPr>
            </w:pPr>
            <w:proofErr w:type="spellStart"/>
            <w:r w:rsidRPr="007F09C3">
              <w:rPr>
                <w:rFonts w:ascii="Arial Narrow" w:hAnsi="Arial Narrow" w:cs="Calibri"/>
                <w:color w:val="FFFFFF"/>
                <w:sz w:val="24"/>
                <w:szCs w:val="24"/>
                <w:lang w:eastAsia="es-CO"/>
              </w:rPr>
              <w:t>Ap</w:t>
            </w:r>
            <w:proofErr w:type="spellEnd"/>
            <w:r w:rsidRPr="007F09C3">
              <w:rPr>
                <w:rFonts w:ascii="Arial Narrow" w:hAnsi="Arial Narrow" w:cs="Calibri"/>
                <w:color w:val="FFFFFF"/>
                <w:sz w:val="24"/>
                <w:szCs w:val="24"/>
                <w:lang w:eastAsia="es-CO"/>
              </w:rPr>
              <w:t xml:space="preserve"> + </w:t>
            </w:r>
            <w:proofErr w:type="spellStart"/>
            <w:r w:rsidRPr="007F09C3">
              <w:rPr>
                <w:rFonts w:ascii="Arial Narrow" w:hAnsi="Arial Narrow" w:cs="Calibri"/>
                <w:color w:val="FFFFFF"/>
                <w:sz w:val="24"/>
                <w:szCs w:val="24"/>
                <w:lang w:eastAsia="es-CO"/>
              </w:rPr>
              <w:t>Ahp</w:t>
            </w:r>
            <w:proofErr w:type="spellEnd"/>
          </w:p>
        </w:tc>
        <w:tc>
          <w:tcPr>
            <w:tcW w:w="0" w:type="auto"/>
            <w:tcBorders>
              <w:top w:val="nil"/>
              <w:left w:val="nil"/>
              <w:bottom w:val="single" w:sz="4" w:space="0" w:color="B4C6E7"/>
              <w:right w:val="nil"/>
            </w:tcBorders>
            <w:shd w:val="clear" w:color="305496" w:fill="305496"/>
            <w:noWrap/>
            <w:vAlign w:val="center"/>
            <w:hideMark/>
          </w:tcPr>
          <w:p w14:paraId="7FDBF658"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Consumo</w:t>
            </w:r>
          </w:p>
        </w:tc>
        <w:tc>
          <w:tcPr>
            <w:tcW w:w="0" w:type="auto"/>
            <w:tcBorders>
              <w:top w:val="nil"/>
              <w:left w:val="nil"/>
              <w:bottom w:val="single" w:sz="4" w:space="0" w:color="B4C6E7"/>
              <w:right w:val="nil"/>
            </w:tcBorders>
            <w:shd w:val="clear" w:color="305496" w:fill="305496"/>
            <w:noWrap/>
            <w:vAlign w:val="center"/>
            <w:hideMark/>
          </w:tcPr>
          <w:p w14:paraId="34868C39" w14:textId="77777777" w:rsidR="007F09C3" w:rsidRPr="007F09C3" w:rsidRDefault="007F09C3" w:rsidP="007F09C3">
            <w:pPr>
              <w:jc w:val="center"/>
              <w:rPr>
                <w:rFonts w:ascii="Arial Narrow" w:hAnsi="Arial Narrow" w:cs="Calibri"/>
                <w:color w:val="FFFFFF"/>
                <w:sz w:val="24"/>
                <w:szCs w:val="24"/>
                <w:lang w:eastAsia="es-CO"/>
              </w:rPr>
            </w:pPr>
            <w:r w:rsidRPr="007F09C3">
              <w:rPr>
                <w:rFonts w:ascii="Arial Narrow" w:hAnsi="Arial Narrow" w:cs="Calibri"/>
                <w:color w:val="FFFFFF"/>
                <w:sz w:val="24"/>
                <w:szCs w:val="24"/>
                <w:lang w:eastAsia="es-CO"/>
              </w:rPr>
              <w:t>Vivienda</w:t>
            </w:r>
          </w:p>
        </w:tc>
      </w:tr>
      <w:tr w:rsidR="007F09C3" w:rsidRPr="007F09C3" w14:paraId="2E2CF8B8"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2620C823"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0. Ex - Asociado</w:t>
            </w:r>
          </w:p>
        </w:tc>
        <w:tc>
          <w:tcPr>
            <w:tcW w:w="0" w:type="auto"/>
            <w:tcBorders>
              <w:top w:val="single" w:sz="4" w:space="0" w:color="D9E1F2"/>
              <w:left w:val="nil"/>
              <w:bottom w:val="single" w:sz="4" w:space="0" w:color="D9E1F2"/>
              <w:right w:val="nil"/>
            </w:tcBorders>
            <w:shd w:val="clear" w:color="auto" w:fill="auto"/>
            <w:noWrap/>
            <w:vAlign w:val="bottom"/>
            <w:hideMark/>
          </w:tcPr>
          <w:p w14:paraId="52AAA714"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87</w:t>
            </w:r>
          </w:p>
        </w:tc>
        <w:tc>
          <w:tcPr>
            <w:tcW w:w="0" w:type="auto"/>
            <w:tcBorders>
              <w:top w:val="single" w:sz="4" w:space="0" w:color="D9E1F2"/>
              <w:left w:val="nil"/>
              <w:bottom w:val="single" w:sz="4" w:space="0" w:color="D9E1F2"/>
              <w:right w:val="nil"/>
            </w:tcBorders>
            <w:shd w:val="clear" w:color="auto" w:fill="auto"/>
            <w:noWrap/>
            <w:vAlign w:val="bottom"/>
          </w:tcPr>
          <w:p w14:paraId="77D8853A" w14:textId="77777777" w:rsidR="007F09C3" w:rsidRPr="007F09C3" w:rsidRDefault="007F09C3" w:rsidP="007F09C3">
            <w:pPr>
              <w:jc w:val="center"/>
              <w:rPr>
                <w:rFonts w:ascii="Arial Narrow" w:hAnsi="Arial Narrow" w:cs="Calibri"/>
                <w:color w:val="000000"/>
                <w:sz w:val="24"/>
                <w:szCs w:val="24"/>
                <w:lang w:eastAsia="es-CO"/>
              </w:rPr>
            </w:pPr>
          </w:p>
        </w:tc>
        <w:tc>
          <w:tcPr>
            <w:tcW w:w="0" w:type="auto"/>
            <w:tcBorders>
              <w:top w:val="single" w:sz="4" w:space="0" w:color="D9E1F2"/>
              <w:left w:val="nil"/>
              <w:bottom w:val="single" w:sz="4" w:space="0" w:color="D9E1F2"/>
              <w:right w:val="nil"/>
            </w:tcBorders>
            <w:shd w:val="clear" w:color="auto" w:fill="auto"/>
            <w:noWrap/>
            <w:vAlign w:val="bottom"/>
          </w:tcPr>
          <w:p w14:paraId="487BEF8A" w14:textId="77777777" w:rsidR="007F09C3" w:rsidRPr="007F09C3" w:rsidRDefault="007F09C3" w:rsidP="007F09C3">
            <w:pPr>
              <w:jc w:val="center"/>
              <w:rPr>
                <w:rFonts w:ascii="Arial Narrow" w:hAnsi="Arial Narrow" w:cs="Calibri"/>
                <w:color w:val="000000"/>
                <w:sz w:val="24"/>
                <w:szCs w:val="24"/>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55A16982" w14:textId="77777777" w:rsidR="007F09C3" w:rsidRPr="007F09C3" w:rsidRDefault="007F09C3" w:rsidP="007F09C3">
            <w:pPr>
              <w:jc w:val="center"/>
              <w:rPr>
                <w:rFonts w:ascii="Arial Narrow" w:hAnsi="Arial Narrow" w:cs="Calibri"/>
                <w:color w:val="000000"/>
                <w:sz w:val="24"/>
                <w:szCs w:val="24"/>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2C597B0B" w14:textId="77777777" w:rsidR="007F09C3" w:rsidRPr="007F09C3" w:rsidRDefault="007F09C3" w:rsidP="007F09C3">
            <w:pPr>
              <w:rPr>
                <w:rFonts w:ascii="Arial Narrow" w:hAnsi="Arial Narrow"/>
                <w:sz w:val="24"/>
                <w:szCs w:val="24"/>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7FD20E2A"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$ 793,2</w:t>
            </w:r>
          </w:p>
        </w:tc>
        <w:tc>
          <w:tcPr>
            <w:tcW w:w="0" w:type="auto"/>
            <w:tcBorders>
              <w:top w:val="single" w:sz="4" w:space="0" w:color="D9E1F2"/>
              <w:left w:val="nil"/>
              <w:bottom w:val="single" w:sz="4" w:space="0" w:color="D9E1F2"/>
              <w:right w:val="nil"/>
            </w:tcBorders>
            <w:shd w:val="clear" w:color="auto" w:fill="auto"/>
            <w:noWrap/>
            <w:vAlign w:val="bottom"/>
            <w:hideMark/>
          </w:tcPr>
          <w:p w14:paraId="387651CD"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$ 799,8</w:t>
            </w:r>
          </w:p>
        </w:tc>
      </w:tr>
      <w:tr w:rsidR="007F09C3" w:rsidRPr="007F09C3" w14:paraId="69310C45"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0E4E7D1E"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1. Sin Cartera</w:t>
            </w:r>
          </w:p>
        </w:tc>
        <w:tc>
          <w:tcPr>
            <w:tcW w:w="0" w:type="auto"/>
            <w:tcBorders>
              <w:top w:val="single" w:sz="4" w:space="0" w:color="D9E1F2"/>
              <w:left w:val="nil"/>
              <w:bottom w:val="single" w:sz="4" w:space="0" w:color="D9E1F2"/>
              <w:right w:val="nil"/>
            </w:tcBorders>
            <w:shd w:val="clear" w:color="auto" w:fill="auto"/>
            <w:noWrap/>
            <w:vAlign w:val="bottom"/>
            <w:hideMark/>
          </w:tcPr>
          <w:p w14:paraId="7422AC4E"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676</w:t>
            </w:r>
          </w:p>
        </w:tc>
        <w:tc>
          <w:tcPr>
            <w:tcW w:w="0" w:type="auto"/>
            <w:tcBorders>
              <w:top w:val="single" w:sz="4" w:space="0" w:color="D9E1F2"/>
              <w:left w:val="nil"/>
              <w:bottom w:val="single" w:sz="4" w:space="0" w:color="D9E1F2"/>
              <w:right w:val="nil"/>
            </w:tcBorders>
            <w:shd w:val="clear" w:color="auto" w:fill="auto"/>
            <w:noWrap/>
            <w:vAlign w:val="bottom"/>
            <w:hideMark/>
          </w:tcPr>
          <w:p w14:paraId="71392651"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7,2 </w:t>
            </w:r>
          </w:p>
        </w:tc>
        <w:tc>
          <w:tcPr>
            <w:tcW w:w="0" w:type="auto"/>
            <w:tcBorders>
              <w:top w:val="single" w:sz="4" w:space="0" w:color="D9E1F2"/>
              <w:left w:val="nil"/>
              <w:bottom w:val="single" w:sz="4" w:space="0" w:color="D9E1F2"/>
              <w:right w:val="nil"/>
            </w:tcBorders>
            <w:shd w:val="clear" w:color="auto" w:fill="auto"/>
            <w:noWrap/>
            <w:vAlign w:val="bottom"/>
            <w:hideMark/>
          </w:tcPr>
          <w:p w14:paraId="387FE68A"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54,9 </w:t>
            </w:r>
          </w:p>
        </w:tc>
        <w:tc>
          <w:tcPr>
            <w:tcW w:w="0" w:type="auto"/>
            <w:tcBorders>
              <w:top w:val="single" w:sz="4" w:space="0" w:color="D9E1F2"/>
              <w:left w:val="nil"/>
              <w:bottom w:val="single" w:sz="4" w:space="0" w:color="D9E1F2"/>
              <w:right w:val="nil"/>
            </w:tcBorders>
            <w:shd w:val="clear" w:color="auto" w:fill="auto"/>
            <w:noWrap/>
            <w:vAlign w:val="bottom"/>
            <w:hideMark/>
          </w:tcPr>
          <w:p w14:paraId="1DBC1261"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$ 19,2</w:t>
            </w:r>
          </w:p>
        </w:tc>
        <w:tc>
          <w:tcPr>
            <w:tcW w:w="0" w:type="auto"/>
            <w:tcBorders>
              <w:top w:val="single" w:sz="4" w:space="0" w:color="D9E1F2"/>
              <w:left w:val="nil"/>
              <w:bottom w:val="single" w:sz="4" w:space="0" w:color="D9E1F2"/>
              <w:right w:val="nil"/>
            </w:tcBorders>
            <w:shd w:val="clear" w:color="auto" w:fill="auto"/>
            <w:noWrap/>
            <w:vAlign w:val="bottom"/>
            <w:hideMark/>
          </w:tcPr>
          <w:p w14:paraId="5319C956"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$ 3.956,9</w:t>
            </w:r>
          </w:p>
        </w:tc>
        <w:tc>
          <w:tcPr>
            <w:tcW w:w="0" w:type="auto"/>
            <w:tcBorders>
              <w:top w:val="single" w:sz="4" w:space="0" w:color="D9E1F2"/>
              <w:left w:val="nil"/>
              <w:bottom w:val="single" w:sz="4" w:space="0" w:color="D9E1F2"/>
              <w:right w:val="nil"/>
            </w:tcBorders>
            <w:shd w:val="clear" w:color="auto" w:fill="auto"/>
            <w:noWrap/>
            <w:vAlign w:val="bottom"/>
            <w:hideMark/>
          </w:tcPr>
          <w:p w14:paraId="1F4DC7A1" w14:textId="77777777" w:rsidR="007F09C3" w:rsidRPr="007F09C3" w:rsidRDefault="007F09C3" w:rsidP="007F09C3">
            <w:pPr>
              <w:jc w:val="right"/>
              <w:rPr>
                <w:rFonts w:ascii="Arial Narrow" w:hAnsi="Arial Narrow" w:cs="Calibri"/>
                <w:color w:val="000000"/>
                <w:sz w:val="24"/>
                <w:szCs w:val="24"/>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05F027BC" w14:textId="77777777" w:rsidR="007F09C3" w:rsidRPr="007F09C3" w:rsidRDefault="007F09C3" w:rsidP="007F09C3">
            <w:pPr>
              <w:rPr>
                <w:rFonts w:ascii="Arial Narrow" w:hAnsi="Arial Narrow"/>
                <w:sz w:val="24"/>
                <w:szCs w:val="24"/>
                <w:lang w:eastAsia="es-CO"/>
              </w:rPr>
            </w:pPr>
          </w:p>
        </w:tc>
      </w:tr>
      <w:tr w:rsidR="007F09C3" w:rsidRPr="007F09C3" w14:paraId="17A420DE"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19B09D05"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2. Sin Descubierto</w:t>
            </w:r>
          </w:p>
        </w:tc>
        <w:tc>
          <w:tcPr>
            <w:tcW w:w="0" w:type="auto"/>
            <w:tcBorders>
              <w:top w:val="single" w:sz="4" w:space="0" w:color="D9E1F2"/>
              <w:left w:val="nil"/>
              <w:bottom w:val="single" w:sz="4" w:space="0" w:color="D9E1F2"/>
              <w:right w:val="nil"/>
            </w:tcBorders>
            <w:shd w:val="clear" w:color="auto" w:fill="auto"/>
            <w:noWrap/>
            <w:vAlign w:val="bottom"/>
            <w:hideMark/>
          </w:tcPr>
          <w:p w14:paraId="27847626"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449</w:t>
            </w:r>
          </w:p>
        </w:tc>
        <w:tc>
          <w:tcPr>
            <w:tcW w:w="0" w:type="auto"/>
            <w:tcBorders>
              <w:top w:val="single" w:sz="4" w:space="0" w:color="D9E1F2"/>
              <w:left w:val="nil"/>
              <w:bottom w:val="single" w:sz="4" w:space="0" w:color="D9E1F2"/>
              <w:right w:val="nil"/>
            </w:tcBorders>
            <w:shd w:val="clear" w:color="auto" w:fill="auto"/>
            <w:noWrap/>
            <w:vAlign w:val="bottom"/>
            <w:hideMark/>
          </w:tcPr>
          <w:p w14:paraId="1FB56586"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12,4 </w:t>
            </w:r>
          </w:p>
        </w:tc>
        <w:tc>
          <w:tcPr>
            <w:tcW w:w="0" w:type="auto"/>
            <w:tcBorders>
              <w:top w:val="single" w:sz="4" w:space="0" w:color="D9E1F2"/>
              <w:left w:val="nil"/>
              <w:bottom w:val="single" w:sz="4" w:space="0" w:color="D9E1F2"/>
              <w:right w:val="nil"/>
            </w:tcBorders>
            <w:shd w:val="clear" w:color="auto" w:fill="auto"/>
            <w:noWrap/>
            <w:vAlign w:val="bottom"/>
            <w:hideMark/>
          </w:tcPr>
          <w:p w14:paraId="0D0497B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57,3 </w:t>
            </w:r>
          </w:p>
        </w:tc>
        <w:tc>
          <w:tcPr>
            <w:tcW w:w="0" w:type="auto"/>
            <w:tcBorders>
              <w:top w:val="single" w:sz="4" w:space="0" w:color="D9E1F2"/>
              <w:left w:val="nil"/>
              <w:bottom w:val="single" w:sz="4" w:space="0" w:color="D9E1F2"/>
              <w:right w:val="nil"/>
            </w:tcBorders>
            <w:shd w:val="clear" w:color="auto" w:fill="auto"/>
            <w:noWrap/>
            <w:vAlign w:val="bottom"/>
            <w:hideMark/>
          </w:tcPr>
          <w:p w14:paraId="043D9071"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$ 56,6</w:t>
            </w:r>
          </w:p>
        </w:tc>
        <w:tc>
          <w:tcPr>
            <w:tcW w:w="0" w:type="auto"/>
            <w:tcBorders>
              <w:top w:val="single" w:sz="4" w:space="0" w:color="D9E1F2"/>
              <w:left w:val="nil"/>
              <w:bottom w:val="single" w:sz="4" w:space="0" w:color="D9E1F2"/>
              <w:right w:val="nil"/>
            </w:tcBorders>
            <w:shd w:val="clear" w:color="auto" w:fill="auto"/>
            <w:noWrap/>
            <w:vAlign w:val="bottom"/>
            <w:hideMark/>
          </w:tcPr>
          <w:p w14:paraId="48DAF8AC"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$ 4.957,1</w:t>
            </w:r>
          </w:p>
        </w:tc>
        <w:tc>
          <w:tcPr>
            <w:tcW w:w="0" w:type="auto"/>
            <w:tcBorders>
              <w:top w:val="single" w:sz="4" w:space="0" w:color="D9E1F2"/>
              <w:left w:val="nil"/>
              <w:bottom w:val="single" w:sz="4" w:space="0" w:color="D9E1F2"/>
              <w:right w:val="nil"/>
            </w:tcBorders>
            <w:shd w:val="clear" w:color="auto" w:fill="auto"/>
            <w:noWrap/>
            <w:vAlign w:val="bottom"/>
            <w:hideMark/>
          </w:tcPr>
          <w:p w14:paraId="1382AC1D"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$ 2.678,8</w:t>
            </w:r>
          </w:p>
        </w:tc>
        <w:tc>
          <w:tcPr>
            <w:tcW w:w="0" w:type="auto"/>
            <w:tcBorders>
              <w:top w:val="single" w:sz="4" w:space="0" w:color="D9E1F2"/>
              <w:left w:val="nil"/>
              <w:bottom w:val="single" w:sz="4" w:space="0" w:color="D9E1F2"/>
              <w:right w:val="nil"/>
            </w:tcBorders>
            <w:shd w:val="clear" w:color="auto" w:fill="auto"/>
            <w:noWrap/>
            <w:vAlign w:val="bottom"/>
            <w:hideMark/>
          </w:tcPr>
          <w:p w14:paraId="17118EE8"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$ 195,4</w:t>
            </w:r>
          </w:p>
        </w:tc>
      </w:tr>
      <w:tr w:rsidR="007F09C3" w:rsidRPr="007F09C3" w14:paraId="742AE9A1"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0E8D9C2C"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3. Hasta $3 MM</w:t>
            </w:r>
          </w:p>
        </w:tc>
        <w:tc>
          <w:tcPr>
            <w:tcW w:w="0" w:type="auto"/>
            <w:tcBorders>
              <w:top w:val="single" w:sz="4" w:space="0" w:color="D9E1F2"/>
              <w:left w:val="nil"/>
              <w:bottom w:val="single" w:sz="4" w:space="0" w:color="D9E1F2"/>
              <w:right w:val="nil"/>
            </w:tcBorders>
            <w:shd w:val="clear" w:color="auto" w:fill="auto"/>
            <w:noWrap/>
            <w:vAlign w:val="bottom"/>
            <w:hideMark/>
          </w:tcPr>
          <w:p w14:paraId="69AD0E50"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199</w:t>
            </w:r>
          </w:p>
        </w:tc>
        <w:tc>
          <w:tcPr>
            <w:tcW w:w="0" w:type="auto"/>
            <w:tcBorders>
              <w:top w:val="single" w:sz="4" w:space="0" w:color="D9E1F2"/>
              <w:left w:val="nil"/>
              <w:bottom w:val="single" w:sz="4" w:space="0" w:color="D9E1F2"/>
              <w:right w:val="nil"/>
            </w:tcBorders>
            <w:shd w:val="clear" w:color="auto" w:fill="auto"/>
            <w:noWrap/>
            <w:vAlign w:val="bottom"/>
            <w:hideMark/>
          </w:tcPr>
          <w:p w14:paraId="2F0AF41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10,9 </w:t>
            </w:r>
          </w:p>
        </w:tc>
        <w:tc>
          <w:tcPr>
            <w:tcW w:w="0" w:type="auto"/>
            <w:tcBorders>
              <w:top w:val="single" w:sz="4" w:space="0" w:color="D9E1F2"/>
              <w:left w:val="nil"/>
              <w:bottom w:val="single" w:sz="4" w:space="0" w:color="D9E1F2"/>
              <w:right w:val="nil"/>
            </w:tcBorders>
            <w:shd w:val="clear" w:color="auto" w:fill="auto"/>
            <w:noWrap/>
            <w:vAlign w:val="bottom"/>
            <w:hideMark/>
          </w:tcPr>
          <w:p w14:paraId="52431F2C"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56,5 </w:t>
            </w:r>
          </w:p>
        </w:tc>
        <w:tc>
          <w:tcPr>
            <w:tcW w:w="0" w:type="auto"/>
            <w:tcBorders>
              <w:top w:val="single" w:sz="4" w:space="0" w:color="D9E1F2"/>
              <w:left w:val="nil"/>
              <w:bottom w:val="single" w:sz="4" w:space="0" w:color="D9E1F2"/>
              <w:right w:val="nil"/>
            </w:tcBorders>
            <w:shd w:val="clear" w:color="auto" w:fill="auto"/>
            <w:noWrap/>
            <w:vAlign w:val="bottom"/>
            <w:hideMark/>
          </w:tcPr>
          <w:p w14:paraId="740FCEBF"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$ 7,8</w:t>
            </w:r>
          </w:p>
        </w:tc>
        <w:tc>
          <w:tcPr>
            <w:tcW w:w="0" w:type="auto"/>
            <w:tcBorders>
              <w:top w:val="single" w:sz="4" w:space="0" w:color="D9E1F2"/>
              <w:left w:val="nil"/>
              <w:bottom w:val="single" w:sz="4" w:space="0" w:color="D9E1F2"/>
              <w:right w:val="nil"/>
            </w:tcBorders>
            <w:shd w:val="clear" w:color="auto" w:fill="auto"/>
            <w:noWrap/>
            <w:vAlign w:val="bottom"/>
            <w:hideMark/>
          </w:tcPr>
          <w:p w14:paraId="1D7B6794"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$ 1.481,3</w:t>
            </w:r>
          </w:p>
        </w:tc>
        <w:tc>
          <w:tcPr>
            <w:tcW w:w="0" w:type="auto"/>
            <w:tcBorders>
              <w:top w:val="single" w:sz="4" w:space="0" w:color="D9E1F2"/>
              <w:left w:val="nil"/>
              <w:bottom w:val="single" w:sz="4" w:space="0" w:color="D9E1F2"/>
              <w:right w:val="nil"/>
            </w:tcBorders>
            <w:shd w:val="clear" w:color="auto" w:fill="auto"/>
            <w:noWrap/>
            <w:vAlign w:val="bottom"/>
            <w:hideMark/>
          </w:tcPr>
          <w:p w14:paraId="22416BB7"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$ 1.732,1</w:t>
            </w:r>
          </w:p>
        </w:tc>
        <w:tc>
          <w:tcPr>
            <w:tcW w:w="0" w:type="auto"/>
            <w:tcBorders>
              <w:top w:val="single" w:sz="4" w:space="0" w:color="D9E1F2"/>
              <w:left w:val="nil"/>
              <w:bottom w:val="single" w:sz="4" w:space="0" w:color="D9E1F2"/>
              <w:right w:val="nil"/>
            </w:tcBorders>
            <w:shd w:val="clear" w:color="auto" w:fill="auto"/>
            <w:noWrap/>
            <w:vAlign w:val="bottom"/>
            <w:hideMark/>
          </w:tcPr>
          <w:p w14:paraId="42CE01E1"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$ 57,3</w:t>
            </w:r>
          </w:p>
        </w:tc>
      </w:tr>
      <w:tr w:rsidR="007F09C3" w:rsidRPr="007F09C3" w14:paraId="4CE073DC"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2D51BDF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4. &gt;$3-$10 MM</w:t>
            </w:r>
          </w:p>
        </w:tc>
        <w:tc>
          <w:tcPr>
            <w:tcW w:w="0" w:type="auto"/>
            <w:tcBorders>
              <w:top w:val="single" w:sz="4" w:space="0" w:color="D9E1F2"/>
              <w:left w:val="nil"/>
              <w:bottom w:val="single" w:sz="4" w:space="0" w:color="D9E1F2"/>
              <w:right w:val="nil"/>
            </w:tcBorders>
            <w:shd w:val="clear" w:color="auto" w:fill="auto"/>
            <w:noWrap/>
            <w:vAlign w:val="bottom"/>
            <w:hideMark/>
          </w:tcPr>
          <w:p w14:paraId="33F1D64B"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256</w:t>
            </w:r>
          </w:p>
        </w:tc>
        <w:tc>
          <w:tcPr>
            <w:tcW w:w="0" w:type="auto"/>
            <w:tcBorders>
              <w:top w:val="single" w:sz="4" w:space="0" w:color="D9E1F2"/>
              <w:left w:val="nil"/>
              <w:bottom w:val="single" w:sz="4" w:space="0" w:color="D9E1F2"/>
              <w:right w:val="nil"/>
            </w:tcBorders>
            <w:shd w:val="clear" w:color="auto" w:fill="auto"/>
            <w:noWrap/>
            <w:vAlign w:val="bottom"/>
            <w:hideMark/>
          </w:tcPr>
          <w:p w14:paraId="5FB6D71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14,6 </w:t>
            </w:r>
          </w:p>
        </w:tc>
        <w:tc>
          <w:tcPr>
            <w:tcW w:w="0" w:type="auto"/>
            <w:tcBorders>
              <w:top w:val="single" w:sz="4" w:space="0" w:color="D9E1F2"/>
              <w:left w:val="nil"/>
              <w:bottom w:val="single" w:sz="4" w:space="0" w:color="D9E1F2"/>
              <w:right w:val="nil"/>
            </w:tcBorders>
            <w:shd w:val="clear" w:color="auto" w:fill="auto"/>
            <w:noWrap/>
            <w:vAlign w:val="bottom"/>
            <w:hideMark/>
          </w:tcPr>
          <w:p w14:paraId="04671B2D"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57,6 </w:t>
            </w:r>
          </w:p>
        </w:tc>
        <w:tc>
          <w:tcPr>
            <w:tcW w:w="0" w:type="auto"/>
            <w:tcBorders>
              <w:top w:val="single" w:sz="4" w:space="0" w:color="D9E1F2"/>
              <w:left w:val="nil"/>
              <w:bottom w:val="single" w:sz="4" w:space="0" w:color="D9E1F2"/>
              <w:right w:val="nil"/>
            </w:tcBorders>
            <w:shd w:val="clear" w:color="auto" w:fill="auto"/>
            <w:noWrap/>
            <w:vAlign w:val="bottom"/>
            <w:hideMark/>
          </w:tcPr>
          <w:p w14:paraId="028A4433"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$ 99,9</w:t>
            </w:r>
          </w:p>
        </w:tc>
        <w:tc>
          <w:tcPr>
            <w:tcW w:w="0" w:type="auto"/>
            <w:tcBorders>
              <w:top w:val="single" w:sz="4" w:space="0" w:color="D9E1F2"/>
              <w:left w:val="nil"/>
              <w:bottom w:val="single" w:sz="4" w:space="0" w:color="D9E1F2"/>
              <w:right w:val="nil"/>
            </w:tcBorders>
            <w:shd w:val="clear" w:color="auto" w:fill="auto"/>
            <w:noWrap/>
            <w:vAlign w:val="bottom"/>
            <w:hideMark/>
          </w:tcPr>
          <w:p w14:paraId="0D670A82"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$ 2.774,6</w:t>
            </w:r>
          </w:p>
        </w:tc>
        <w:tc>
          <w:tcPr>
            <w:tcW w:w="0" w:type="auto"/>
            <w:tcBorders>
              <w:top w:val="single" w:sz="4" w:space="0" w:color="D9E1F2"/>
              <w:left w:val="nil"/>
              <w:bottom w:val="single" w:sz="4" w:space="0" w:color="D9E1F2"/>
              <w:right w:val="nil"/>
            </w:tcBorders>
            <w:shd w:val="clear" w:color="auto" w:fill="auto"/>
            <w:noWrap/>
            <w:vAlign w:val="bottom"/>
            <w:hideMark/>
          </w:tcPr>
          <w:p w14:paraId="450AD6A0"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$ 4.072,5</w:t>
            </w:r>
          </w:p>
        </w:tc>
        <w:tc>
          <w:tcPr>
            <w:tcW w:w="0" w:type="auto"/>
            <w:tcBorders>
              <w:top w:val="single" w:sz="4" w:space="0" w:color="D9E1F2"/>
              <w:left w:val="nil"/>
              <w:bottom w:val="single" w:sz="4" w:space="0" w:color="D9E1F2"/>
              <w:right w:val="nil"/>
            </w:tcBorders>
            <w:shd w:val="clear" w:color="auto" w:fill="auto"/>
            <w:noWrap/>
            <w:vAlign w:val="bottom"/>
            <w:hideMark/>
          </w:tcPr>
          <w:p w14:paraId="4BD887D9"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$ 239,0</w:t>
            </w:r>
          </w:p>
        </w:tc>
      </w:tr>
      <w:tr w:rsidR="007F09C3" w:rsidRPr="007F09C3" w14:paraId="1A98AE52"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59C9AB91"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5. &gt;$10-$30 MM</w:t>
            </w:r>
          </w:p>
        </w:tc>
        <w:tc>
          <w:tcPr>
            <w:tcW w:w="0" w:type="auto"/>
            <w:tcBorders>
              <w:top w:val="single" w:sz="4" w:space="0" w:color="D9E1F2"/>
              <w:left w:val="nil"/>
              <w:bottom w:val="single" w:sz="4" w:space="0" w:color="D9E1F2"/>
              <w:right w:val="nil"/>
            </w:tcBorders>
            <w:shd w:val="clear" w:color="auto" w:fill="auto"/>
            <w:noWrap/>
            <w:vAlign w:val="bottom"/>
            <w:hideMark/>
          </w:tcPr>
          <w:p w14:paraId="28C7C20D"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227</w:t>
            </w:r>
          </w:p>
        </w:tc>
        <w:tc>
          <w:tcPr>
            <w:tcW w:w="0" w:type="auto"/>
            <w:tcBorders>
              <w:top w:val="single" w:sz="4" w:space="0" w:color="D9E1F2"/>
              <w:left w:val="nil"/>
              <w:bottom w:val="single" w:sz="4" w:space="0" w:color="D9E1F2"/>
              <w:right w:val="nil"/>
            </w:tcBorders>
            <w:shd w:val="clear" w:color="auto" w:fill="auto"/>
            <w:noWrap/>
            <w:vAlign w:val="bottom"/>
            <w:hideMark/>
          </w:tcPr>
          <w:p w14:paraId="126C478A"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17,7 </w:t>
            </w:r>
          </w:p>
        </w:tc>
        <w:tc>
          <w:tcPr>
            <w:tcW w:w="0" w:type="auto"/>
            <w:tcBorders>
              <w:top w:val="single" w:sz="4" w:space="0" w:color="D9E1F2"/>
              <w:left w:val="nil"/>
              <w:bottom w:val="single" w:sz="4" w:space="0" w:color="D9E1F2"/>
              <w:right w:val="nil"/>
            </w:tcBorders>
            <w:shd w:val="clear" w:color="auto" w:fill="auto"/>
            <w:noWrap/>
            <w:vAlign w:val="bottom"/>
            <w:hideMark/>
          </w:tcPr>
          <w:p w14:paraId="5F01324D"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57,3 </w:t>
            </w:r>
          </w:p>
        </w:tc>
        <w:tc>
          <w:tcPr>
            <w:tcW w:w="0" w:type="auto"/>
            <w:tcBorders>
              <w:top w:val="single" w:sz="4" w:space="0" w:color="D9E1F2"/>
              <w:left w:val="nil"/>
              <w:bottom w:val="single" w:sz="4" w:space="0" w:color="D9E1F2"/>
              <w:right w:val="nil"/>
            </w:tcBorders>
            <w:shd w:val="clear" w:color="auto" w:fill="auto"/>
            <w:noWrap/>
            <w:vAlign w:val="bottom"/>
            <w:hideMark/>
          </w:tcPr>
          <w:p w14:paraId="4BF3A484"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$ 34,1</w:t>
            </w:r>
          </w:p>
        </w:tc>
        <w:tc>
          <w:tcPr>
            <w:tcW w:w="0" w:type="auto"/>
            <w:tcBorders>
              <w:top w:val="single" w:sz="4" w:space="0" w:color="D9E1F2"/>
              <w:left w:val="nil"/>
              <w:bottom w:val="single" w:sz="4" w:space="0" w:color="D9E1F2"/>
              <w:right w:val="nil"/>
            </w:tcBorders>
            <w:shd w:val="clear" w:color="auto" w:fill="auto"/>
            <w:noWrap/>
            <w:vAlign w:val="bottom"/>
            <w:hideMark/>
          </w:tcPr>
          <w:p w14:paraId="5CFB2F0C"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$ 2.773,2</w:t>
            </w:r>
          </w:p>
        </w:tc>
        <w:tc>
          <w:tcPr>
            <w:tcW w:w="0" w:type="auto"/>
            <w:tcBorders>
              <w:top w:val="single" w:sz="4" w:space="0" w:color="D9E1F2"/>
              <w:left w:val="nil"/>
              <w:bottom w:val="single" w:sz="4" w:space="0" w:color="D9E1F2"/>
              <w:right w:val="nil"/>
            </w:tcBorders>
            <w:shd w:val="clear" w:color="auto" w:fill="auto"/>
            <w:noWrap/>
            <w:vAlign w:val="bottom"/>
            <w:hideMark/>
          </w:tcPr>
          <w:p w14:paraId="2B48CA0F"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$ 4.961,0</w:t>
            </w:r>
          </w:p>
        </w:tc>
        <w:tc>
          <w:tcPr>
            <w:tcW w:w="0" w:type="auto"/>
            <w:tcBorders>
              <w:top w:val="single" w:sz="4" w:space="0" w:color="D9E1F2"/>
              <w:left w:val="nil"/>
              <w:bottom w:val="single" w:sz="4" w:space="0" w:color="D9E1F2"/>
              <w:right w:val="nil"/>
            </w:tcBorders>
            <w:shd w:val="clear" w:color="auto" w:fill="auto"/>
            <w:noWrap/>
            <w:vAlign w:val="bottom"/>
            <w:hideMark/>
          </w:tcPr>
          <w:p w14:paraId="227C6E1A"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$ 1.933,6</w:t>
            </w:r>
          </w:p>
        </w:tc>
      </w:tr>
      <w:tr w:rsidR="007F09C3" w:rsidRPr="007F09C3" w14:paraId="515EC8FA"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6E642F37"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6. &gt;$30-$50 MM</w:t>
            </w:r>
          </w:p>
        </w:tc>
        <w:tc>
          <w:tcPr>
            <w:tcW w:w="0" w:type="auto"/>
            <w:tcBorders>
              <w:top w:val="single" w:sz="4" w:space="0" w:color="D9E1F2"/>
              <w:left w:val="nil"/>
              <w:bottom w:val="single" w:sz="4" w:space="0" w:color="D9E1F2"/>
              <w:right w:val="nil"/>
            </w:tcBorders>
            <w:shd w:val="clear" w:color="auto" w:fill="auto"/>
            <w:noWrap/>
            <w:vAlign w:val="bottom"/>
            <w:hideMark/>
          </w:tcPr>
          <w:p w14:paraId="1474505D"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112</w:t>
            </w:r>
          </w:p>
        </w:tc>
        <w:tc>
          <w:tcPr>
            <w:tcW w:w="0" w:type="auto"/>
            <w:tcBorders>
              <w:top w:val="single" w:sz="4" w:space="0" w:color="D9E1F2"/>
              <w:left w:val="nil"/>
              <w:bottom w:val="single" w:sz="4" w:space="0" w:color="D9E1F2"/>
              <w:right w:val="nil"/>
            </w:tcBorders>
            <w:shd w:val="clear" w:color="auto" w:fill="auto"/>
            <w:noWrap/>
            <w:vAlign w:val="bottom"/>
            <w:hideMark/>
          </w:tcPr>
          <w:p w14:paraId="4D3BAB2B"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17,5 </w:t>
            </w:r>
          </w:p>
        </w:tc>
        <w:tc>
          <w:tcPr>
            <w:tcW w:w="0" w:type="auto"/>
            <w:tcBorders>
              <w:top w:val="single" w:sz="4" w:space="0" w:color="D9E1F2"/>
              <w:left w:val="nil"/>
              <w:bottom w:val="single" w:sz="4" w:space="0" w:color="D9E1F2"/>
              <w:right w:val="nil"/>
            </w:tcBorders>
            <w:shd w:val="clear" w:color="auto" w:fill="auto"/>
            <w:noWrap/>
            <w:vAlign w:val="bottom"/>
            <w:hideMark/>
          </w:tcPr>
          <w:p w14:paraId="052270FC"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55,0 </w:t>
            </w:r>
          </w:p>
        </w:tc>
        <w:tc>
          <w:tcPr>
            <w:tcW w:w="0" w:type="auto"/>
            <w:tcBorders>
              <w:top w:val="single" w:sz="4" w:space="0" w:color="D9E1F2"/>
              <w:left w:val="nil"/>
              <w:bottom w:val="single" w:sz="4" w:space="0" w:color="D9E1F2"/>
              <w:right w:val="nil"/>
            </w:tcBorders>
            <w:shd w:val="clear" w:color="auto" w:fill="auto"/>
            <w:noWrap/>
            <w:vAlign w:val="bottom"/>
            <w:hideMark/>
          </w:tcPr>
          <w:p w14:paraId="1555174A"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$ 14,1</w:t>
            </w:r>
          </w:p>
        </w:tc>
        <w:tc>
          <w:tcPr>
            <w:tcW w:w="0" w:type="auto"/>
            <w:tcBorders>
              <w:top w:val="single" w:sz="4" w:space="0" w:color="D9E1F2"/>
              <w:left w:val="nil"/>
              <w:bottom w:val="single" w:sz="4" w:space="0" w:color="D9E1F2"/>
              <w:right w:val="nil"/>
            </w:tcBorders>
            <w:shd w:val="clear" w:color="auto" w:fill="auto"/>
            <w:noWrap/>
            <w:vAlign w:val="bottom"/>
            <w:hideMark/>
          </w:tcPr>
          <w:p w14:paraId="7C6B3E02"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$ 1.457,2</w:t>
            </w:r>
          </w:p>
        </w:tc>
        <w:tc>
          <w:tcPr>
            <w:tcW w:w="0" w:type="auto"/>
            <w:tcBorders>
              <w:top w:val="single" w:sz="4" w:space="0" w:color="D9E1F2"/>
              <w:left w:val="nil"/>
              <w:bottom w:val="single" w:sz="4" w:space="0" w:color="D9E1F2"/>
              <w:right w:val="nil"/>
            </w:tcBorders>
            <w:shd w:val="clear" w:color="auto" w:fill="auto"/>
            <w:noWrap/>
            <w:vAlign w:val="bottom"/>
            <w:hideMark/>
          </w:tcPr>
          <w:p w14:paraId="3936C18C"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$ 2.384,2</w:t>
            </w:r>
          </w:p>
        </w:tc>
        <w:tc>
          <w:tcPr>
            <w:tcW w:w="0" w:type="auto"/>
            <w:tcBorders>
              <w:top w:val="single" w:sz="4" w:space="0" w:color="D9E1F2"/>
              <w:left w:val="nil"/>
              <w:bottom w:val="single" w:sz="4" w:space="0" w:color="D9E1F2"/>
              <w:right w:val="nil"/>
            </w:tcBorders>
            <w:shd w:val="clear" w:color="auto" w:fill="auto"/>
            <w:noWrap/>
            <w:vAlign w:val="bottom"/>
            <w:hideMark/>
          </w:tcPr>
          <w:p w14:paraId="04ABE437"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$ 3.644,3</w:t>
            </w:r>
          </w:p>
        </w:tc>
      </w:tr>
      <w:tr w:rsidR="007F09C3" w:rsidRPr="007F09C3" w14:paraId="66EB4C55"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3C510519"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6. &gt;$50 MM</w:t>
            </w:r>
          </w:p>
        </w:tc>
        <w:tc>
          <w:tcPr>
            <w:tcW w:w="0" w:type="auto"/>
            <w:tcBorders>
              <w:top w:val="single" w:sz="4" w:space="0" w:color="D9E1F2"/>
              <w:left w:val="nil"/>
              <w:bottom w:val="single" w:sz="4" w:space="0" w:color="D9E1F2"/>
              <w:right w:val="nil"/>
            </w:tcBorders>
            <w:shd w:val="clear" w:color="auto" w:fill="auto"/>
            <w:noWrap/>
            <w:vAlign w:val="bottom"/>
            <w:hideMark/>
          </w:tcPr>
          <w:p w14:paraId="0B3D679A"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134</w:t>
            </w:r>
          </w:p>
        </w:tc>
        <w:tc>
          <w:tcPr>
            <w:tcW w:w="0" w:type="auto"/>
            <w:tcBorders>
              <w:top w:val="single" w:sz="4" w:space="0" w:color="D9E1F2"/>
              <w:left w:val="nil"/>
              <w:bottom w:val="single" w:sz="4" w:space="0" w:color="D9E1F2"/>
              <w:right w:val="nil"/>
            </w:tcBorders>
            <w:shd w:val="clear" w:color="auto" w:fill="auto"/>
            <w:noWrap/>
            <w:vAlign w:val="bottom"/>
            <w:hideMark/>
          </w:tcPr>
          <w:p w14:paraId="4DBC386A"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16,0 </w:t>
            </w:r>
          </w:p>
        </w:tc>
        <w:tc>
          <w:tcPr>
            <w:tcW w:w="0" w:type="auto"/>
            <w:tcBorders>
              <w:top w:val="single" w:sz="4" w:space="0" w:color="D9E1F2"/>
              <w:left w:val="nil"/>
              <w:bottom w:val="single" w:sz="4" w:space="0" w:color="D9E1F2"/>
              <w:right w:val="nil"/>
            </w:tcBorders>
            <w:shd w:val="clear" w:color="auto" w:fill="auto"/>
            <w:noWrap/>
            <w:vAlign w:val="bottom"/>
            <w:hideMark/>
          </w:tcPr>
          <w:p w14:paraId="48CD208F"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53,2 </w:t>
            </w:r>
          </w:p>
        </w:tc>
        <w:tc>
          <w:tcPr>
            <w:tcW w:w="0" w:type="auto"/>
            <w:tcBorders>
              <w:top w:val="single" w:sz="4" w:space="0" w:color="D9E1F2"/>
              <w:left w:val="nil"/>
              <w:bottom w:val="single" w:sz="4" w:space="0" w:color="D9E1F2"/>
              <w:right w:val="nil"/>
            </w:tcBorders>
            <w:shd w:val="clear" w:color="auto" w:fill="auto"/>
            <w:noWrap/>
            <w:vAlign w:val="bottom"/>
            <w:hideMark/>
          </w:tcPr>
          <w:p w14:paraId="0066F6EE"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$ 42,8</w:t>
            </w:r>
          </w:p>
        </w:tc>
        <w:tc>
          <w:tcPr>
            <w:tcW w:w="0" w:type="auto"/>
            <w:tcBorders>
              <w:top w:val="single" w:sz="4" w:space="0" w:color="D9E1F2"/>
              <w:left w:val="nil"/>
              <w:bottom w:val="single" w:sz="4" w:space="0" w:color="D9E1F2"/>
              <w:right w:val="nil"/>
            </w:tcBorders>
            <w:shd w:val="clear" w:color="auto" w:fill="auto"/>
            <w:noWrap/>
            <w:vAlign w:val="bottom"/>
            <w:hideMark/>
          </w:tcPr>
          <w:p w14:paraId="091BA7EF"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$ 1.770,8</w:t>
            </w:r>
          </w:p>
        </w:tc>
        <w:tc>
          <w:tcPr>
            <w:tcW w:w="0" w:type="auto"/>
            <w:tcBorders>
              <w:top w:val="single" w:sz="4" w:space="0" w:color="D9E1F2"/>
              <w:left w:val="nil"/>
              <w:bottom w:val="single" w:sz="4" w:space="0" w:color="D9E1F2"/>
              <w:right w:val="nil"/>
            </w:tcBorders>
            <w:shd w:val="clear" w:color="auto" w:fill="auto"/>
            <w:noWrap/>
            <w:vAlign w:val="bottom"/>
            <w:hideMark/>
          </w:tcPr>
          <w:p w14:paraId="05063A65"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$ 3.787,6</w:t>
            </w:r>
          </w:p>
        </w:tc>
        <w:tc>
          <w:tcPr>
            <w:tcW w:w="0" w:type="auto"/>
            <w:tcBorders>
              <w:top w:val="single" w:sz="4" w:space="0" w:color="D9E1F2"/>
              <w:left w:val="nil"/>
              <w:bottom w:val="single" w:sz="4" w:space="0" w:color="D9E1F2"/>
              <w:right w:val="nil"/>
            </w:tcBorders>
            <w:shd w:val="clear" w:color="auto" w:fill="auto"/>
            <w:noWrap/>
            <w:vAlign w:val="bottom"/>
            <w:hideMark/>
          </w:tcPr>
          <w:p w14:paraId="5AFAE9E1"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$ 7.570,1</w:t>
            </w:r>
          </w:p>
        </w:tc>
      </w:tr>
      <w:tr w:rsidR="007F09C3" w:rsidRPr="007F09C3" w14:paraId="30C7496E"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6BDC4BE4"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9. Ahorrador</w:t>
            </w:r>
          </w:p>
        </w:tc>
        <w:tc>
          <w:tcPr>
            <w:tcW w:w="0" w:type="auto"/>
            <w:tcBorders>
              <w:top w:val="single" w:sz="4" w:space="0" w:color="D9E1F2"/>
              <w:left w:val="nil"/>
              <w:bottom w:val="single" w:sz="4" w:space="0" w:color="D9E1F2"/>
              <w:right w:val="nil"/>
            </w:tcBorders>
            <w:shd w:val="clear" w:color="auto" w:fill="auto"/>
            <w:noWrap/>
            <w:vAlign w:val="bottom"/>
            <w:hideMark/>
          </w:tcPr>
          <w:p w14:paraId="7D58630F"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22</w:t>
            </w:r>
          </w:p>
        </w:tc>
        <w:tc>
          <w:tcPr>
            <w:tcW w:w="0" w:type="auto"/>
            <w:tcBorders>
              <w:top w:val="single" w:sz="4" w:space="0" w:color="D9E1F2"/>
              <w:left w:val="nil"/>
              <w:bottom w:val="single" w:sz="4" w:space="0" w:color="D9E1F2"/>
              <w:right w:val="nil"/>
            </w:tcBorders>
            <w:shd w:val="clear" w:color="auto" w:fill="auto"/>
            <w:noWrap/>
            <w:vAlign w:val="bottom"/>
            <w:hideMark/>
          </w:tcPr>
          <w:p w14:paraId="42DD32C1"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9,5 </w:t>
            </w:r>
          </w:p>
        </w:tc>
        <w:tc>
          <w:tcPr>
            <w:tcW w:w="0" w:type="auto"/>
            <w:tcBorders>
              <w:top w:val="single" w:sz="4" w:space="0" w:color="D9E1F2"/>
              <w:left w:val="nil"/>
              <w:bottom w:val="single" w:sz="4" w:space="0" w:color="D9E1F2"/>
              <w:right w:val="nil"/>
            </w:tcBorders>
            <w:shd w:val="clear" w:color="auto" w:fill="auto"/>
            <w:noWrap/>
            <w:vAlign w:val="bottom"/>
            <w:hideMark/>
          </w:tcPr>
          <w:p w14:paraId="3AF0FD24" w14:textId="77777777" w:rsidR="007F09C3" w:rsidRPr="007F09C3" w:rsidRDefault="007F09C3" w:rsidP="007F09C3">
            <w:pPr>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xml:space="preserve">       55,8 </w:t>
            </w:r>
          </w:p>
        </w:tc>
        <w:tc>
          <w:tcPr>
            <w:tcW w:w="0" w:type="auto"/>
            <w:tcBorders>
              <w:top w:val="single" w:sz="4" w:space="0" w:color="D9E1F2"/>
              <w:left w:val="nil"/>
              <w:bottom w:val="single" w:sz="4" w:space="0" w:color="D9E1F2"/>
              <w:right w:val="nil"/>
            </w:tcBorders>
            <w:shd w:val="clear" w:color="auto" w:fill="auto"/>
            <w:noWrap/>
            <w:vAlign w:val="bottom"/>
            <w:hideMark/>
          </w:tcPr>
          <w:p w14:paraId="4A2C1E8D"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$ 1.216,3</w:t>
            </w:r>
          </w:p>
        </w:tc>
        <w:tc>
          <w:tcPr>
            <w:tcW w:w="0" w:type="auto"/>
            <w:tcBorders>
              <w:top w:val="single" w:sz="4" w:space="0" w:color="D9E1F2"/>
              <w:left w:val="nil"/>
              <w:bottom w:val="single" w:sz="4" w:space="0" w:color="D9E1F2"/>
              <w:right w:val="nil"/>
            </w:tcBorders>
            <w:shd w:val="clear" w:color="auto" w:fill="auto"/>
            <w:noWrap/>
            <w:vAlign w:val="bottom"/>
            <w:hideMark/>
          </w:tcPr>
          <w:p w14:paraId="199CE436"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$ 220,2</w:t>
            </w:r>
          </w:p>
        </w:tc>
        <w:tc>
          <w:tcPr>
            <w:tcW w:w="0" w:type="auto"/>
            <w:tcBorders>
              <w:top w:val="single" w:sz="4" w:space="0" w:color="D9E1F2"/>
              <w:left w:val="nil"/>
              <w:bottom w:val="single" w:sz="4" w:space="0" w:color="D9E1F2"/>
              <w:right w:val="nil"/>
            </w:tcBorders>
            <w:shd w:val="clear" w:color="auto" w:fill="auto"/>
            <w:noWrap/>
            <w:vAlign w:val="bottom"/>
            <w:hideMark/>
          </w:tcPr>
          <w:p w14:paraId="32EBAF0E" w14:textId="77777777" w:rsidR="007F09C3" w:rsidRPr="007F09C3" w:rsidRDefault="007F09C3" w:rsidP="007F09C3">
            <w:pPr>
              <w:jc w:val="right"/>
              <w:rPr>
                <w:rFonts w:ascii="Arial Narrow" w:hAnsi="Arial Narrow" w:cs="Calibri"/>
                <w:color w:val="000000"/>
                <w:sz w:val="24"/>
                <w:szCs w:val="24"/>
                <w:lang w:eastAsia="es-CO"/>
              </w:rPr>
            </w:pPr>
            <w:r w:rsidRPr="007F09C3">
              <w:rPr>
                <w:rFonts w:ascii="Arial Narrow" w:hAnsi="Arial Narrow" w:cs="Calibri"/>
                <w:color w:val="000000"/>
                <w:sz w:val="24"/>
                <w:szCs w:val="24"/>
                <w:lang w:eastAsia="es-CO"/>
              </w:rPr>
              <w:t>$ 43,2</w:t>
            </w:r>
          </w:p>
        </w:tc>
        <w:tc>
          <w:tcPr>
            <w:tcW w:w="0" w:type="auto"/>
            <w:tcBorders>
              <w:top w:val="single" w:sz="4" w:space="0" w:color="D9E1F2"/>
              <w:left w:val="nil"/>
              <w:bottom w:val="single" w:sz="4" w:space="0" w:color="D9E1F2"/>
              <w:right w:val="nil"/>
            </w:tcBorders>
            <w:shd w:val="clear" w:color="auto" w:fill="auto"/>
            <w:noWrap/>
            <w:vAlign w:val="bottom"/>
            <w:hideMark/>
          </w:tcPr>
          <w:p w14:paraId="16A771D9" w14:textId="77777777" w:rsidR="007F09C3" w:rsidRPr="007F09C3" w:rsidRDefault="007F09C3" w:rsidP="007F09C3">
            <w:pPr>
              <w:jc w:val="right"/>
              <w:rPr>
                <w:rFonts w:ascii="Arial Narrow" w:hAnsi="Arial Narrow" w:cs="Calibri"/>
                <w:color w:val="000000"/>
                <w:sz w:val="24"/>
                <w:szCs w:val="24"/>
                <w:lang w:eastAsia="es-CO"/>
              </w:rPr>
            </w:pPr>
          </w:p>
        </w:tc>
      </w:tr>
      <w:tr w:rsidR="007F09C3" w:rsidRPr="007F09C3" w14:paraId="05F430A7" w14:textId="77777777" w:rsidTr="00E3409C">
        <w:trPr>
          <w:trHeight w:val="290"/>
        </w:trPr>
        <w:tc>
          <w:tcPr>
            <w:tcW w:w="0" w:type="auto"/>
            <w:tcBorders>
              <w:top w:val="double" w:sz="6" w:space="0" w:color="305496"/>
              <w:left w:val="nil"/>
              <w:bottom w:val="nil"/>
              <w:right w:val="nil"/>
            </w:tcBorders>
            <w:shd w:val="clear" w:color="auto" w:fill="auto"/>
            <w:noWrap/>
            <w:vAlign w:val="bottom"/>
            <w:hideMark/>
          </w:tcPr>
          <w:p w14:paraId="6858D242"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Total general</w:t>
            </w:r>
          </w:p>
        </w:tc>
        <w:tc>
          <w:tcPr>
            <w:tcW w:w="0" w:type="auto"/>
            <w:tcBorders>
              <w:top w:val="double" w:sz="6" w:space="0" w:color="305496"/>
              <w:left w:val="nil"/>
              <w:bottom w:val="nil"/>
              <w:right w:val="nil"/>
            </w:tcBorders>
            <w:shd w:val="clear" w:color="auto" w:fill="auto"/>
            <w:noWrap/>
            <w:vAlign w:val="bottom"/>
            <w:hideMark/>
          </w:tcPr>
          <w:p w14:paraId="32870AE4" w14:textId="77777777" w:rsidR="007F09C3" w:rsidRPr="007F09C3" w:rsidRDefault="007F09C3" w:rsidP="007F09C3">
            <w:pPr>
              <w:jc w:val="right"/>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2162</w:t>
            </w:r>
          </w:p>
        </w:tc>
        <w:tc>
          <w:tcPr>
            <w:tcW w:w="0" w:type="auto"/>
            <w:tcBorders>
              <w:top w:val="double" w:sz="6" w:space="0" w:color="305496"/>
              <w:left w:val="nil"/>
              <w:bottom w:val="nil"/>
              <w:right w:val="nil"/>
            </w:tcBorders>
            <w:shd w:val="clear" w:color="auto" w:fill="auto"/>
            <w:noWrap/>
            <w:vAlign w:val="bottom"/>
            <w:hideMark/>
          </w:tcPr>
          <w:p w14:paraId="01B9894D"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11,9 </w:t>
            </w:r>
          </w:p>
        </w:tc>
        <w:tc>
          <w:tcPr>
            <w:tcW w:w="0" w:type="auto"/>
            <w:tcBorders>
              <w:top w:val="double" w:sz="6" w:space="0" w:color="305496"/>
              <w:left w:val="nil"/>
              <w:bottom w:val="nil"/>
              <w:right w:val="nil"/>
            </w:tcBorders>
            <w:shd w:val="clear" w:color="auto" w:fill="auto"/>
            <w:noWrap/>
            <w:vAlign w:val="bottom"/>
            <w:hideMark/>
          </w:tcPr>
          <w:p w14:paraId="45D4F27D" w14:textId="77777777" w:rsidR="007F09C3" w:rsidRPr="007F09C3" w:rsidRDefault="007F09C3" w:rsidP="007F09C3">
            <w:pPr>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xml:space="preserve">       56,1 </w:t>
            </w:r>
          </w:p>
        </w:tc>
        <w:tc>
          <w:tcPr>
            <w:tcW w:w="0" w:type="auto"/>
            <w:tcBorders>
              <w:top w:val="double" w:sz="6" w:space="0" w:color="305496"/>
              <w:left w:val="nil"/>
              <w:bottom w:val="nil"/>
              <w:right w:val="nil"/>
            </w:tcBorders>
            <w:shd w:val="clear" w:color="auto" w:fill="auto"/>
            <w:noWrap/>
            <w:vAlign w:val="bottom"/>
            <w:hideMark/>
          </w:tcPr>
          <w:p w14:paraId="15678300" w14:textId="77777777" w:rsidR="007F09C3" w:rsidRPr="007F09C3" w:rsidRDefault="007F09C3" w:rsidP="007F09C3">
            <w:pPr>
              <w:jc w:val="right"/>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$ 1.490,8</w:t>
            </w:r>
          </w:p>
        </w:tc>
        <w:tc>
          <w:tcPr>
            <w:tcW w:w="0" w:type="auto"/>
            <w:tcBorders>
              <w:top w:val="double" w:sz="6" w:space="0" w:color="305496"/>
              <w:left w:val="nil"/>
              <w:bottom w:val="nil"/>
              <w:right w:val="nil"/>
            </w:tcBorders>
            <w:shd w:val="clear" w:color="auto" w:fill="auto"/>
            <w:noWrap/>
            <w:vAlign w:val="bottom"/>
            <w:hideMark/>
          </w:tcPr>
          <w:p w14:paraId="3F195C75" w14:textId="77777777" w:rsidR="007F09C3" w:rsidRPr="007F09C3" w:rsidRDefault="007F09C3" w:rsidP="007F09C3">
            <w:pPr>
              <w:jc w:val="right"/>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$ 19.391,4</w:t>
            </w:r>
          </w:p>
        </w:tc>
        <w:tc>
          <w:tcPr>
            <w:tcW w:w="0" w:type="auto"/>
            <w:tcBorders>
              <w:top w:val="double" w:sz="6" w:space="0" w:color="305496"/>
              <w:left w:val="nil"/>
              <w:bottom w:val="nil"/>
              <w:right w:val="nil"/>
            </w:tcBorders>
            <w:shd w:val="clear" w:color="auto" w:fill="auto"/>
            <w:noWrap/>
            <w:vAlign w:val="bottom"/>
            <w:hideMark/>
          </w:tcPr>
          <w:p w14:paraId="4AFCDCF4" w14:textId="77777777" w:rsidR="007F09C3" w:rsidRPr="007F09C3" w:rsidRDefault="007F09C3" w:rsidP="007F09C3">
            <w:pPr>
              <w:jc w:val="right"/>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$ 20.452,7</w:t>
            </w:r>
          </w:p>
        </w:tc>
        <w:tc>
          <w:tcPr>
            <w:tcW w:w="0" w:type="auto"/>
            <w:tcBorders>
              <w:top w:val="double" w:sz="6" w:space="0" w:color="305496"/>
              <w:left w:val="nil"/>
              <w:bottom w:val="nil"/>
              <w:right w:val="nil"/>
            </w:tcBorders>
            <w:shd w:val="clear" w:color="auto" w:fill="auto"/>
            <w:noWrap/>
            <w:vAlign w:val="bottom"/>
            <w:hideMark/>
          </w:tcPr>
          <w:p w14:paraId="61B55E6C" w14:textId="77777777" w:rsidR="007F09C3" w:rsidRPr="007F09C3" w:rsidRDefault="007F09C3" w:rsidP="007F09C3">
            <w:pPr>
              <w:jc w:val="right"/>
              <w:rPr>
                <w:rFonts w:ascii="Arial Narrow" w:hAnsi="Arial Narrow" w:cs="Calibri"/>
                <w:b/>
                <w:bCs/>
                <w:color w:val="000000"/>
                <w:sz w:val="24"/>
                <w:szCs w:val="24"/>
                <w:lang w:eastAsia="es-CO"/>
              </w:rPr>
            </w:pPr>
            <w:r w:rsidRPr="007F09C3">
              <w:rPr>
                <w:rFonts w:ascii="Arial Narrow" w:hAnsi="Arial Narrow" w:cs="Calibri"/>
                <w:b/>
                <w:bCs/>
                <w:color w:val="000000"/>
                <w:sz w:val="24"/>
                <w:szCs w:val="24"/>
                <w:lang w:eastAsia="es-CO"/>
              </w:rPr>
              <w:t>$ 14.439,4</w:t>
            </w:r>
          </w:p>
        </w:tc>
      </w:tr>
    </w:tbl>
    <w:p w14:paraId="03FB1ADD" w14:textId="77777777" w:rsidR="007F09C3" w:rsidRPr="007F09C3" w:rsidRDefault="007F09C3" w:rsidP="007F09C3">
      <w:pPr>
        <w:jc w:val="both"/>
        <w:rPr>
          <w:rFonts w:ascii="Arial Narrow" w:hAnsi="Arial Narrow"/>
          <w:sz w:val="24"/>
          <w:szCs w:val="24"/>
        </w:rPr>
      </w:pPr>
    </w:p>
    <w:p w14:paraId="5342397F" w14:textId="53853336"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Un 61% de los asociados no tiene cartera o su deuda es inferior a sus aportes, o si la excede, la diferencia es menor de $3 millones por lo que se supone son potenciales para crecimiento de cartera, pero su edad promedio está alrededor de los 57 años.  Estos asociados tienen el 54% de los aportes y ahorros permanentes </w:t>
      </w:r>
      <w:r w:rsidR="00FF6290">
        <w:rPr>
          <w:rFonts w:ascii="Arial Narrow" w:hAnsi="Arial Narrow"/>
          <w:sz w:val="24"/>
          <w:szCs w:val="24"/>
        </w:rPr>
        <w:t>de la Cooperativa</w:t>
      </w:r>
      <w:r w:rsidRPr="007F09C3">
        <w:rPr>
          <w:rFonts w:ascii="Arial Narrow" w:hAnsi="Arial Narrow"/>
          <w:sz w:val="24"/>
          <w:szCs w:val="24"/>
        </w:rPr>
        <w:t xml:space="preserve"> y apenas el 13% el total de la cartera.  Si se les pudiera efectuar un crédito por el valor de lo que tienen en aportes y ahorros permanentes, más $5 millones adicionales, el crecimiento potencial de la cartera es de $12 mil millones adicionales, así que la gestión comercial será fundamental para continuar la senda del crecimiento.</w:t>
      </w:r>
    </w:p>
    <w:p w14:paraId="2EA4933B" w14:textId="77777777" w:rsidR="007F09C3" w:rsidRPr="007F09C3" w:rsidRDefault="007F09C3" w:rsidP="007F09C3">
      <w:pPr>
        <w:jc w:val="both"/>
        <w:rPr>
          <w:rFonts w:ascii="Arial Narrow" w:hAnsi="Arial Narrow"/>
          <w:sz w:val="24"/>
          <w:szCs w:val="24"/>
        </w:rPr>
      </w:pPr>
    </w:p>
    <w:p w14:paraId="587DD46B" w14:textId="614B56E2" w:rsidR="007F09C3" w:rsidRPr="007F09C3" w:rsidRDefault="007F09C3" w:rsidP="007F09C3">
      <w:pPr>
        <w:jc w:val="both"/>
        <w:rPr>
          <w:rFonts w:ascii="Arial Narrow" w:hAnsi="Arial Narrow"/>
          <w:sz w:val="24"/>
          <w:szCs w:val="24"/>
        </w:rPr>
      </w:pPr>
      <w:r w:rsidRPr="007F09C3">
        <w:rPr>
          <w:rFonts w:ascii="Arial Narrow" w:hAnsi="Arial Narrow"/>
          <w:sz w:val="24"/>
          <w:szCs w:val="24"/>
        </w:rPr>
        <w:t>Se destaca el hecho de que los asociados que no hacen uso del crédito tienen una antigüedad promedio de 7 años que es menos de la mitad de la antigüedad promedio de los asociados con mayor deuda.</w:t>
      </w:r>
      <w:r w:rsidR="000E041A">
        <w:rPr>
          <w:rFonts w:ascii="Arial Narrow" w:hAnsi="Arial Narrow"/>
          <w:sz w:val="24"/>
          <w:szCs w:val="24"/>
        </w:rPr>
        <w:t xml:space="preserve"> </w:t>
      </w:r>
      <w:r w:rsidRPr="007F09C3">
        <w:rPr>
          <w:rFonts w:ascii="Arial Narrow" w:hAnsi="Arial Narrow"/>
          <w:sz w:val="24"/>
          <w:szCs w:val="24"/>
        </w:rPr>
        <w:t xml:space="preserve">Solamente 22 asociados son fundamentalmente ahorradores, pues además de no tener deuda con </w:t>
      </w:r>
      <w:r w:rsidR="00832291">
        <w:rPr>
          <w:rFonts w:ascii="Arial Narrow" w:hAnsi="Arial Narrow"/>
          <w:sz w:val="24"/>
          <w:szCs w:val="24"/>
        </w:rPr>
        <w:t>COOPEJEMPLO</w:t>
      </w:r>
      <w:r w:rsidRPr="007F09C3">
        <w:rPr>
          <w:rFonts w:ascii="Arial Narrow" w:hAnsi="Arial Narrow"/>
          <w:sz w:val="24"/>
          <w:szCs w:val="24"/>
        </w:rPr>
        <w:t xml:space="preserve"> y hacer sus aportes y ahorros permanentes puntualmente, tienen otros ahorros voluntarios por $1.216 millones que corresponden al 82% del total de recursos captados por </w:t>
      </w:r>
      <w:proofErr w:type="gramStart"/>
      <w:r w:rsidRPr="007F09C3">
        <w:rPr>
          <w:rFonts w:ascii="Arial Narrow" w:hAnsi="Arial Narrow"/>
          <w:sz w:val="24"/>
          <w:szCs w:val="24"/>
        </w:rPr>
        <w:t>éste</w:t>
      </w:r>
      <w:proofErr w:type="gramEnd"/>
      <w:r w:rsidRPr="007F09C3">
        <w:rPr>
          <w:rFonts w:ascii="Arial Narrow" w:hAnsi="Arial Narrow"/>
          <w:sz w:val="24"/>
          <w:szCs w:val="24"/>
        </w:rPr>
        <w:t xml:space="preserve"> concepto, no siendo necesariamente los asociados más antiguos pues su trayectoria promedio en </w:t>
      </w:r>
      <w:r w:rsidR="00FF6290">
        <w:rPr>
          <w:rFonts w:ascii="Arial Narrow" w:hAnsi="Arial Narrow"/>
          <w:sz w:val="24"/>
          <w:szCs w:val="24"/>
        </w:rPr>
        <w:t>la Cooperativa</w:t>
      </w:r>
      <w:r w:rsidRPr="007F09C3">
        <w:rPr>
          <w:rFonts w:ascii="Arial Narrow" w:hAnsi="Arial Narrow"/>
          <w:sz w:val="24"/>
          <w:szCs w:val="24"/>
        </w:rPr>
        <w:t xml:space="preserve"> es de 9,5 años, frente a los casi 18 años de antigüedad de los asociados con mayor deuda.</w:t>
      </w:r>
    </w:p>
    <w:p w14:paraId="6E4AF64B" w14:textId="77777777" w:rsidR="007F09C3" w:rsidRPr="007F09C3" w:rsidRDefault="007F09C3" w:rsidP="007F09C3">
      <w:pPr>
        <w:jc w:val="both"/>
        <w:rPr>
          <w:rFonts w:ascii="Arial Narrow" w:hAnsi="Arial Narrow"/>
          <w:sz w:val="24"/>
          <w:szCs w:val="24"/>
        </w:rPr>
      </w:pPr>
    </w:p>
    <w:p w14:paraId="4CD78AE4" w14:textId="2DE40DD5"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La preocupación fundamental tiene que ver con el hecho de que algunos asociados se retiran con obligaciones importantes en </w:t>
      </w:r>
      <w:r w:rsidR="00FF6290">
        <w:rPr>
          <w:rFonts w:ascii="Arial Narrow" w:hAnsi="Arial Narrow"/>
          <w:sz w:val="24"/>
          <w:szCs w:val="24"/>
        </w:rPr>
        <w:t>la Cooperativa</w:t>
      </w:r>
      <w:r w:rsidRPr="007F09C3">
        <w:rPr>
          <w:rFonts w:ascii="Arial Narrow" w:hAnsi="Arial Narrow"/>
          <w:sz w:val="24"/>
          <w:szCs w:val="24"/>
        </w:rPr>
        <w:t xml:space="preserve"> y presentan morosidad.  De hecho, la cartera de Ex – Asociados en mora llega a los $979 millones que representa el 2,81% del total, de la cual 58% es cartera de Vivienda y por ende es recuperable ejecutando la garantía admisible y de hecho la mayoría ya se encuentra demandado:</w:t>
      </w:r>
    </w:p>
    <w:p w14:paraId="03F8192F" w14:textId="77777777" w:rsidR="007F09C3" w:rsidRPr="007F09C3" w:rsidRDefault="007F09C3" w:rsidP="007F09C3">
      <w:pPr>
        <w:jc w:val="both"/>
        <w:rPr>
          <w:rFonts w:ascii="Arial Narrow" w:hAnsi="Arial Narrow"/>
          <w:sz w:val="24"/>
          <w:szCs w:val="24"/>
        </w:rPr>
      </w:pPr>
    </w:p>
    <w:tbl>
      <w:tblPr>
        <w:tblW w:w="0" w:type="auto"/>
        <w:tblCellMar>
          <w:left w:w="70" w:type="dxa"/>
          <w:right w:w="70" w:type="dxa"/>
        </w:tblCellMar>
        <w:tblLook w:val="04A0" w:firstRow="1" w:lastRow="0" w:firstColumn="1" w:lastColumn="0" w:noHBand="0" w:noVBand="1"/>
      </w:tblPr>
      <w:tblGrid>
        <w:gridCol w:w="3084"/>
        <w:gridCol w:w="542"/>
        <w:gridCol w:w="843"/>
        <w:gridCol w:w="843"/>
        <w:gridCol w:w="903"/>
        <w:gridCol w:w="993"/>
        <w:gridCol w:w="993"/>
        <w:gridCol w:w="993"/>
      </w:tblGrid>
      <w:tr w:rsidR="007F09C3" w:rsidRPr="005F3A46" w14:paraId="7B4BF898" w14:textId="77777777" w:rsidTr="00E3409C">
        <w:trPr>
          <w:trHeight w:val="290"/>
        </w:trPr>
        <w:tc>
          <w:tcPr>
            <w:tcW w:w="0" w:type="auto"/>
            <w:tcBorders>
              <w:top w:val="nil"/>
              <w:left w:val="nil"/>
              <w:bottom w:val="single" w:sz="4" w:space="0" w:color="D9E1F2"/>
              <w:right w:val="nil"/>
            </w:tcBorders>
            <w:shd w:val="clear" w:color="305496" w:fill="305496"/>
            <w:noWrap/>
            <w:vAlign w:val="bottom"/>
            <w:hideMark/>
          </w:tcPr>
          <w:p w14:paraId="5FEAD712" w14:textId="77777777" w:rsidR="007F09C3" w:rsidRPr="005F3A46" w:rsidRDefault="007F09C3" w:rsidP="007F09C3">
            <w:pP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HABILIDAD</w:t>
            </w:r>
          </w:p>
        </w:tc>
        <w:tc>
          <w:tcPr>
            <w:tcW w:w="0" w:type="auto"/>
            <w:tcBorders>
              <w:top w:val="nil"/>
              <w:left w:val="nil"/>
              <w:bottom w:val="single" w:sz="4" w:space="0" w:color="B4C6E7"/>
              <w:right w:val="nil"/>
            </w:tcBorders>
            <w:shd w:val="clear" w:color="305496" w:fill="305496"/>
            <w:noWrap/>
            <w:vAlign w:val="center"/>
            <w:hideMark/>
          </w:tcPr>
          <w:p w14:paraId="4F49B3D1" w14:textId="77777777" w:rsidR="007F09C3" w:rsidRPr="005F3A46" w:rsidRDefault="007F09C3" w:rsidP="007F09C3">
            <w:pPr>
              <w:jc w:val="cente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w:t>
            </w:r>
          </w:p>
        </w:tc>
        <w:tc>
          <w:tcPr>
            <w:tcW w:w="0" w:type="auto"/>
            <w:tcBorders>
              <w:top w:val="nil"/>
              <w:left w:val="nil"/>
              <w:bottom w:val="single" w:sz="4" w:space="0" w:color="B4C6E7"/>
              <w:right w:val="nil"/>
            </w:tcBorders>
            <w:shd w:val="clear" w:color="305496" w:fill="305496"/>
            <w:noWrap/>
            <w:vAlign w:val="center"/>
            <w:hideMark/>
          </w:tcPr>
          <w:p w14:paraId="59843071" w14:textId="77777777" w:rsidR="007F09C3" w:rsidRPr="005F3A46" w:rsidRDefault="007F09C3" w:rsidP="007F09C3">
            <w:pPr>
              <w:jc w:val="cente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 xml:space="preserve"> </w:t>
            </w:r>
            <w:proofErr w:type="spellStart"/>
            <w:r w:rsidRPr="005F3A46">
              <w:rPr>
                <w:rFonts w:ascii="Arial Narrow" w:hAnsi="Arial Narrow" w:cs="Calibri"/>
                <w:color w:val="FFFFFF"/>
                <w:sz w:val="22"/>
                <w:szCs w:val="22"/>
                <w:lang w:eastAsia="es-CO"/>
              </w:rPr>
              <w:t>Ant</w:t>
            </w:r>
            <w:proofErr w:type="spellEnd"/>
            <w:r w:rsidRPr="005F3A46">
              <w:rPr>
                <w:rFonts w:ascii="Arial Narrow" w:hAnsi="Arial Narrow" w:cs="Calibri"/>
                <w:color w:val="FFFFFF"/>
                <w:sz w:val="22"/>
                <w:szCs w:val="22"/>
                <w:lang w:eastAsia="es-CO"/>
              </w:rPr>
              <w:t xml:space="preserve"> </w:t>
            </w:r>
          </w:p>
        </w:tc>
        <w:tc>
          <w:tcPr>
            <w:tcW w:w="0" w:type="auto"/>
            <w:tcBorders>
              <w:top w:val="nil"/>
              <w:left w:val="nil"/>
              <w:bottom w:val="single" w:sz="4" w:space="0" w:color="B4C6E7"/>
              <w:right w:val="nil"/>
            </w:tcBorders>
            <w:shd w:val="clear" w:color="305496" w:fill="305496"/>
            <w:noWrap/>
            <w:vAlign w:val="center"/>
            <w:hideMark/>
          </w:tcPr>
          <w:p w14:paraId="3F433EE2" w14:textId="77777777" w:rsidR="007F09C3" w:rsidRPr="005F3A46" w:rsidRDefault="007F09C3" w:rsidP="007F09C3">
            <w:pPr>
              <w:jc w:val="cente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 xml:space="preserve"> Edad  </w:t>
            </w:r>
          </w:p>
        </w:tc>
        <w:tc>
          <w:tcPr>
            <w:tcW w:w="0" w:type="auto"/>
            <w:tcBorders>
              <w:top w:val="nil"/>
              <w:left w:val="nil"/>
              <w:bottom w:val="single" w:sz="4" w:space="0" w:color="B4C6E7"/>
              <w:right w:val="nil"/>
            </w:tcBorders>
            <w:shd w:val="clear" w:color="305496" w:fill="305496"/>
            <w:noWrap/>
            <w:vAlign w:val="center"/>
            <w:hideMark/>
          </w:tcPr>
          <w:p w14:paraId="11D04A28" w14:textId="77777777" w:rsidR="007F09C3" w:rsidRPr="005F3A46" w:rsidRDefault="007F09C3" w:rsidP="007F09C3">
            <w:pPr>
              <w:jc w:val="cente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Otros Ah.</w:t>
            </w:r>
          </w:p>
        </w:tc>
        <w:tc>
          <w:tcPr>
            <w:tcW w:w="0" w:type="auto"/>
            <w:tcBorders>
              <w:top w:val="nil"/>
              <w:left w:val="nil"/>
              <w:bottom w:val="single" w:sz="4" w:space="0" w:color="B4C6E7"/>
              <w:right w:val="nil"/>
            </w:tcBorders>
            <w:shd w:val="clear" w:color="305496" w:fill="305496"/>
            <w:noWrap/>
            <w:vAlign w:val="center"/>
            <w:hideMark/>
          </w:tcPr>
          <w:p w14:paraId="7EB9A324" w14:textId="77777777" w:rsidR="007F09C3" w:rsidRPr="005F3A46" w:rsidRDefault="007F09C3" w:rsidP="007F09C3">
            <w:pPr>
              <w:jc w:val="center"/>
              <w:rPr>
                <w:rFonts w:ascii="Arial Narrow" w:hAnsi="Arial Narrow" w:cs="Calibri"/>
                <w:color w:val="FFFFFF"/>
                <w:sz w:val="22"/>
                <w:szCs w:val="22"/>
                <w:lang w:eastAsia="es-CO"/>
              </w:rPr>
            </w:pPr>
            <w:proofErr w:type="spellStart"/>
            <w:r w:rsidRPr="005F3A46">
              <w:rPr>
                <w:rFonts w:ascii="Arial Narrow" w:hAnsi="Arial Narrow" w:cs="Calibri"/>
                <w:color w:val="FFFFFF"/>
                <w:sz w:val="22"/>
                <w:szCs w:val="22"/>
                <w:lang w:eastAsia="es-CO"/>
              </w:rPr>
              <w:t>Ap</w:t>
            </w:r>
            <w:proofErr w:type="spellEnd"/>
            <w:r w:rsidRPr="005F3A46">
              <w:rPr>
                <w:rFonts w:ascii="Arial Narrow" w:hAnsi="Arial Narrow" w:cs="Calibri"/>
                <w:color w:val="FFFFFF"/>
                <w:sz w:val="22"/>
                <w:szCs w:val="22"/>
                <w:lang w:eastAsia="es-CO"/>
              </w:rPr>
              <w:t xml:space="preserve"> + </w:t>
            </w:r>
            <w:proofErr w:type="spellStart"/>
            <w:r w:rsidRPr="005F3A46">
              <w:rPr>
                <w:rFonts w:ascii="Arial Narrow" w:hAnsi="Arial Narrow" w:cs="Calibri"/>
                <w:color w:val="FFFFFF"/>
                <w:sz w:val="22"/>
                <w:szCs w:val="22"/>
                <w:lang w:eastAsia="es-CO"/>
              </w:rPr>
              <w:t>Ahp</w:t>
            </w:r>
            <w:proofErr w:type="spellEnd"/>
          </w:p>
        </w:tc>
        <w:tc>
          <w:tcPr>
            <w:tcW w:w="0" w:type="auto"/>
            <w:tcBorders>
              <w:top w:val="nil"/>
              <w:left w:val="nil"/>
              <w:bottom w:val="single" w:sz="4" w:space="0" w:color="B4C6E7"/>
              <w:right w:val="nil"/>
            </w:tcBorders>
            <w:shd w:val="clear" w:color="305496" w:fill="305496"/>
            <w:noWrap/>
            <w:vAlign w:val="center"/>
            <w:hideMark/>
          </w:tcPr>
          <w:p w14:paraId="32B48847" w14:textId="77777777" w:rsidR="007F09C3" w:rsidRPr="005F3A46" w:rsidRDefault="007F09C3" w:rsidP="007F09C3">
            <w:pPr>
              <w:jc w:val="cente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Consumo</w:t>
            </w:r>
          </w:p>
        </w:tc>
        <w:tc>
          <w:tcPr>
            <w:tcW w:w="0" w:type="auto"/>
            <w:tcBorders>
              <w:top w:val="nil"/>
              <w:left w:val="nil"/>
              <w:bottom w:val="single" w:sz="4" w:space="0" w:color="B4C6E7"/>
              <w:right w:val="nil"/>
            </w:tcBorders>
            <w:shd w:val="clear" w:color="305496" w:fill="305496"/>
            <w:noWrap/>
            <w:vAlign w:val="center"/>
            <w:hideMark/>
          </w:tcPr>
          <w:p w14:paraId="52DCCA5B" w14:textId="77777777" w:rsidR="007F09C3" w:rsidRPr="005F3A46" w:rsidRDefault="007F09C3" w:rsidP="007F09C3">
            <w:pPr>
              <w:jc w:val="center"/>
              <w:rPr>
                <w:rFonts w:ascii="Arial Narrow" w:hAnsi="Arial Narrow" w:cs="Calibri"/>
                <w:color w:val="FFFFFF"/>
                <w:sz w:val="22"/>
                <w:szCs w:val="22"/>
                <w:lang w:eastAsia="es-CO"/>
              </w:rPr>
            </w:pPr>
            <w:r w:rsidRPr="005F3A46">
              <w:rPr>
                <w:rFonts w:ascii="Arial Narrow" w:hAnsi="Arial Narrow" w:cs="Calibri"/>
                <w:color w:val="FFFFFF"/>
                <w:sz w:val="22"/>
                <w:szCs w:val="22"/>
                <w:lang w:eastAsia="es-CO"/>
              </w:rPr>
              <w:t>Vivienda</w:t>
            </w:r>
          </w:p>
        </w:tc>
      </w:tr>
      <w:tr w:rsidR="007F09C3" w:rsidRPr="005F3A46" w14:paraId="4560869E"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2C8CE2DF"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0. Ex - Asociado</w:t>
            </w:r>
          </w:p>
        </w:tc>
        <w:tc>
          <w:tcPr>
            <w:tcW w:w="0" w:type="auto"/>
            <w:tcBorders>
              <w:top w:val="single" w:sz="4" w:space="0" w:color="D9E1F2"/>
              <w:left w:val="nil"/>
              <w:bottom w:val="single" w:sz="4" w:space="0" w:color="D9E1F2"/>
              <w:right w:val="nil"/>
            </w:tcBorders>
            <w:shd w:val="clear" w:color="auto" w:fill="auto"/>
            <w:noWrap/>
            <w:vAlign w:val="bottom"/>
            <w:hideMark/>
          </w:tcPr>
          <w:p w14:paraId="33E83E09"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42</w:t>
            </w:r>
          </w:p>
        </w:tc>
        <w:tc>
          <w:tcPr>
            <w:tcW w:w="0" w:type="auto"/>
            <w:tcBorders>
              <w:top w:val="single" w:sz="4" w:space="0" w:color="D9E1F2"/>
              <w:left w:val="nil"/>
              <w:bottom w:val="single" w:sz="4" w:space="0" w:color="D9E1F2"/>
              <w:right w:val="nil"/>
            </w:tcBorders>
            <w:shd w:val="clear" w:color="auto" w:fill="auto"/>
            <w:noWrap/>
            <w:vAlign w:val="bottom"/>
          </w:tcPr>
          <w:p w14:paraId="6FA09B82" w14:textId="77777777" w:rsidR="007F09C3" w:rsidRPr="005F3A46" w:rsidRDefault="007F09C3" w:rsidP="007F09C3">
            <w:pPr>
              <w:jc w:val="cente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tcPr>
          <w:p w14:paraId="7F7ACBED" w14:textId="77777777" w:rsidR="007F09C3" w:rsidRPr="005F3A46" w:rsidRDefault="007F09C3" w:rsidP="007F09C3">
            <w:pPr>
              <w:jc w:val="cente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24EE2D20" w14:textId="77777777" w:rsidR="007F09C3" w:rsidRPr="005F3A46" w:rsidRDefault="007F09C3" w:rsidP="007F09C3">
            <w:pPr>
              <w:jc w:val="cente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6045D900" w14:textId="77777777" w:rsidR="007F09C3" w:rsidRPr="005F3A46" w:rsidRDefault="007F09C3" w:rsidP="007F09C3">
            <w:pPr>
              <w:rPr>
                <w:rFonts w:ascii="Arial Narrow" w:hAnsi="Arial Narrow"/>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72A2AD90"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$ 377,0</w:t>
            </w:r>
          </w:p>
        </w:tc>
        <w:tc>
          <w:tcPr>
            <w:tcW w:w="0" w:type="auto"/>
            <w:tcBorders>
              <w:top w:val="single" w:sz="4" w:space="0" w:color="D9E1F2"/>
              <w:left w:val="nil"/>
              <w:bottom w:val="single" w:sz="4" w:space="0" w:color="D9E1F2"/>
              <w:right w:val="nil"/>
            </w:tcBorders>
            <w:shd w:val="clear" w:color="auto" w:fill="auto"/>
            <w:noWrap/>
            <w:vAlign w:val="bottom"/>
            <w:hideMark/>
          </w:tcPr>
          <w:p w14:paraId="65E961F9"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$ 236,6</w:t>
            </w:r>
          </w:p>
        </w:tc>
      </w:tr>
      <w:tr w:rsidR="007F09C3" w:rsidRPr="005F3A46" w14:paraId="2DB38340"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23192A3A"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0. Ex - Asociado MORA</w:t>
            </w:r>
          </w:p>
        </w:tc>
        <w:tc>
          <w:tcPr>
            <w:tcW w:w="0" w:type="auto"/>
            <w:tcBorders>
              <w:top w:val="single" w:sz="4" w:space="0" w:color="D9E1F2"/>
              <w:left w:val="nil"/>
              <w:bottom w:val="single" w:sz="4" w:space="0" w:color="D9E1F2"/>
              <w:right w:val="nil"/>
            </w:tcBorders>
            <w:shd w:val="clear" w:color="auto" w:fill="auto"/>
            <w:noWrap/>
            <w:vAlign w:val="bottom"/>
            <w:hideMark/>
          </w:tcPr>
          <w:p w14:paraId="1775A9D8"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45</w:t>
            </w:r>
          </w:p>
        </w:tc>
        <w:tc>
          <w:tcPr>
            <w:tcW w:w="0" w:type="auto"/>
            <w:tcBorders>
              <w:top w:val="single" w:sz="4" w:space="0" w:color="D9E1F2"/>
              <w:left w:val="nil"/>
              <w:bottom w:val="single" w:sz="4" w:space="0" w:color="D9E1F2"/>
              <w:right w:val="nil"/>
            </w:tcBorders>
            <w:shd w:val="clear" w:color="auto" w:fill="auto"/>
            <w:noWrap/>
            <w:vAlign w:val="bottom"/>
          </w:tcPr>
          <w:p w14:paraId="180194D8" w14:textId="77777777" w:rsidR="007F09C3" w:rsidRPr="005F3A46" w:rsidRDefault="007F09C3" w:rsidP="007F09C3">
            <w:pPr>
              <w:jc w:val="cente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tcPr>
          <w:p w14:paraId="0FB7DFFD" w14:textId="77777777" w:rsidR="007F09C3" w:rsidRPr="005F3A46" w:rsidRDefault="007F09C3" w:rsidP="007F09C3">
            <w:pPr>
              <w:jc w:val="cente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1C18A542" w14:textId="77777777" w:rsidR="007F09C3" w:rsidRPr="005F3A46" w:rsidRDefault="007F09C3" w:rsidP="007F09C3">
            <w:pPr>
              <w:jc w:val="cente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78889F3A" w14:textId="77777777" w:rsidR="007F09C3" w:rsidRPr="005F3A46" w:rsidRDefault="007F09C3" w:rsidP="007F09C3">
            <w:pPr>
              <w:rPr>
                <w:rFonts w:ascii="Arial Narrow" w:hAnsi="Arial Narrow"/>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2C517480"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$ 416,2</w:t>
            </w:r>
          </w:p>
        </w:tc>
        <w:tc>
          <w:tcPr>
            <w:tcW w:w="0" w:type="auto"/>
            <w:tcBorders>
              <w:top w:val="single" w:sz="4" w:space="0" w:color="D9E1F2"/>
              <w:left w:val="nil"/>
              <w:bottom w:val="single" w:sz="4" w:space="0" w:color="D9E1F2"/>
              <w:right w:val="nil"/>
            </w:tcBorders>
            <w:shd w:val="clear" w:color="auto" w:fill="auto"/>
            <w:noWrap/>
            <w:vAlign w:val="bottom"/>
            <w:hideMark/>
          </w:tcPr>
          <w:p w14:paraId="4BEF12DD"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$ 563,2</w:t>
            </w:r>
          </w:p>
        </w:tc>
      </w:tr>
      <w:tr w:rsidR="007F09C3" w:rsidRPr="005F3A46" w14:paraId="45AF1C57"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5ABEF55B"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1. Atrasado en Aportes &gt; 1 año</w:t>
            </w:r>
          </w:p>
        </w:tc>
        <w:tc>
          <w:tcPr>
            <w:tcW w:w="0" w:type="auto"/>
            <w:tcBorders>
              <w:top w:val="single" w:sz="4" w:space="0" w:color="D9E1F2"/>
              <w:left w:val="nil"/>
              <w:bottom w:val="single" w:sz="4" w:space="0" w:color="D9E1F2"/>
              <w:right w:val="nil"/>
            </w:tcBorders>
            <w:shd w:val="clear" w:color="auto" w:fill="auto"/>
            <w:noWrap/>
            <w:vAlign w:val="bottom"/>
            <w:hideMark/>
          </w:tcPr>
          <w:p w14:paraId="6AD78C5B"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13</w:t>
            </w:r>
          </w:p>
        </w:tc>
        <w:tc>
          <w:tcPr>
            <w:tcW w:w="0" w:type="auto"/>
            <w:tcBorders>
              <w:top w:val="single" w:sz="4" w:space="0" w:color="D9E1F2"/>
              <w:left w:val="nil"/>
              <w:bottom w:val="single" w:sz="4" w:space="0" w:color="D9E1F2"/>
              <w:right w:val="nil"/>
            </w:tcBorders>
            <w:shd w:val="clear" w:color="auto" w:fill="auto"/>
            <w:noWrap/>
            <w:vAlign w:val="bottom"/>
            <w:hideMark/>
          </w:tcPr>
          <w:p w14:paraId="6A307944"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24,3 </w:t>
            </w:r>
          </w:p>
        </w:tc>
        <w:tc>
          <w:tcPr>
            <w:tcW w:w="0" w:type="auto"/>
            <w:tcBorders>
              <w:top w:val="single" w:sz="4" w:space="0" w:color="D9E1F2"/>
              <w:left w:val="nil"/>
              <w:bottom w:val="single" w:sz="4" w:space="0" w:color="D9E1F2"/>
              <w:right w:val="nil"/>
            </w:tcBorders>
            <w:shd w:val="clear" w:color="auto" w:fill="auto"/>
            <w:noWrap/>
            <w:vAlign w:val="bottom"/>
            <w:hideMark/>
          </w:tcPr>
          <w:p w14:paraId="60A9096E"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82,3 </w:t>
            </w:r>
          </w:p>
        </w:tc>
        <w:tc>
          <w:tcPr>
            <w:tcW w:w="0" w:type="auto"/>
            <w:tcBorders>
              <w:top w:val="single" w:sz="4" w:space="0" w:color="D9E1F2"/>
              <w:left w:val="nil"/>
              <w:bottom w:val="single" w:sz="4" w:space="0" w:color="D9E1F2"/>
              <w:right w:val="nil"/>
            </w:tcBorders>
            <w:shd w:val="clear" w:color="auto" w:fill="auto"/>
            <w:noWrap/>
            <w:vAlign w:val="bottom"/>
            <w:hideMark/>
          </w:tcPr>
          <w:p w14:paraId="4FDBB819"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$ 10,0</w:t>
            </w:r>
          </w:p>
        </w:tc>
        <w:tc>
          <w:tcPr>
            <w:tcW w:w="0" w:type="auto"/>
            <w:tcBorders>
              <w:top w:val="single" w:sz="4" w:space="0" w:color="D9E1F2"/>
              <w:left w:val="nil"/>
              <w:bottom w:val="single" w:sz="4" w:space="0" w:color="D9E1F2"/>
              <w:right w:val="nil"/>
            </w:tcBorders>
            <w:shd w:val="clear" w:color="auto" w:fill="auto"/>
            <w:noWrap/>
            <w:vAlign w:val="bottom"/>
            <w:hideMark/>
          </w:tcPr>
          <w:p w14:paraId="3B326994"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$ 179,1</w:t>
            </w:r>
          </w:p>
        </w:tc>
        <w:tc>
          <w:tcPr>
            <w:tcW w:w="0" w:type="auto"/>
            <w:tcBorders>
              <w:top w:val="single" w:sz="4" w:space="0" w:color="D9E1F2"/>
              <w:left w:val="nil"/>
              <w:bottom w:val="single" w:sz="4" w:space="0" w:color="D9E1F2"/>
              <w:right w:val="nil"/>
            </w:tcBorders>
            <w:shd w:val="clear" w:color="auto" w:fill="auto"/>
            <w:noWrap/>
            <w:vAlign w:val="bottom"/>
            <w:hideMark/>
          </w:tcPr>
          <w:p w14:paraId="18092C15"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$ 162,8</w:t>
            </w:r>
          </w:p>
        </w:tc>
        <w:tc>
          <w:tcPr>
            <w:tcW w:w="0" w:type="auto"/>
            <w:tcBorders>
              <w:top w:val="single" w:sz="4" w:space="0" w:color="D9E1F2"/>
              <w:left w:val="nil"/>
              <w:bottom w:val="single" w:sz="4" w:space="0" w:color="D9E1F2"/>
              <w:right w:val="nil"/>
            </w:tcBorders>
            <w:shd w:val="clear" w:color="auto" w:fill="auto"/>
            <w:noWrap/>
            <w:vAlign w:val="bottom"/>
            <w:hideMark/>
          </w:tcPr>
          <w:p w14:paraId="32ECE8E3"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$ 34,9</w:t>
            </w:r>
          </w:p>
        </w:tc>
      </w:tr>
      <w:tr w:rsidR="007F09C3" w:rsidRPr="005F3A46" w14:paraId="500B1D88"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69DF0135"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2. Atrasado en Aportes &gt;6-12 meses</w:t>
            </w:r>
          </w:p>
        </w:tc>
        <w:tc>
          <w:tcPr>
            <w:tcW w:w="0" w:type="auto"/>
            <w:tcBorders>
              <w:top w:val="single" w:sz="4" w:space="0" w:color="D9E1F2"/>
              <w:left w:val="nil"/>
              <w:bottom w:val="single" w:sz="4" w:space="0" w:color="D9E1F2"/>
              <w:right w:val="nil"/>
            </w:tcBorders>
            <w:shd w:val="clear" w:color="auto" w:fill="auto"/>
            <w:noWrap/>
            <w:vAlign w:val="bottom"/>
            <w:hideMark/>
          </w:tcPr>
          <w:p w14:paraId="2B3E32A9"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15</w:t>
            </w:r>
          </w:p>
        </w:tc>
        <w:tc>
          <w:tcPr>
            <w:tcW w:w="0" w:type="auto"/>
            <w:tcBorders>
              <w:top w:val="single" w:sz="4" w:space="0" w:color="D9E1F2"/>
              <w:left w:val="nil"/>
              <w:bottom w:val="single" w:sz="4" w:space="0" w:color="D9E1F2"/>
              <w:right w:val="nil"/>
            </w:tcBorders>
            <w:shd w:val="clear" w:color="auto" w:fill="auto"/>
            <w:noWrap/>
            <w:vAlign w:val="bottom"/>
            <w:hideMark/>
          </w:tcPr>
          <w:p w14:paraId="0C2A4029"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22,7 </w:t>
            </w:r>
          </w:p>
        </w:tc>
        <w:tc>
          <w:tcPr>
            <w:tcW w:w="0" w:type="auto"/>
            <w:tcBorders>
              <w:top w:val="single" w:sz="4" w:space="0" w:color="D9E1F2"/>
              <w:left w:val="nil"/>
              <w:bottom w:val="single" w:sz="4" w:space="0" w:color="D9E1F2"/>
              <w:right w:val="nil"/>
            </w:tcBorders>
            <w:shd w:val="clear" w:color="auto" w:fill="auto"/>
            <w:noWrap/>
            <w:vAlign w:val="bottom"/>
            <w:hideMark/>
          </w:tcPr>
          <w:p w14:paraId="4BEC124D"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77,8 </w:t>
            </w:r>
          </w:p>
        </w:tc>
        <w:tc>
          <w:tcPr>
            <w:tcW w:w="0" w:type="auto"/>
            <w:tcBorders>
              <w:top w:val="single" w:sz="4" w:space="0" w:color="D9E1F2"/>
              <w:left w:val="nil"/>
              <w:bottom w:val="single" w:sz="4" w:space="0" w:color="D9E1F2"/>
              <w:right w:val="nil"/>
            </w:tcBorders>
            <w:shd w:val="clear" w:color="auto" w:fill="auto"/>
            <w:noWrap/>
            <w:vAlign w:val="bottom"/>
            <w:hideMark/>
          </w:tcPr>
          <w:p w14:paraId="3A86F0A9" w14:textId="77777777" w:rsidR="007F09C3" w:rsidRPr="005F3A46" w:rsidRDefault="007F09C3" w:rsidP="007F09C3">
            <w:pP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65CB5151"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$ 173,5</w:t>
            </w:r>
          </w:p>
        </w:tc>
        <w:tc>
          <w:tcPr>
            <w:tcW w:w="0" w:type="auto"/>
            <w:tcBorders>
              <w:top w:val="single" w:sz="4" w:space="0" w:color="D9E1F2"/>
              <w:left w:val="nil"/>
              <w:bottom w:val="single" w:sz="4" w:space="0" w:color="D9E1F2"/>
              <w:right w:val="nil"/>
            </w:tcBorders>
            <w:shd w:val="clear" w:color="auto" w:fill="auto"/>
            <w:noWrap/>
            <w:vAlign w:val="bottom"/>
            <w:hideMark/>
          </w:tcPr>
          <w:p w14:paraId="43FB8D08"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$ 183,0</w:t>
            </w:r>
          </w:p>
        </w:tc>
        <w:tc>
          <w:tcPr>
            <w:tcW w:w="0" w:type="auto"/>
            <w:tcBorders>
              <w:top w:val="single" w:sz="4" w:space="0" w:color="D9E1F2"/>
              <w:left w:val="nil"/>
              <w:bottom w:val="single" w:sz="4" w:space="0" w:color="D9E1F2"/>
              <w:right w:val="nil"/>
            </w:tcBorders>
            <w:shd w:val="clear" w:color="auto" w:fill="auto"/>
            <w:noWrap/>
            <w:vAlign w:val="bottom"/>
            <w:hideMark/>
          </w:tcPr>
          <w:p w14:paraId="245E485F" w14:textId="77777777" w:rsidR="007F09C3" w:rsidRPr="005F3A46" w:rsidRDefault="007F09C3" w:rsidP="007F09C3">
            <w:pPr>
              <w:jc w:val="right"/>
              <w:rPr>
                <w:rFonts w:ascii="Arial Narrow" w:hAnsi="Arial Narrow" w:cs="Calibri"/>
                <w:color w:val="000000"/>
                <w:sz w:val="22"/>
                <w:szCs w:val="22"/>
                <w:lang w:eastAsia="es-CO"/>
              </w:rPr>
            </w:pPr>
          </w:p>
        </w:tc>
      </w:tr>
      <w:tr w:rsidR="007F09C3" w:rsidRPr="005F3A46" w14:paraId="11EF5E65"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5578CD03"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3. Atrasado Hasta 6 Meses</w:t>
            </w:r>
          </w:p>
        </w:tc>
        <w:tc>
          <w:tcPr>
            <w:tcW w:w="0" w:type="auto"/>
            <w:tcBorders>
              <w:top w:val="single" w:sz="4" w:space="0" w:color="D9E1F2"/>
              <w:left w:val="nil"/>
              <w:bottom w:val="single" w:sz="4" w:space="0" w:color="D9E1F2"/>
              <w:right w:val="nil"/>
            </w:tcBorders>
            <w:shd w:val="clear" w:color="auto" w:fill="auto"/>
            <w:noWrap/>
            <w:vAlign w:val="bottom"/>
            <w:hideMark/>
          </w:tcPr>
          <w:p w14:paraId="165DC76E"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46</w:t>
            </w:r>
          </w:p>
        </w:tc>
        <w:tc>
          <w:tcPr>
            <w:tcW w:w="0" w:type="auto"/>
            <w:tcBorders>
              <w:top w:val="single" w:sz="4" w:space="0" w:color="D9E1F2"/>
              <w:left w:val="nil"/>
              <w:bottom w:val="single" w:sz="4" w:space="0" w:color="D9E1F2"/>
              <w:right w:val="nil"/>
            </w:tcBorders>
            <w:shd w:val="clear" w:color="auto" w:fill="auto"/>
            <w:noWrap/>
            <w:vAlign w:val="bottom"/>
            <w:hideMark/>
          </w:tcPr>
          <w:p w14:paraId="26B88A8C"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19,1 </w:t>
            </w:r>
          </w:p>
        </w:tc>
        <w:tc>
          <w:tcPr>
            <w:tcW w:w="0" w:type="auto"/>
            <w:tcBorders>
              <w:top w:val="single" w:sz="4" w:space="0" w:color="D9E1F2"/>
              <w:left w:val="nil"/>
              <w:bottom w:val="single" w:sz="4" w:space="0" w:color="D9E1F2"/>
              <w:right w:val="nil"/>
            </w:tcBorders>
            <w:shd w:val="clear" w:color="auto" w:fill="auto"/>
            <w:noWrap/>
            <w:vAlign w:val="bottom"/>
            <w:hideMark/>
          </w:tcPr>
          <w:p w14:paraId="10A7F08F"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70,0 </w:t>
            </w:r>
          </w:p>
        </w:tc>
        <w:tc>
          <w:tcPr>
            <w:tcW w:w="0" w:type="auto"/>
            <w:tcBorders>
              <w:top w:val="single" w:sz="4" w:space="0" w:color="D9E1F2"/>
              <w:left w:val="nil"/>
              <w:bottom w:val="single" w:sz="4" w:space="0" w:color="D9E1F2"/>
              <w:right w:val="nil"/>
            </w:tcBorders>
            <w:shd w:val="clear" w:color="auto" w:fill="auto"/>
            <w:noWrap/>
            <w:vAlign w:val="bottom"/>
            <w:hideMark/>
          </w:tcPr>
          <w:p w14:paraId="15C44D4F"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$ 43,7</w:t>
            </w:r>
          </w:p>
        </w:tc>
        <w:tc>
          <w:tcPr>
            <w:tcW w:w="0" w:type="auto"/>
            <w:tcBorders>
              <w:top w:val="single" w:sz="4" w:space="0" w:color="D9E1F2"/>
              <w:left w:val="nil"/>
              <w:bottom w:val="single" w:sz="4" w:space="0" w:color="D9E1F2"/>
              <w:right w:val="nil"/>
            </w:tcBorders>
            <w:shd w:val="clear" w:color="auto" w:fill="auto"/>
            <w:noWrap/>
            <w:vAlign w:val="bottom"/>
            <w:hideMark/>
          </w:tcPr>
          <w:p w14:paraId="26D67B62"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$ 441,0</w:t>
            </w:r>
          </w:p>
        </w:tc>
        <w:tc>
          <w:tcPr>
            <w:tcW w:w="0" w:type="auto"/>
            <w:tcBorders>
              <w:top w:val="single" w:sz="4" w:space="0" w:color="D9E1F2"/>
              <w:left w:val="nil"/>
              <w:bottom w:val="single" w:sz="4" w:space="0" w:color="D9E1F2"/>
              <w:right w:val="nil"/>
            </w:tcBorders>
            <w:shd w:val="clear" w:color="auto" w:fill="auto"/>
            <w:noWrap/>
            <w:vAlign w:val="bottom"/>
            <w:hideMark/>
          </w:tcPr>
          <w:p w14:paraId="0D483479"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$ 390,0</w:t>
            </w:r>
          </w:p>
        </w:tc>
        <w:tc>
          <w:tcPr>
            <w:tcW w:w="0" w:type="auto"/>
            <w:tcBorders>
              <w:top w:val="single" w:sz="4" w:space="0" w:color="D9E1F2"/>
              <w:left w:val="nil"/>
              <w:bottom w:val="single" w:sz="4" w:space="0" w:color="D9E1F2"/>
              <w:right w:val="nil"/>
            </w:tcBorders>
            <w:shd w:val="clear" w:color="auto" w:fill="auto"/>
            <w:noWrap/>
            <w:vAlign w:val="bottom"/>
            <w:hideMark/>
          </w:tcPr>
          <w:p w14:paraId="2611BF94"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$ 205,0</w:t>
            </w:r>
          </w:p>
        </w:tc>
      </w:tr>
      <w:tr w:rsidR="007F09C3" w:rsidRPr="005F3A46" w14:paraId="5004C4D2"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27050310"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4. Mora Cartera</w:t>
            </w:r>
          </w:p>
        </w:tc>
        <w:tc>
          <w:tcPr>
            <w:tcW w:w="0" w:type="auto"/>
            <w:tcBorders>
              <w:top w:val="single" w:sz="4" w:space="0" w:color="D9E1F2"/>
              <w:left w:val="nil"/>
              <w:bottom w:val="single" w:sz="4" w:space="0" w:color="D9E1F2"/>
              <w:right w:val="nil"/>
            </w:tcBorders>
            <w:shd w:val="clear" w:color="auto" w:fill="auto"/>
            <w:noWrap/>
            <w:vAlign w:val="bottom"/>
            <w:hideMark/>
          </w:tcPr>
          <w:p w14:paraId="06534366"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14</w:t>
            </w:r>
          </w:p>
        </w:tc>
        <w:tc>
          <w:tcPr>
            <w:tcW w:w="0" w:type="auto"/>
            <w:tcBorders>
              <w:top w:val="single" w:sz="4" w:space="0" w:color="D9E1F2"/>
              <w:left w:val="nil"/>
              <w:bottom w:val="single" w:sz="4" w:space="0" w:color="D9E1F2"/>
              <w:right w:val="nil"/>
            </w:tcBorders>
            <w:shd w:val="clear" w:color="auto" w:fill="auto"/>
            <w:noWrap/>
            <w:vAlign w:val="bottom"/>
            <w:hideMark/>
          </w:tcPr>
          <w:p w14:paraId="434D5794"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15,0 </w:t>
            </w:r>
          </w:p>
        </w:tc>
        <w:tc>
          <w:tcPr>
            <w:tcW w:w="0" w:type="auto"/>
            <w:tcBorders>
              <w:top w:val="single" w:sz="4" w:space="0" w:color="D9E1F2"/>
              <w:left w:val="nil"/>
              <w:bottom w:val="single" w:sz="4" w:space="0" w:color="D9E1F2"/>
              <w:right w:val="nil"/>
            </w:tcBorders>
            <w:shd w:val="clear" w:color="auto" w:fill="auto"/>
            <w:noWrap/>
            <w:vAlign w:val="bottom"/>
            <w:hideMark/>
          </w:tcPr>
          <w:p w14:paraId="09259319"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59,3 </w:t>
            </w:r>
          </w:p>
        </w:tc>
        <w:tc>
          <w:tcPr>
            <w:tcW w:w="0" w:type="auto"/>
            <w:tcBorders>
              <w:top w:val="single" w:sz="4" w:space="0" w:color="D9E1F2"/>
              <w:left w:val="nil"/>
              <w:bottom w:val="single" w:sz="4" w:space="0" w:color="D9E1F2"/>
              <w:right w:val="nil"/>
            </w:tcBorders>
            <w:shd w:val="clear" w:color="auto" w:fill="auto"/>
            <w:noWrap/>
            <w:vAlign w:val="bottom"/>
            <w:hideMark/>
          </w:tcPr>
          <w:p w14:paraId="0188E0C1" w14:textId="77777777" w:rsidR="007F09C3" w:rsidRPr="005F3A46" w:rsidRDefault="007F09C3" w:rsidP="007F09C3">
            <w:pPr>
              <w:rPr>
                <w:rFonts w:ascii="Arial Narrow" w:hAnsi="Arial Narrow" w:cs="Calibri"/>
                <w:color w:val="000000"/>
                <w:sz w:val="22"/>
                <w:szCs w:val="22"/>
                <w:lang w:eastAsia="es-CO"/>
              </w:rPr>
            </w:pPr>
          </w:p>
        </w:tc>
        <w:tc>
          <w:tcPr>
            <w:tcW w:w="0" w:type="auto"/>
            <w:tcBorders>
              <w:top w:val="single" w:sz="4" w:space="0" w:color="D9E1F2"/>
              <w:left w:val="nil"/>
              <w:bottom w:val="single" w:sz="4" w:space="0" w:color="D9E1F2"/>
              <w:right w:val="nil"/>
            </w:tcBorders>
            <w:shd w:val="clear" w:color="auto" w:fill="auto"/>
            <w:noWrap/>
            <w:vAlign w:val="bottom"/>
            <w:hideMark/>
          </w:tcPr>
          <w:p w14:paraId="7B230834"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$ 133,3</w:t>
            </w:r>
          </w:p>
        </w:tc>
        <w:tc>
          <w:tcPr>
            <w:tcW w:w="0" w:type="auto"/>
            <w:tcBorders>
              <w:top w:val="single" w:sz="4" w:space="0" w:color="D9E1F2"/>
              <w:left w:val="nil"/>
              <w:bottom w:val="single" w:sz="4" w:space="0" w:color="D9E1F2"/>
              <w:right w:val="nil"/>
            </w:tcBorders>
            <w:shd w:val="clear" w:color="auto" w:fill="auto"/>
            <w:noWrap/>
            <w:vAlign w:val="bottom"/>
            <w:hideMark/>
          </w:tcPr>
          <w:p w14:paraId="09FEA6A9"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$ 229,4</w:t>
            </w:r>
          </w:p>
        </w:tc>
        <w:tc>
          <w:tcPr>
            <w:tcW w:w="0" w:type="auto"/>
            <w:tcBorders>
              <w:top w:val="single" w:sz="4" w:space="0" w:color="D9E1F2"/>
              <w:left w:val="nil"/>
              <w:bottom w:val="single" w:sz="4" w:space="0" w:color="D9E1F2"/>
              <w:right w:val="nil"/>
            </w:tcBorders>
            <w:shd w:val="clear" w:color="auto" w:fill="auto"/>
            <w:noWrap/>
            <w:vAlign w:val="bottom"/>
            <w:hideMark/>
          </w:tcPr>
          <w:p w14:paraId="094C527A"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$ 84,8</w:t>
            </w:r>
          </w:p>
        </w:tc>
      </w:tr>
      <w:tr w:rsidR="007F09C3" w:rsidRPr="005F3A46" w14:paraId="0BF11F68" w14:textId="77777777" w:rsidTr="00E3409C">
        <w:trPr>
          <w:trHeight w:val="290"/>
        </w:trPr>
        <w:tc>
          <w:tcPr>
            <w:tcW w:w="0" w:type="auto"/>
            <w:tcBorders>
              <w:top w:val="single" w:sz="4" w:space="0" w:color="D9E1F2"/>
              <w:left w:val="nil"/>
              <w:bottom w:val="single" w:sz="4" w:space="0" w:color="D9E1F2"/>
              <w:right w:val="nil"/>
            </w:tcBorders>
            <w:shd w:val="clear" w:color="auto" w:fill="auto"/>
            <w:noWrap/>
            <w:vAlign w:val="bottom"/>
            <w:hideMark/>
          </w:tcPr>
          <w:p w14:paraId="61FF9676"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5. Al día en Aportes</w:t>
            </w:r>
          </w:p>
        </w:tc>
        <w:tc>
          <w:tcPr>
            <w:tcW w:w="0" w:type="auto"/>
            <w:tcBorders>
              <w:top w:val="single" w:sz="4" w:space="0" w:color="D9E1F2"/>
              <w:left w:val="nil"/>
              <w:bottom w:val="single" w:sz="4" w:space="0" w:color="D9E1F2"/>
              <w:right w:val="nil"/>
            </w:tcBorders>
            <w:shd w:val="clear" w:color="auto" w:fill="auto"/>
            <w:noWrap/>
            <w:vAlign w:val="bottom"/>
            <w:hideMark/>
          </w:tcPr>
          <w:p w14:paraId="253C1578"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1987</w:t>
            </w:r>
          </w:p>
        </w:tc>
        <w:tc>
          <w:tcPr>
            <w:tcW w:w="0" w:type="auto"/>
            <w:tcBorders>
              <w:top w:val="single" w:sz="4" w:space="0" w:color="D9E1F2"/>
              <w:left w:val="nil"/>
              <w:bottom w:val="single" w:sz="4" w:space="0" w:color="D9E1F2"/>
              <w:right w:val="nil"/>
            </w:tcBorders>
            <w:shd w:val="clear" w:color="auto" w:fill="auto"/>
            <w:noWrap/>
            <w:vAlign w:val="bottom"/>
            <w:hideMark/>
          </w:tcPr>
          <w:p w14:paraId="0D1065F4"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11,6 </w:t>
            </w:r>
          </w:p>
        </w:tc>
        <w:tc>
          <w:tcPr>
            <w:tcW w:w="0" w:type="auto"/>
            <w:tcBorders>
              <w:top w:val="single" w:sz="4" w:space="0" w:color="D9E1F2"/>
              <w:left w:val="nil"/>
              <w:bottom w:val="single" w:sz="4" w:space="0" w:color="D9E1F2"/>
              <w:right w:val="nil"/>
            </w:tcBorders>
            <w:shd w:val="clear" w:color="auto" w:fill="auto"/>
            <w:noWrap/>
            <w:vAlign w:val="bottom"/>
            <w:hideMark/>
          </w:tcPr>
          <w:p w14:paraId="4923EE73" w14:textId="77777777" w:rsidR="007F09C3" w:rsidRPr="005F3A46" w:rsidRDefault="007F09C3" w:rsidP="007F09C3">
            <w:pPr>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xml:space="preserve">       55,4 </w:t>
            </w:r>
          </w:p>
        </w:tc>
        <w:tc>
          <w:tcPr>
            <w:tcW w:w="0" w:type="auto"/>
            <w:tcBorders>
              <w:top w:val="single" w:sz="4" w:space="0" w:color="D9E1F2"/>
              <w:left w:val="nil"/>
              <w:bottom w:val="single" w:sz="4" w:space="0" w:color="D9E1F2"/>
              <w:right w:val="nil"/>
            </w:tcBorders>
            <w:shd w:val="clear" w:color="auto" w:fill="auto"/>
            <w:noWrap/>
            <w:vAlign w:val="bottom"/>
            <w:hideMark/>
          </w:tcPr>
          <w:p w14:paraId="027F7D16"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$ 1.437,1</w:t>
            </w:r>
          </w:p>
        </w:tc>
        <w:tc>
          <w:tcPr>
            <w:tcW w:w="0" w:type="auto"/>
            <w:tcBorders>
              <w:top w:val="single" w:sz="4" w:space="0" w:color="D9E1F2"/>
              <w:left w:val="nil"/>
              <w:bottom w:val="single" w:sz="4" w:space="0" w:color="D9E1F2"/>
              <w:right w:val="nil"/>
            </w:tcBorders>
            <w:shd w:val="clear" w:color="auto" w:fill="auto"/>
            <w:noWrap/>
            <w:vAlign w:val="bottom"/>
            <w:hideMark/>
          </w:tcPr>
          <w:p w14:paraId="6FEE5728"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$ 18.464,4</w:t>
            </w:r>
          </w:p>
        </w:tc>
        <w:tc>
          <w:tcPr>
            <w:tcW w:w="0" w:type="auto"/>
            <w:tcBorders>
              <w:top w:val="single" w:sz="4" w:space="0" w:color="D9E1F2"/>
              <w:left w:val="nil"/>
              <w:bottom w:val="single" w:sz="4" w:space="0" w:color="D9E1F2"/>
              <w:right w:val="nil"/>
            </w:tcBorders>
            <w:shd w:val="clear" w:color="auto" w:fill="auto"/>
            <w:noWrap/>
            <w:vAlign w:val="bottom"/>
            <w:hideMark/>
          </w:tcPr>
          <w:p w14:paraId="25929325"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$ 18.694,3</w:t>
            </w:r>
          </w:p>
        </w:tc>
        <w:tc>
          <w:tcPr>
            <w:tcW w:w="0" w:type="auto"/>
            <w:tcBorders>
              <w:top w:val="single" w:sz="4" w:space="0" w:color="D9E1F2"/>
              <w:left w:val="nil"/>
              <w:bottom w:val="single" w:sz="4" w:space="0" w:color="D9E1F2"/>
              <w:right w:val="nil"/>
            </w:tcBorders>
            <w:shd w:val="clear" w:color="auto" w:fill="auto"/>
            <w:noWrap/>
            <w:vAlign w:val="bottom"/>
            <w:hideMark/>
          </w:tcPr>
          <w:p w14:paraId="0323B55B" w14:textId="77777777" w:rsidR="007F09C3" w:rsidRPr="005F3A46" w:rsidRDefault="007F09C3" w:rsidP="007F09C3">
            <w:pPr>
              <w:jc w:val="right"/>
              <w:rPr>
                <w:rFonts w:ascii="Arial Narrow" w:hAnsi="Arial Narrow" w:cs="Calibri"/>
                <w:color w:val="000000"/>
                <w:sz w:val="22"/>
                <w:szCs w:val="22"/>
                <w:lang w:eastAsia="es-CO"/>
              </w:rPr>
            </w:pPr>
            <w:r w:rsidRPr="005F3A46">
              <w:rPr>
                <w:rFonts w:ascii="Arial Narrow" w:hAnsi="Arial Narrow" w:cs="Calibri"/>
                <w:color w:val="000000"/>
                <w:sz w:val="22"/>
                <w:szCs w:val="22"/>
                <w:lang w:eastAsia="es-CO"/>
              </w:rPr>
              <w:t>$ 13.314,8</w:t>
            </w:r>
          </w:p>
        </w:tc>
      </w:tr>
      <w:tr w:rsidR="007F09C3" w:rsidRPr="005F3A46" w14:paraId="1323141A" w14:textId="77777777" w:rsidTr="00E3409C">
        <w:trPr>
          <w:trHeight w:val="290"/>
        </w:trPr>
        <w:tc>
          <w:tcPr>
            <w:tcW w:w="0" w:type="auto"/>
            <w:tcBorders>
              <w:top w:val="double" w:sz="6" w:space="0" w:color="305496"/>
              <w:left w:val="nil"/>
              <w:bottom w:val="nil"/>
              <w:right w:val="nil"/>
            </w:tcBorders>
            <w:shd w:val="clear" w:color="auto" w:fill="auto"/>
            <w:noWrap/>
            <w:vAlign w:val="bottom"/>
            <w:hideMark/>
          </w:tcPr>
          <w:p w14:paraId="3C4E86DD" w14:textId="77777777" w:rsidR="007F09C3" w:rsidRPr="005F3A46" w:rsidRDefault="007F09C3" w:rsidP="007F09C3">
            <w:pPr>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Total general</w:t>
            </w:r>
          </w:p>
        </w:tc>
        <w:tc>
          <w:tcPr>
            <w:tcW w:w="0" w:type="auto"/>
            <w:tcBorders>
              <w:top w:val="double" w:sz="6" w:space="0" w:color="305496"/>
              <w:left w:val="nil"/>
              <w:bottom w:val="nil"/>
              <w:right w:val="nil"/>
            </w:tcBorders>
            <w:shd w:val="clear" w:color="auto" w:fill="auto"/>
            <w:noWrap/>
            <w:vAlign w:val="bottom"/>
            <w:hideMark/>
          </w:tcPr>
          <w:p w14:paraId="2B98B1F4" w14:textId="77777777" w:rsidR="007F09C3" w:rsidRPr="005F3A46" w:rsidRDefault="007F09C3" w:rsidP="007F09C3">
            <w:pPr>
              <w:jc w:val="right"/>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2162</w:t>
            </w:r>
          </w:p>
        </w:tc>
        <w:tc>
          <w:tcPr>
            <w:tcW w:w="0" w:type="auto"/>
            <w:tcBorders>
              <w:top w:val="double" w:sz="6" w:space="0" w:color="305496"/>
              <w:left w:val="nil"/>
              <w:bottom w:val="nil"/>
              <w:right w:val="nil"/>
            </w:tcBorders>
            <w:shd w:val="clear" w:color="auto" w:fill="auto"/>
            <w:noWrap/>
            <w:vAlign w:val="bottom"/>
            <w:hideMark/>
          </w:tcPr>
          <w:p w14:paraId="1BEFBADB" w14:textId="77777777" w:rsidR="007F09C3" w:rsidRPr="005F3A46" w:rsidRDefault="007F09C3" w:rsidP="007F09C3">
            <w:pPr>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 xml:space="preserve">       11,9 </w:t>
            </w:r>
          </w:p>
        </w:tc>
        <w:tc>
          <w:tcPr>
            <w:tcW w:w="0" w:type="auto"/>
            <w:tcBorders>
              <w:top w:val="double" w:sz="6" w:space="0" w:color="305496"/>
              <w:left w:val="nil"/>
              <w:bottom w:val="nil"/>
              <w:right w:val="nil"/>
            </w:tcBorders>
            <w:shd w:val="clear" w:color="auto" w:fill="auto"/>
            <w:noWrap/>
            <w:vAlign w:val="bottom"/>
            <w:hideMark/>
          </w:tcPr>
          <w:p w14:paraId="56E01589" w14:textId="77777777" w:rsidR="007F09C3" w:rsidRPr="005F3A46" w:rsidRDefault="007F09C3" w:rsidP="007F09C3">
            <w:pPr>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 xml:space="preserve">       56,1 </w:t>
            </w:r>
          </w:p>
        </w:tc>
        <w:tc>
          <w:tcPr>
            <w:tcW w:w="0" w:type="auto"/>
            <w:tcBorders>
              <w:top w:val="double" w:sz="6" w:space="0" w:color="305496"/>
              <w:left w:val="nil"/>
              <w:bottom w:val="nil"/>
              <w:right w:val="nil"/>
            </w:tcBorders>
            <w:shd w:val="clear" w:color="auto" w:fill="auto"/>
            <w:noWrap/>
            <w:vAlign w:val="bottom"/>
            <w:hideMark/>
          </w:tcPr>
          <w:p w14:paraId="6DA70887" w14:textId="77777777" w:rsidR="007F09C3" w:rsidRPr="005F3A46" w:rsidRDefault="007F09C3" w:rsidP="007F09C3">
            <w:pPr>
              <w:jc w:val="right"/>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$ 1.490,8</w:t>
            </w:r>
          </w:p>
        </w:tc>
        <w:tc>
          <w:tcPr>
            <w:tcW w:w="0" w:type="auto"/>
            <w:tcBorders>
              <w:top w:val="double" w:sz="6" w:space="0" w:color="305496"/>
              <w:left w:val="nil"/>
              <w:bottom w:val="nil"/>
              <w:right w:val="nil"/>
            </w:tcBorders>
            <w:shd w:val="clear" w:color="auto" w:fill="auto"/>
            <w:noWrap/>
            <w:vAlign w:val="bottom"/>
            <w:hideMark/>
          </w:tcPr>
          <w:p w14:paraId="3BFF0221" w14:textId="77777777" w:rsidR="007F09C3" w:rsidRPr="005F3A46" w:rsidRDefault="007F09C3" w:rsidP="007F09C3">
            <w:pPr>
              <w:jc w:val="right"/>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$ 19.391,4</w:t>
            </w:r>
          </w:p>
        </w:tc>
        <w:tc>
          <w:tcPr>
            <w:tcW w:w="0" w:type="auto"/>
            <w:tcBorders>
              <w:top w:val="double" w:sz="6" w:space="0" w:color="305496"/>
              <w:left w:val="nil"/>
              <w:bottom w:val="nil"/>
              <w:right w:val="nil"/>
            </w:tcBorders>
            <w:shd w:val="clear" w:color="auto" w:fill="auto"/>
            <w:noWrap/>
            <w:vAlign w:val="bottom"/>
            <w:hideMark/>
          </w:tcPr>
          <w:p w14:paraId="410172CC" w14:textId="77777777" w:rsidR="007F09C3" w:rsidRPr="005F3A46" w:rsidRDefault="007F09C3" w:rsidP="007F09C3">
            <w:pPr>
              <w:jc w:val="right"/>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$ 20.452,7</w:t>
            </w:r>
          </w:p>
        </w:tc>
        <w:tc>
          <w:tcPr>
            <w:tcW w:w="0" w:type="auto"/>
            <w:tcBorders>
              <w:top w:val="double" w:sz="6" w:space="0" w:color="305496"/>
              <w:left w:val="nil"/>
              <w:bottom w:val="nil"/>
              <w:right w:val="nil"/>
            </w:tcBorders>
            <w:shd w:val="clear" w:color="auto" w:fill="auto"/>
            <w:noWrap/>
            <w:vAlign w:val="bottom"/>
            <w:hideMark/>
          </w:tcPr>
          <w:p w14:paraId="6F9DC889" w14:textId="77777777" w:rsidR="007F09C3" w:rsidRPr="005F3A46" w:rsidRDefault="007F09C3" w:rsidP="007F09C3">
            <w:pPr>
              <w:jc w:val="right"/>
              <w:rPr>
                <w:rFonts w:ascii="Arial Narrow" w:hAnsi="Arial Narrow" w:cs="Calibri"/>
                <w:b/>
                <w:bCs/>
                <w:color w:val="000000"/>
                <w:sz w:val="22"/>
                <w:szCs w:val="22"/>
                <w:lang w:eastAsia="es-CO"/>
              </w:rPr>
            </w:pPr>
            <w:r w:rsidRPr="005F3A46">
              <w:rPr>
                <w:rFonts w:ascii="Arial Narrow" w:hAnsi="Arial Narrow" w:cs="Calibri"/>
                <w:b/>
                <w:bCs/>
                <w:color w:val="000000"/>
                <w:sz w:val="22"/>
                <w:szCs w:val="22"/>
                <w:lang w:eastAsia="es-CO"/>
              </w:rPr>
              <w:t>$ 14.439,4</w:t>
            </w:r>
          </w:p>
        </w:tc>
      </w:tr>
    </w:tbl>
    <w:p w14:paraId="43C6E550" w14:textId="77777777" w:rsidR="007F09C3" w:rsidRPr="007F09C3" w:rsidRDefault="007F09C3" w:rsidP="007F09C3">
      <w:pPr>
        <w:jc w:val="both"/>
        <w:rPr>
          <w:rFonts w:ascii="Arial Narrow" w:hAnsi="Arial Narrow"/>
          <w:sz w:val="24"/>
          <w:szCs w:val="24"/>
        </w:rPr>
      </w:pPr>
    </w:p>
    <w:p w14:paraId="40580CEC"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Otro grupo de asociados minoritario presenta mora en aportes (4%) y un 1% de los asociados presenta mora en sus créditos, con lo cual ha habilidad llega a niveles del 95%.  </w:t>
      </w:r>
    </w:p>
    <w:p w14:paraId="0CF491EE" w14:textId="77777777" w:rsidR="007F09C3" w:rsidRPr="007F09C3" w:rsidRDefault="007F09C3" w:rsidP="007F09C3">
      <w:pPr>
        <w:jc w:val="both"/>
        <w:rPr>
          <w:rFonts w:ascii="Arial Narrow" w:hAnsi="Arial Narrow"/>
          <w:sz w:val="24"/>
          <w:szCs w:val="24"/>
        </w:rPr>
      </w:pPr>
    </w:p>
    <w:p w14:paraId="1D8F02EC"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De manera consolidada, el indicador de calidad de cartera (Cartera en Mora / Cartera Bruta) es del 4,34% y la cartera improductiva es del 3,47%.  Ambos indicadores presentan una mejora significativa pues se viene reduciendo de manera consistente desde el año 2014 cuando cerró con 10% la calidad de cartera y del 6,42% la improductiva.</w:t>
      </w:r>
    </w:p>
    <w:p w14:paraId="126FD8B3" w14:textId="758215D4" w:rsidR="007F09C3" w:rsidRPr="007F09C3" w:rsidRDefault="007F09C3" w:rsidP="007F09C3">
      <w:pPr>
        <w:rPr>
          <w:rFonts w:ascii="Arial Narrow" w:hAnsi="Arial Narrow"/>
          <w:sz w:val="24"/>
          <w:szCs w:val="24"/>
        </w:rPr>
      </w:pPr>
    </w:p>
    <w:p w14:paraId="67D91102" w14:textId="77777777" w:rsidR="007F09C3" w:rsidRPr="007F09C3" w:rsidRDefault="007F09C3" w:rsidP="00096788">
      <w:pPr>
        <w:pStyle w:val="Prrafodelista"/>
        <w:numPr>
          <w:ilvl w:val="1"/>
          <w:numId w:val="1"/>
        </w:numPr>
        <w:shd w:val="clear" w:color="auto" w:fill="E2EFD9" w:themeFill="accent6" w:themeFillTint="33"/>
        <w:contextualSpacing/>
        <w:jc w:val="both"/>
        <w:rPr>
          <w:rFonts w:ascii="Arial Narrow" w:hAnsi="Arial Narrow"/>
          <w:b/>
          <w:i/>
          <w:sz w:val="24"/>
          <w:szCs w:val="24"/>
        </w:rPr>
      </w:pPr>
      <w:r w:rsidRPr="007F09C3">
        <w:rPr>
          <w:rFonts w:ascii="Arial Narrow" w:hAnsi="Arial Narrow"/>
          <w:b/>
          <w:i/>
          <w:sz w:val="24"/>
          <w:szCs w:val="24"/>
        </w:rPr>
        <w:t>Objetivo 2: “</w:t>
      </w:r>
      <w:r w:rsidRPr="007F09C3">
        <w:rPr>
          <w:rFonts w:ascii="Arial Narrow" w:hAnsi="Arial Narrow"/>
          <w:b/>
          <w:i/>
          <w:sz w:val="24"/>
          <w:szCs w:val="24"/>
          <w:lang w:val="es-AR"/>
        </w:rPr>
        <w:t>Fomentar una cultura de solidaridad y promover la identidad cooperativa entre los asociados y los grupos de interés.”</w:t>
      </w:r>
    </w:p>
    <w:p w14:paraId="0D6E6C98" w14:textId="77777777" w:rsidR="007F09C3" w:rsidRPr="007F09C3" w:rsidRDefault="007F09C3" w:rsidP="007F09C3">
      <w:pPr>
        <w:rPr>
          <w:rFonts w:ascii="Arial Narrow" w:hAnsi="Arial Narrow"/>
          <w:sz w:val="24"/>
          <w:szCs w:val="24"/>
        </w:rPr>
      </w:pPr>
    </w:p>
    <w:p w14:paraId="6048C827" w14:textId="53D4BC7B"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Cualitativamente </w:t>
      </w:r>
      <w:r w:rsidR="00832291">
        <w:rPr>
          <w:rFonts w:ascii="Arial Narrow" w:hAnsi="Arial Narrow"/>
          <w:sz w:val="24"/>
          <w:szCs w:val="24"/>
        </w:rPr>
        <w:t>COOPEJEMPLO</w:t>
      </w:r>
      <w:r w:rsidRPr="007F09C3">
        <w:rPr>
          <w:rFonts w:ascii="Arial Narrow" w:hAnsi="Arial Narrow"/>
          <w:sz w:val="24"/>
          <w:szCs w:val="24"/>
        </w:rPr>
        <w:t xml:space="preserve"> tiene un gran balance social que destacar frente a sus asociados. Comparativamente con el servicio de ahorro y crédito que puede encontrar un asociado en una entidad del sector financiero tradicional, </w:t>
      </w:r>
      <w:r w:rsidR="00832291">
        <w:rPr>
          <w:rFonts w:ascii="Arial Narrow" w:hAnsi="Arial Narrow"/>
          <w:sz w:val="24"/>
          <w:szCs w:val="24"/>
        </w:rPr>
        <w:t>COOPEJEMPLO</w:t>
      </w:r>
      <w:r w:rsidRPr="007F09C3">
        <w:rPr>
          <w:rFonts w:ascii="Arial Narrow" w:hAnsi="Arial Narrow"/>
          <w:sz w:val="24"/>
          <w:szCs w:val="24"/>
        </w:rPr>
        <w:t xml:space="preserve"> tiene las siguientes ventajas comparativas para el asociado:</w:t>
      </w:r>
    </w:p>
    <w:p w14:paraId="63335E33" w14:textId="77777777" w:rsidR="007F09C3" w:rsidRPr="007F09C3" w:rsidRDefault="007F09C3" w:rsidP="007F09C3">
      <w:pPr>
        <w:jc w:val="both"/>
        <w:rPr>
          <w:rFonts w:ascii="Arial Narrow" w:hAnsi="Arial Narrow"/>
          <w:sz w:val="24"/>
          <w:szCs w:val="24"/>
        </w:rPr>
      </w:pPr>
    </w:p>
    <w:p w14:paraId="44B1C928" w14:textId="77777777" w:rsidR="007F09C3" w:rsidRPr="007F09C3" w:rsidRDefault="007F09C3" w:rsidP="007F09C3">
      <w:pPr>
        <w:pStyle w:val="Prrafodelista"/>
        <w:numPr>
          <w:ilvl w:val="0"/>
          <w:numId w:val="7"/>
        </w:numPr>
        <w:contextualSpacing/>
        <w:jc w:val="both"/>
        <w:rPr>
          <w:rFonts w:ascii="Arial Narrow" w:hAnsi="Arial Narrow"/>
          <w:sz w:val="24"/>
          <w:szCs w:val="24"/>
        </w:rPr>
      </w:pPr>
      <w:r w:rsidRPr="007F09C3">
        <w:rPr>
          <w:rFonts w:ascii="Arial Narrow" w:hAnsi="Arial Narrow"/>
          <w:sz w:val="24"/>
          <w:szCs w:val="24"/>
        </w:rPr>
        <w:t>Las tasas de interés de los créditos son inferiores al promedio observado en el mercado, especialmente en Consumo.</w:t>
      </w:r>
    </w:p>
    <w:p w14:paraId="737EDC52" w14:textId="77777777" w:rsidR="007F09C3" w:rsidRPr="007F09C3" w:rsidRDefault="007F09C3" w:rsidP="007F09C3">
      <w:pPr>
        <w:pStyle w:val="Prrafodelista"/>
        <w:numPr>
          <w:ilvl w:val="0"/>
          <w:numId w:val="7"/>
        </w:numPr>
        <w:contextualSpacing/>
        <w:jc w:val="both"/>
        <w:rPr>
          <w:rFonts w:ascii="Arial Narrow" w:hAnsi="Arial Narrow"/>
          <w:sz w:val="24"/>
          <w:szCs w:val="24"/>
        </w:rPr>
      </w:pPr>
      <w:r w:rsidRPr="007F09C3">
        <w:rPr>
          <w:rFonts w:ascii="Arial Narrow" w:hAnsi="Arial Narrow"/>
          <w:sz w:val="24"/>
          <w:szCs w:val="24"/>
        </w:rPr>
        <w:lastRenderedPageBreak/>
        <w:t>En materia de Vivienda otorgamos plazos de hasta 15 años, situación más bien escasa en los Fondos de Empleados y Cooperativas y nuestras tasas son similares a las encontradas en el sistema Financiero para Vivienda.</w:t>
      </w:r>
    </w:p>
    <w:p w14:paraId="64D718FE" w14:textId="77777777" w:rsidR="007F09C3" w:rsidRPr="007F09C3" w:rsidRDefault="007F09C3" w:rsidP="007F09C3">
      <w:pPr>
        <w:pStyle w:val="Prrafodelista"/>
        <w:numPr>
          <w:ilvl w:val="0"/>
          <w:numId w:val="7"/>
        </w:numPr>
        <w:contextualSpacing/>
        <w:jc w:val="both"/>
        <w:rPr>
          <w:rFonts w:ascii="Arial Narrow" w:hAnsi="Arial Narrow"/>
          <w:sz w:val="24"/>
          <w:szCs w:val="24"/>
        </w:rPr>
      </w:pPr>
      <w:r w:rsidRPr="007F09C3">
        <w:rPr>
          <w:rFonts w:ascii="Arial Narrow" w:hAnsi="Arial Narrow"/>
          <w:sz w:val="24"/>
          <w:szCs w:val="24"/>
        </w:rPr>
        <w:t>Se ahorran aportes y ahorros permanentes además de ahorros contractuales, sin cuotas de manejo ni cobros de comisiones ni del cuatro por mil en los retiros.</w:t>
      </w:r>
    </w:p>
    <w:p w14:paraId="2AE6B4FF" w14:textId="1C3857AF" w:rsidR="007F09C3" w:rsidRPr="007F09C3" w:rsidRDefault="005F3A46" w:rsidP="007F09C3">
      <w:pPr>
        <w:pStyle w:val="Prrafodelista"/>
        <w:numPr>
          <w:ilvl w:val="0"/>
          <w:numId w:val="7"/>
        </w:numPr>
        <w:contextualSpacing/>
        <w:jc w:val="both"/>
        <w:rPr>
          <w:rFonts w:ascii="Arial Narrow" w:hAnsi="Arial Narrow"/>
          <w:sz w:val="24"/>
          <w:szCs w:val="24"/>
        </w:rPr>
      </w:pPr>
      <w:r>
        <w:rPr>
          <w:rFonts w:ascii="Arial Narrow" w:hAnsi="Arial Narrow"/>
          <w:sz w:val="24"/>
          <w:szCs w:val="24"/>
        </w:rPr>
        <w:t>La Cooperativa</w:t>
      </w:r>
      <w:r w:rsidR="007F09C3" w:rsidRPr="007F09C3">
        <w:rPr>
          <w:rFonts w:ascii="Arial Narrow" w:hAnsi="Arial Narrow"/>
          <w:sz w:val="24"/>
          <w:szCs w:val="24"/>
        </w:rPr>
        <w:t xml:space="preserve"> no cobra gastos de papelería o estudios de crédito y además puede beneficiarse de diferentes auxilios y disfrutar de muchas actividades sociales en compañía de su familia.</w:t>
      </w:r>
    </w:p>
    <w:p w14:paraId="6FBA639D" w14:textId="77777777" w:rsidR="007F09C3" w:rsidRPr="007F09C3" w:rsidRDefault="007F09C3" w:rsidP="007F09C3">
      <w:pPr>
        <w:jc w:val="both"/>
        <w:rPr>
          <w:rFonts w:ascii="Arial Narrow" w:hAnsi="Arial Narrow"/>
          <w:sz w:val="24"/>
          <w:szCs w:val="24"/>
        </w:rPr>
      </w:pPr>
    </w:p>
    <w:p w14:paraId="5C8C7B17"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La mayor contribución al bienestar de los asociados es el aporte y el ahorro permanente, ya que tienen acumulados $19.391 millones con un promedio de $9,3 millones cada uno y la mitad tiene más de $7,4 millones con un máximo de $53 millones y uno de cada 10 tiene más de $19,1 millones:</w:t>
      </w:r>
    </w:p>
    <w:p w14:paraId="145B0157" w14:textId="77777777" w:rsidR="007F09C3" w:rsidRPr="007F09C3" w:rsidRDefault="007F09C3" w:rsidP="007F09C3">
      <w:pPr>
        <w:jc w:val="both"/>
        <w:rPr>
          <w:rFonts w:ascii="Arial Narrow" w:hAnsi="Arial Narrow"/>
          <w:sz w:val="24"/>
          <w:szCs w:val="24"/>
        </w:rPr>
      </w:pPr>
    </w:p>
    <w:tbl>
      <w:tblPr>
        <w:tblStyle w:val="Tablaconcuadrcula4-nfasis5"/>
        <w:tblW w:w="0" w:type="auto"/>
        <w:tblLook w:val="04A0" w:firstRow="1" w:lastRow="0" w:firstColumn="1" w:lastColumn="0" w:noHBand="0" w:noVBand="1"/>
      </w:tblPr>
      <w:tblGrid>
        <w:gridCol w:w="1246"/>
        <w:gridCol w:w="1433"/>
        <w:gridCol w:w="1063"/>
        <w:gridCol w:w="1246"/>
        <w:gridCol w:w="1164"/>
        <w:gridCol w:w="964"/>
        <w:gridCol w:w="617"/>
        <w:gridCol w:w="635"/>
      </w:tblGrid>
      <w:tr w:rsidR="007F09C3" w:rsidRPr="005F3A46" w14:paraId="4560675A" w14:textId="77777777" w:rsidTr="000E041A">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0" w:type="auto"/>
            <w:shd w:val="clear" w:color="auto" w:fill="9CC2E5" w:themeFill="accent1" w:themeFillTint="99"/>
            <w:noWrap/>
            <w:hideMark/>
          </w:tcPr>
          <w:p w14:paraId="024F343C"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Concepto</w:t>
            </w:r>
          </w:p>
        </w:tc>
        <w:tc>
          <w:tcPr>
            <w:tcW w:w="0" w:type="auto"/>
            <w:shd w:val="clear" w:color="auto" w:fill="9CC2E5" w:themeFill="accent1" w:themeFillTint="99"/>
            <w:noWrap/>
            <w:hideMark/>
          </w:tcPr>
          <w:p w14:paraId="33939C2B"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 xml:space="preserve"> Aportes + Ah p </w:t>
            </w:r>
          </w:p>
        </w:tc>
        <w:tc>
          <w:tcPr>
            <w:tcW w:w="0" w:type="auto"/>
            <w:shd w:val="clear" w:color="auto" w:fill="9CC2E5" w:themeFill="accent1" w:themeFillTint="99"/>
            <w:noWrap/>
            <w:hideMark/>
          </w:tcPr>
          <w:p w14:paraId="40DAE435"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 xml:space="preserve"> CARTERA </w:t>
            </w:r>
          </w:p>
        </w:tc>
        <w:tc>
          <w:tcPr>
            <w:tcW w:w="0" w:type="auto"/>
            <w:shd w:val="clear" w:color="auto" w:fill="9CC2E5" w:themeFill="accent1" w:themeFillTint="99"/>
            <w:noWrap/>
            <w:hideMark/>
          </w:tcPr>
          <w:p w14:paraId="287193C8"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 xml:space="preserve"> Cr Consumo </w:t>
            </w:r>
          </w:p>
        </w:tc>
        <w:tc>
          <w:tcPr>
            <w:tcW w:w="0" w:type="auto"/>
            <w:shd w:val="clear" w:color="auto" w:fill="9CC2E5" w:themeFill="accent1" w:themeFillTint="99"/>
            <w:noWrap/>
            <w:hideMark/>
          </w:tcPr>
          <w:p w14:paraId="283F20EC"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 xml:space="preserve"> Cr Vivienda </w:t>
            </w:r>
          </w:p>
        </w:tc>
        <w:tc>
          <w:tcPr>
            <w:tcW w:w="0" w:type="auto"/>
            <w:shd w:val="clear" w:color="auto" w:fill="9CC2E5" w:themeFill="accent1" w:themeFillTint="99"/>
            <w:noWrap/>
            <w:hideMark/>
          </w:tcPr>
          <w:p w14:paraId="18DEB93B"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 xml:space="preserve"> Otros Ah </w:t>
            </w:r>
          </w:p>
        </w:tc>
        <w:tc>
          <w:tcPr>
            <w:tcW w:w="0" w:type="auto"/>
            <w:shd w:val="clear" w:color="auto" w:fill="9CC2E5" w:themeFill="accent1" w:themeFillTint="99"/>
            <w:noWrap/>
            <w:hideMark/>
          </w:tcPr>
          <w:p w14:paraId="3374C874"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Edad</w:t>
            </w:r>
          </w:p>
        </w:tc>
        <w:tc>
          <w:tcPr>
            <w:tcW w:w="0" w:type="auto"/>
            <w:shd w:val="clear" w:color="auto" w:fill="9CC2E5" w:themeFill="accent1" w:themeFillTint="99"/>
            <w:noWrap/>
            <w:hideMark/>
          </w:tcPr>
          <w:p w14:paraId="223AD093" w14:textId="77777777" w:rsidR="007F09C3" w:rsidRPr="005F3A46" w:rsidRDefault="007F09C3" w:rsidP="007F09C3">
            <w:pPr>
              <w:cnfStyle w:val="100000000000" w:firstRow="1" w:lastRow="0" w:firstColumn="0" w:lastColumn="0" w:oddVBand="0" w:evenVBand="0" w:oddHBand="0" w:evenHBand="0" w:firstRowFirstColumn="0" w:firstRowLastColumn="0" w:lastRowFirstColumn="0" w:lastRowLastColumn="0"/>
              <w:rPr>
                <w:rFonts w:ascii="Arial Narrow" w:hAnsi="Arial Narrow"/>
                <w:color w:val="000000"/>
                <w:lang w:eastAsia="es-CO"/>
              </w:rPr>
            </w:pPr>
            <w:proofErr w:type="spellStart"/>
            <w:r w:rsidRPr="005F3A46">
              <w:rPr>
                <w:rFonts w:ascii="Arial Narrow" w:hAnsi="Arial Narrow"/>
                <w:color w:val="000000"/>
                <w:lang w:eastAsia="es-CO"/>
              </w:rPr>
              <w:t>Antig</w:t>
            </w:r>
            <w:proofErr w:type="spellEnd"/>
          </w:p>
        </w:tc>
      </w:tr>
      <w:tr w:rsidR="007F09C3" w:rsidRPr="005F3A46" w14:paraId="6E470131" w14:textId="77777777" w:rsidTr="000E041A">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0" w:type="auto"/>
            <w:noWrap/>
            <w:hideMark/>
          </w:tcPr>
          <w:p w14:paraId="1E69BA45"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w:t>
            </w:r>
          </w:p>
        </w:tc>
        <w:tc>
          <w:tcPr>
            <w:tcW w:w="0" w:type="auto"/>
            <w:noWrap/>
            <w:hideMark/>
          </w:tcPr>
          <w:p w14:paraId="591BA2FC"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2.075</w:t>
            </w:r>
          </w:p>
        </w:tc>
        <w:tc>
          <w:tcPr>
            <w:tcW w:w="0" w:type="auto"/>
            <w:noWrap/>
            <w:hideMark/>
          </w:tcPr>
          <w:p w14:paraId="1448870D"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1.383</w:t>
            </w:r>
          </w:p>
        </w:tc>
        <w:tc>
          <w:tcPr>
            <w:tcW w:w="0" w:type="auto"/>
            <w:noWrap/>
            <w:hideMark/>
          </w:tcPr>
          <w:p w14:paraId="3D71A79C"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1.358</w:t>
            </w:r>
          </w:p>
        </w:tc>
        <w:tc>
          <w:tcPr>
            <w:tcW w:w="0" w:type="auto"/>
            <w:noWrap/>
            <w:hideMark/>
          </w:tcPr>
          <w:p w14:paraId="4C37D3C1"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345</w:t>
            </w:r>
          </w:p>
        </w:tc>
        <w:tc>
          <w:tcPr>
            <w:tcW w:w="0" w:type="auto"/>
            <w:noWrap/>
            <w:hideMark/>
          </w:tcPr>
          <w:p w14:paraId="14C362EA"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82</w:t>
            </w:r>
          </w:p>
        </w:tc>
        <w:tc>
          <w:tcPr>
            <w:tcW w:w="0" w:type="auto"/>
            <w:noWrap/>
            <w:hideMark/>
          </w:tcPr>
          <w:p w14:paraId="26B66FA5"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p>
        </w:tc>
        <w:tc>
          <w:tcPr>
            <w:tcW w:w="0" w:type="auto"/>
            <w:noWrap/>
            <w:hideMark/>
          </w:tcPr>
          <w:p w14:paraId="3FE5CF1A"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lang w:eastAsia="es-CO"/>
              </w:rPr>
            </w:pPr>
          </w:p>
        </w:tc>
      </w:tr>
      <w:tr w:rsidR="007F09C3" w:rsidRPr="005F3A46" w14:paraId="326C99DA" w14:textId="77777777" w:rsidTr="000E041A">
        <w:trPr>
          <w:trHeight w:val="113"/>
        </w:trPr>
        <w:tc>
          <w:tcPr>
            <w:cnfStyle w:val="001000000000" w:firstRow="0" w:lastRow="0" w:firstColumn="1" w:lastColumn="0" w:oddVBand="0" w:evenVBand="0" w:oddHBand="0" w:evenHBand="0" w:firstRowFirstColumn="0" w:firstRowLastColumn="0" w:lastRowFirstColumn="0" w:lastRowLastColumn="0"/>
            <w:tcW w:w="0" w:type="auto"/>
            <w:noWrap/>
            <w:hideMark/>
          </w:tcPr>
          <w:p w14:paraId="3505B275"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Total general</w:t>
            </w:r>
          </w:p>
        </w:tc>
        <w:tc>
          <w:tcPr>
            <w:tcW w:w="0" w:type="auto"/>
            <w:noWrap/>
            <w:hideMark/>
          </w:tcPr>
          <w:p w14:paraId="369BFD82"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$19.391,4</w:t>
            </w:r>
          </w:p>
        </w:tc>
        <w:tc>
          <w:tcPr>
            <w:tcW w:w="0" w:type="auto"/>
            <w:noWrap/>
            <w:hideMark/>
          </w:tcPr>
          <w:p w14:paraId="19593740"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$33.299,0</w:t>
            </w:r>
          </w:p>
        </w:tc>
        <w:tc>
          <w:tcPr>
            <w:tcW w:w="0" w:type="auto"/>
            <w:noWrap/>
            <w:hideMark/>
          </w:tcPr>
          <w:p w14:paraId="0EA94F9F"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$20.452,7</w:t>
            </w:r>
          </w:p>
        </w:tc>
        <w:tc>
          <w:tcPr>
            <w:tcW w:w="0" w:type="auto"/>
            <w:noWrap/>
            <w:hideMark/>
          </w:tcPr>
          <w:p w14:paraId="1060312D"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$14.439,4</w:t>
            </w:r>
          </w:p>
        </w:tc>
        <w:tc>
          <w:tcPr>
            <w:tcW w:w="0" w:type="auto"/>
            <w:noWrap/>
            <w:hideMark/>
          </w:tcPr>
          <w:p w14:paraId="554B377B"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$1.490,8</w:t>
            </w:r>
          </w:p>
        </w:tc>
        <w:tc>
          <w:tcPr>
            <w:tcW w:w="0" w:type="auto"/>
            <w:noWrap/>
            <w:hideMark/>
          </w:tcPr>
          <w:p w14:paraId="419C4300"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p>
        </w:tc>
        <w:tc>
          <w:tcPr>
            <w:tcW w:w="0" w:type="auto"/>
            <w:noWrap/>
            <w:hideMark/>
          </w:tcPr>
          <w:p w14:paraId="22C31E42"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lang w:eastAsia="es-CO"/>
              </w:rPr>
            </w:pPr>
          </w:p>
        </w:tc>
      </w:tr>
      <w:tr w:rsidR="007F09C3" w:rsidRPr="005F3A46" w14:paraId="1CF82E80" w14:textId="77777777" w:rsidTr="000E041A">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0" w:type="auto"/>
            <w:noWrap/>
            <w:hideMark/>
          </w:tcPr>
          <w:p w14:paraId="0B570BCD"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promedio</w:t>
            </w:r>
          </w:p>
        </w:tc>
        <w:tc>
          <w:tcPr>
            <w:tcW w:w="0" w:type="auto"/>
            <w:noWrap/>
            <w:hideMark/>
          </w:tcPr>
          <w:p w14:paraId="256C7584"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$9,3</w:t>
            </w:r>
          </w:p>
        </w:tc>
        <w:tc>
          <w:tcPr>
            <w:tcW w:w="0" w:type="auto"/>
            <w:noWrap/>
            <w:hideMark/>
          </w:tcPr>
          <w:p w14:paraId="4CE50BB7"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$24,1</w:t>
            </w:r>
          </w:p>
        </w:tc>
        <w:tc>
          <w:tcPr>
            <w:tcW w:w="0" w:type="auto"/>
            <w:noWrap/>
            <w:hideMark/>
          </w:tcPr>
          <w:p w14:paraId="09FF3F41"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$15,1</w:t>
            </w:r>
          </w:p>
        </w:tc>
        <w:tc>
          <w:tcPr>
            <w:tcW w:w="0" w:type="auto"/>
            <w:noWrap/>
            <w:hideMark/>
          </w:tcPr>
          <w:p w14:paraId="202A56F0"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$41,9</w:t>
            </w:r>
          </w:p>
        </w:tc>
        <w:tc>
          <w:tcPr>
            <w:tcW w:w="0" w:type="auto"/>
            <w:noWrap/>
            <w:hideMark/>
          </w:tcPr>
          <w:p w14:paraId="1356031E"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$18,2</w:t>
            </w:r>
          </w:p>
        </w:tc>
        <w:tc>
          <w:tcPr>
            <w:tcW w:w="0" w:type="auto"/>
            <w:noWrap/>
            <w:hideMark/>
          </w:tcPr>
          <w:p w14:paraId="65C245C7"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56</w:t>
            </w:r>
          </w:p>
        </w:tc>
        <w:tc>
          <w:tcPr>
            <w:tcW w:w="0" w:type="auto"/>
            <w:noWrap/>
            <w:hideMark/>
          </w:tcPr>
          <w:p w14:paraId="68FBBFC1"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12</w:t>
            </w:r>
          </w:p>
        </w:tc>
      </w:tr>
      <w:tr w:rsidR="007F09C3" w:rsidRPr="005F3A46" w14:paraId="5F2D25DC" w14:textId="77777777" w:rsidTr="000E041A">
        <w:trPr>
          <w:trHeight w:val="113"/>
        </w:trPr>
        <w:tc>
          <w:tcPr>
            <w:cnfStyle w:val="001000000000" w:firstRow="0" w:lastRow="0" w:firstColumn="1" w:lastColumn="0" w:oddVBand="0" w:evenVBand="0" w:oddHBand="0" w:evenHBand="0" w:firstRowFirstColumn="0" w:firstRowLastColumn="0" w:lastRowFirstColumn="0" w:lastRowLastColumn="0"/>
            <w:tcW w:w="0" w:type="auto"/>
            <w:noWrap/>
            <w:hideMark/>
          </w:tcPr>
          <w:p w14:paraId="781CA0BD"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máximo</w:t>
            </w:r>
          </w:p>
        </w:tc>
        <w:tc>
          <w:tcPr>
            <w:tcW w:w="0" w:type="auto"/>
            <w:noWrap/>
            <w:hideMark/>
          </w:tcPr>
          <w:p w14:paraId="7D4F745C"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$52,8</w:t>
            </w:r>
          </w:p>
        </w:tc>
        <w:tc>
          <w:tcPr>
            <w:tcW w:w="0" w:type="auto"/>
            <w:noWrap/>
            <w:hideMark/>
          </w:tcPr>
          <w:p w14:paraId="6C2FD771"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$175,6</w:t>
            </w:r>
          </w:p>
        </w:tc>
        <w:tc>
          <w:tcPr>
            <w:tcW w:w="0" w:type="auto"/>
            <w:noWrap/>
            <w:hideMark/>
          </w:tcPr>
          <w:p w14:paraId="02690B28"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$175,6</w:t>
            </w:r>
          </w:p>
        </w:tc>
        <w:tc>
          <w:tcPr>
            <w:tcW w:w="0" w:type="auto"/>
            <w:noWrap/>
            <w:hideMark/>
          </w:tcPr>
          <w:p w14:paraId="12DDAFD0"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$95,0</w:t>
            </w:r>
          </w:p>
        </w:tc>
        <w:tc>
          <w:tcPr>
            <w:tcW w:w="0" w:type="auto"/>
            <w:noWrap/>
            <w:hideMark/>
          </w:tcPr>
          <w:p w14:paraId="5DAE6D78"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$310,3</w:t>
            </w:r>
          </w:p>
        </w:tc>
        <w:tc>
          <w:tcPr>
            <w:tcW w:w="0" w:type="auto"/>
            <w:noWrap/>
            <w:hideMark/>
          </w:tcPr>
          <w:p w14:paraId="07AA7A33"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94</w:t>
            </w:r>
          </w:p>
        </w:tc>
        <w:tc>
          <w:tcPr>
            <w:tcW w:w="0" w:type="auto"/>
            <w:noWrap/>
            <w:hideMark/>
          </w:tcPr>
          <w:p w14:paraId="321EB5B1"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42</w:t>
            </w:r>
          </w:p>
        </w:tc>
      </w:tr>
      <w:tr w:rsidR="007F09C3" w:rsidRPr="005F3A46" w14:paraId="59DE781C" w14:textId="77777777" w:rsidTr="000E041A">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0" w:type="auto"/>
            <w:noWrap/>
            <w:hideMark/>
          </w:tcPr>
          <w:p w14:paraId="62124B9A"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mediana</w:t>
            </w:r>
          </w:p>
        </w:tc>
        <w:tc>
          <w:tcPr>
            <w:tcW w:w="0" w:type="auto"/>
            <w:noWrap/>
            <w:hideMark/>
          </w:tcPr>
          <w:p w14:paraId="72EB3540"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$7,4</w:t>
            </w:r>
          </w:p>
        </w:tc>
        <w:tc>
          <w:tcPr>
            <w:tcW w:w="0" w:type="auto"/>
            <w:noWrap/>
            <w:hideMark/>
          </w:tcPr>
          <w:p w14:paraId="4466BE14"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$15,6</w:t>
            </w:r>
          </w:p>
        </w:tc>
        <w:tc>
          <w:tcPr>
            <w:tcW w:w="0" w:type="auto"/>
            <w:noWrap/>
            <w:hideMark/>
          </w:tcPr>
          <w:p w14:paraId="3496D969"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$10,6</w:t>
            </w:r>
          </w:p>
        </w:tc>
        <w:tc>
          <w:tcPr>
            <w:tcW w:w="0" w:type="auto"/>
            <w:noWrap/>
            <w:hideMark/>
          </w:tcPr>
          <w:p w14:paraId="1A1F6A50"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$38,3</w:t>
            </w:r>
          </w:p>
        </w:tc>
        <w:tc>
          <w:tcPr>
            <w:tcW w:w="0" w:type="auto"/>
            <w:noWrap/>
            <w:hideMark/>
          </w:tcPr>
          <w:p w14:paraId="423E3862"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$2,2</w:t>
            </w:r>
          </w:p>
        </w:tc>
        <w:tc>
          <w:tcPr>
            <w:tcW w:w="0" w:type="auto"/>
            <w:noWrap/>
            <w:hideMark/>
          </w:tcPr>
          <w:p w14:paraId="6805DFB7"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56</w:t>
            </w:r>
          </w:p>
        </w:tc>
        <w:tc>
          <w:tcPr>
            <w:tcW w:w="0" w:type="auto"/>
            <w:noWrap/>
            <w:hideMark/>
          </w:tcPr>
          <w:p w14:paraId="446460B2" w14:textId="77777777" w:rsidR="007F09C3" w:rsidRPr="005F3A46" w:rsidRDefault="007F09C3" w:rsidP="007F09C3">
            <w:pPr>
              <w:jc w:val="right"/>
              <w:cnfStyle w:val="000000100000" w:firstRow="0" w:lastRow="0" w:firstColumn="0" w:lastColumn="0" w:oddVBand="0" w:evenVBand="0" w:oddHBand="1"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8</w:t>
            </w:r>
          </w:p>
        </w:tc>
      </w:tr>
      <w:tr w:rsidR="007F09C3" w:rsidRPr="005F3A46" w14:paraId="08A2AD64" w14:textId="77777777" w:rsidTr="000E041A">
        <w:trPr>
          <w:trHeight w:val="113"/>
        </w:trPr>
        <w:tc>
          <w:tcPr>
            <w:cnfStyle w:val="001000000000" w:firstRow="0" w:lastRow="0" w:firstColumn="1" w:lastColumn="0" w:oddVBand="0" w:evenVBand="0" w:oddHBand="0" w:evenHBand="0" w:firstRowFirstColumn="0" w:firstRowLastColumn="0" w:lastRowFirstColumn="0" w:lastRowLastColumn="0"/>
            <w:tcW w:w="0" w:type="auto"/>
            <w:noWrap/>
            <w:hideMark/>
          </w:tcPr>
          <w:p w14:paraId="46B2B625" w14:textId="77777777" w:rsidR="007F09C3" w:rsidRPr="005F3A46" w:rsidRDefault="007F09C3" w:rsidP="007F09C3">
            <w:pPr>
              <w:rPr>
                <w:rFonts w:ascii="Arial Narrow" w:hAnsi="Arial Narrow"/>
                <w:color w:val="000000"/>
                <w:lang w:eastAsia="es-CO"/>
              </w:rPr>
            </w:pPr>
            <w:r w:rsidRPr="005F3A46">
              <w:rPr>
                <w:rFonts w:ascii="Arial Narrow" w:hAnsi="Arial Narrow"/>
                <w:color w:val="000000"/>
                <w:lang w:eastAsia="es-CO"/>
              </w:rPr>
              <w:t>10% superior</w:t>
            </w:r>
          </w:p>
        </w:tc>
        <w:tc>
          <w:tcPr>
            <w:tcW w:w="0" w:type="auto"/>
            <w:noWrap/>
            <w:hideMark/>
          </w:tcPr>
          <w:p w14:paraId="51027977"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$19,1</w:t>
            </w:r>
          </w:p>
        </w:tc>
        <w:tc>
          <w:tcPr>
            <w:tcW w:w="0" w:type="auto"/>
            <w:noWrap/>
            <w:hideMark/>
          </w:tcPr>
          <w:p w14:paraId="66FAA3C5"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$65,3</w:t>
            </w:r>
          </w:p>
        </w:tc>
        <w:tc>
          <w:tcPr>
            <w:tcW w:w="0" w:type="auto"/>
            <w:noWrap/>
            <w:hideMark/>
          </w:tcPr>
          <w:p w14:paraId="386998BB"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$32,0</w:t>
            </w:r>
          </w:p>
        </w:tc>
        <w:tc>
          <w:tcPr>
            <w:tcW w:w="0" w:type="auto"/>
            <w:noWrap/>
            <w:hideMark/>
          </w:tcPr>
          <w:p w14:paraId="46150172"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$75,9</w:t>
            </w:r>
          </w:p>
        </w:tc>
        <w:tc>
          <w:tcPr>
            <w:tcW w:w="0" w:type="auto"/>
            <w:noWrap/>
            <w:hideMark/>
          </w:tcPr>
          <w:p w14:paraId="2EE53F24"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$27,8</w:t>
            </w:r>
          </w:p>
        </w:tc>
        <w:tc>
          <w:tcPr>
            <w:tcW w:w="0" w:type="auto"/>
            <w:noWrap/>
            <w:hideMark/>
          </w:tcPr>
          <w:p w14:paraId="2BB421EB"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71</w:t>
            </w:r>
          </w:p>
        </w:tc>
        <w:tc>
          <w:tcPr>
            <w:tcW w:w="0" w:type="auto"/>
            <w:noWrap/>
            <w:hideMark/>
          </w:tcPr>
          <w:p w14:paraId="3886060B" w14:textId="77777777" w:rsidR="007F09C3" w:rsidRPr="005F3A46" w:rsidRDefault="007F09C3" w:rsidP="007F09C3">
            <w:pPr>
              <w:jc w:val="right"/>
              <w:cnfStyle w:val="000000000000" w:firstRow="0" w:lastRow="0" w:firstColumn="0" w:lastColumn="0" w:oddVBand="0" w:evenVBand="0" w:oddHBand="0" w:evenHBand="0" w:firstRowFirstColumn="0" w:firstRowLastColumn="0" w:lastRowFirstColumn="0" w:lastRowLastColumn="0"/>
              <w:rPr>
                <w:rFonts w:ascii="Arial Narrow" w:hAnsi="Arial Narrow"/>
                <w:color w:val="000000"/>
                <w:lang w:eastAsia="es-CO"/>
              </w:rPr>
            </w:pPr>
            <w:r w:rsidRPr="005F3A46">
              <w:rPr>
                <w:rFonts w:ascii="Arial Narrow" w:hAnsi="Arial Narrow"/>
                <w:color w:val="000000"/>
                <w:lang w:eastAsia="es-CO"/>
              </w:rPr>
              <w:t>29</w:t>
            </w:r>
          </w:p>
        </w:tc>
      </w:tr>
    </w:tbl>
    <w:p w14:paraId="63E27D30" w14:textId="77777777" w:rsidR="007F09C3" w:rsidRPr="007F09C3" w:rsidRDefault="007F09C3" w:rsidP="007F09C3">
      <w:pPr>
        <w:jc w:val="both"/>
        <w:rPr>
          <w:rFonts w:ascii="Arial Narrow" w:hAnsi="Arial Narrow"/>
          <w:sz w:val="24"/>
          <w:szCs w:val="24"/>
        </w:rPr>
      </w:pPr>
    </w:p>
    <w:p w14:paraId="02E98C8F" w14:textId="3F9443C2"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Dos de cada tres asociados, tienen crédito con </w:t>
      </w:r>
      <w:r w:rsidR="00832291">
        <w:rPr>
          <w:rFonts w:ascii="Arial Narrow" w:hAnsi="Arial Narrow"/>
          <w:sz w:val="24"/>
          <w:szCs w:val="24"/>
        </w:rPr>
        <w:t>COOPEJEMPLO</w:t>
      </w:r>
      <w:r w:rsidRPr="007F09C3">
        <w:rPr>
          <w:rFonts w:ascii="Arial Narrow" w:hAnsi="Arial Narrow"/>
          <w:sz w:val="24"/>
          <w:szCs w:val="24"/>
        </w:rPr>
        <w:t xml:space="preserve"> por un valor promedio de $24 millones equivalente casi a tres veces el promedio de los aportes y ahorros permanentes, con un máximo de $176 millones, pero solo la mitad de los deudores presenta un saldo superior a $15,6 millones y uno de cada 10 deudores debe más de $65,3 millones, la mayoría de Vivienda.</w:t>
      </w:r>
    </w:p>
    <w:p w14:paraId="54C1EF90" w14:textId="77777777" w:rsidR="007F09C3" w:rsidRPr="007F09C3" w:rsidRDefault="007F09C3" w:rsidP="007F09C3">
      <w:pPr>
        <w:jc w:val="both"/>
        <w:rPr>
          <w:rFonts w:ascii="Arial Narrow" w:hAnsi="Arial Narrow"/>
          <w:sz w:val="24"/>
          <w:szCs w:val="24"/>
        </w:rPr>
      </w:pPr>
    </w:p>
    <w:p w14:paraId="2A17D984" w14:textId="128BE719" w:rsidR="007F09C3" w:rsidRPr="007F09C3" w:rsidRDefault="007F09C3" w:rsidP="007F09C3">
      <w:pPr>
        <w:jc w:val="both"/>
        <w:rPr>
          <w:rFonts w:ascii="Arial Narrow" w:hAnsi="Arial Narrow"/>
          <w:sz w:val="24"/>
          <w:szCs w:val="24"/>
        </w:rPr>
      </w:pPr>
      <w:r w:rsidRPr="007F09C3">
        <w:rPr>
          <w:rFonts w:ascii="Arial Narrow" w:hAnsi="Arial Narrow"/>
          <w:sz w:val="24"/>
          <w:szCs w:val="24"/>
        </w:rPr>
        <w:t>El crédito promedio de consumo es de $15 millones y dos tercios de los asociados hace uso de él, mientras el crédito de Vivienda apenas lo usan un 17% de los asociados, con un promedio de $42 millones y la mitad de los deudores de Vivienda tiene saldo superior a $38 millones y uno de cada 10 superior a $76 millones.</w:t>
      </w:r>
      <w:r w:rsidR="000E041A">
        <w:rPr>
          <w:rFonts w:ascii="Arial Narrow" w:hAnsi="Arial Narrow"/>
          <w:sz w:val="24"/>
          <w:szCs w:val="24"/>
        </w:rPr>
        <w:t xml:space="preserve"> </w:t>
      </w:r>
      <w:r w:rsidRPr="007F09C3">
        <w:rPr>
          <w:rFonts w:ascii="Arial Narrow" w:hAnsi="Arial Narrow"/>
          <w:sz w:val="24"/>
          <w:szCs w:val="24"/>
        </w:rPr>
        <w:t xml:space="preserve">Lamentablemente, en la cultura del ahorro adicional como forma de planeación futura de gastos e imprevistos, todavía no cala en los asociados pues apenas 4% tiene un ahorro voluntario adicional en </w:t>
      </w:r>
      <w:r w:rsidR="00832291">
        <w:rPr>
          <w:rFonts w:ascii="Arial Narrow" w:hAnsi="Arial Narrow"/>
          <w:sz w:val="24"/>
          <w:szCs w:val="24"/>
        </w:rPr>
        <w:t>COOPEJEMPLO</w:t>
      </w:r>
      <w:r w:rsidRPr="007F09C3">
        <w:rPr>
          <w:rFonts w:ascii="Arial Narrow" w:hAnsi="Arial Narrow"/>
          <w:sz w:val="24"/>
          <w:szCs w:val="24"/>
        </w:rPr>
        <w:t xml:space="preserve"> con un promedio de $18 millones y un máximo de $310 millones, la mitad de ellos tiene más de $2,2 millones y solo 1 de cada 10 de estos ahorradores tiene más de $28 millones, lo cual muestra que los ahorros voluntarios están altamente concentrados.</w:t>
      </w:r>
    </w:p>
    <w:p w14:paraId="700068DA" w14:textId="77777777" w:rsidR="007F09C3" w:rsidRPr="007F09C3" w:rsidRDefault="007F09C3" w:rsidP="007F09C3">
      <w:pPr>
        <w:jc w:val="both"/>
        <w:rPr>
          <w:rFonts w:ascii="Arial Narrow" w:hAnsi="Arial Narrow"/>
          <w:sz w:val="24"/>
          <w:szCs w:val="24"/>
        </w:rPr>
      </w:pPr>
    </w:p>
    <w:p w14:paraId="6ADCDFD9" w14:textId="0E2E6264" w:rsidR="007F09C3" w:rsidRPr="007F09C3" w:rsidRDefault="007F09C3" w:rsidP="007F09C3">
      <w:pPr>
        <w:jc w:val="both"/>
        <w:rPr>
          <w:rFonts w:ascii="Arial Narrow" w:hAnsi="Arial Narrow"/>
          <w:sz w:val="24"/>
          <w:szCs w:val="24"/>
        </w:rPr>
      </w:pPr>
      <w:r w:rsidRPr="007F09C3">
        <w:rPr>
          <w:rFonts w:ascii="Arial Narrow" w:hAnsi="Arial Narrow"/>
          <w:sz w:val="24"/>
          <w:szCs w:val="24"/>
        </w:rPr>
        <w:t>Si se toman todos los beneficios “visibles” de</w:t>
      </w:r>
      <w:r w:rsidR="005F3A46">
        <w:rPr>
          <w:rFonts w:ascii="Arial Narrow" w:hAnsi="Arial Narrow"/>
          <w:sz w:val="24"/>
          <w:szCs w:val="24"/>
        </w:rPr>
        <w:t xml:space="preserve"> </w:t>
      </w:r>
      <w:r w:rsidRPr="007F09C3">
        <w:rPr>
          <w:rFonts w:ascii="Arial Narrow" w:hAnsi="Arial Narrow"/>
          <w:sz w:val="24"/>
          <w:szCs w:val="24"/>
        </w:rPr>
        <w:t>l</w:t>
      </w:r>
      <w:r w:rsidR="005F3A46">
        <w:rPr>
          <w:rFonts w:ascii="Arial Narrow" w:hAnsi="Arial Narrow"/>
          <w:sz w:val="24"/>
          <w:szCs w:val="24"/>
        </w:rPr>
        <w:t>a</w:t>
      </w:r>
      <w:r w:rsidRPr="007F09C3">
        <w:rPr>
          <w:rFonts w:ascii="Arial Narrow" w:hAnsi="Arial Narrow"/>
          <w:sz w:val="24"/>
          <w:szCs w:val="24"/>
        </w:rPr>
        <w:t xml:space="preserve"> </w:t>
      </w:r>
      <w:r w:rsidR="00096788">
        <w:rPr>
          <w:rFonts w:ascii="Arial Narrow" w:hAnsi="Arial Narrow"/>
          <w:sz w:val="24"/>
          <w:szCs w:val="24"/>
        </w:rPr>
        <w:t>Cooperativa</w:t>
      </w:r>
      <w:r w:rsidRPr="007F09C3">
        <w:rPr>
          <w:rFonts w:ascii="Arial Narrow" w:hAnsi="Arial Narrow"/>
          <w:sz w:val="24"/>
          <w:szCs w:val="24"/>
        </w:rPr>
        <w:t xml:space="preserve">, encontramos que se llega a la cifra de $1.296 millones de pesos en el </w:t>
      </w:r>
      <w:r w:rsidR="00662D26">
        <w:rPr>
          <w:rFonts w:ascii="Arial Narrow" w:hAnsi="Arial Narrow"/>
          <w:sz w:val="24"/>
          <w:szCs w:val="24"/>
        </w:rPr>
        <w:t>2021</w:t>
      </w:r>
      <w:r w:rsidRPr="007F09C3">
        <w:rPr>
          <w:rFonts w:ascii="Arial Narrow" w:hAnsi="Arial Narrow"/>
          <w:sz w:val="24"/>
          <w:szCs w:val="24"/>
        </w:rPr>
        <w:t xml:space="preserve">, que equivalen a un beneficio per cápita (por asociado) casi del 80% del SMLMV, sin tener en cuenta los ahorros por el no cobro de estudios de crédito, ni seguros de desempleo y las menores tasas de interés de créditos frente a tarjetas de crédito, rotatorios, créditos ordinarios y hasta “agiotistas”, así como la mayor rentabilidad pagada sobre los ahorros contractuales (programados).  </w:t>
      </w:r>
      <w:r w:rsidR="000E041A">
        <w:rPr>
          <w:rFonts w:ascii="Arial Narrow" w:hAnsi="Arial Narrow"/>
          <w:sz w:val="24"/>
          <w:szCs w:val="24"/>
        </w:rPr>
        <w:t xml:space="preserve"> </w:t>
      </w:r>
      <w:r w:rsidRPr="007F09C3">
        <w:rPr>
          <w:rFonts w:ascii="Arial Narrow" w:hAnsi="Arial Narrow"/>
          <w:sz w:val="24"/>
          <w:szCs w:val="24"/>
        </w:rPr>
        <w:t xml:space="preserve">La inversión social creció un espectacular 45% frente al año anterior, especialmente en el Centro </w:t>
      </w:r>
      <w:r w:rsidR="005F3A46">
        <w:rPr>
          <w:rFonts w:ascii="Arial Narrow" w:hAnsi="Arial Narrow"/>
          <w:sz w:val="24"/>
          <w:szCs w:val="24"/>
        </w:rPr>
        <w:t>Social</w:t>
      </w:r>
      <w:r w:rsidRPr="007F09C3">
        <w:rPr>
          <w:rFonts w:ascii="Arial Narrow" w:hAnsi="Arial Narrow"/>
          <w:sz w:val="24"/>
          <w:szCs w:val="24"/>
        </w:rPr>
        <w:t xml:space="preserve"> y en los últimos 6 años se han invertido socialmente $7.155 millones de pesos con un promedio de casi $1.200 millones anuales así:</w:t>
      </w:r>
    </w:p>
    <w:p w14:paraId="36847CCC" w14:textId="77777777" w:rsidR="007F09C3" w:rsidRDefault="007F09C3" w:rsidP="007F09C3">
      <w:pPr>
        <w:jc w:val="both"/>
        <w:rPr>
          <w:rFonts w:ascii="Arial Narrow" w:hAnsi="Arial Narrow"/>
          <w:sz w:val="24"/>
          <w:szCs w:val="24"/>
        </w:rPr>
      </w:pPr>
      <w:r w:rsidRPr="007F09C3">
        <w:rPr>
          <w:rFonts w:ascii="Arial Narrow" w:hAnsi="Arial Narrow"/>
          <w:sz w:val="24"/>
          <w:szCs w:val="24"/>
        </w:rPr>
        <w:t xml:space="preserve"> </w:t>
      </w:r>
    </w:p>
    <w:tbl>
      <w:tblPr>
        <w:tblW w:w="0" w:type="auto"/>
        <w:jc w:val="center"/>
        <w:tblCellMar>
          <w:left w:w="70" w:type="dxa"/>
          <w:right w:w="70" w:type="dxa"/>
        </w:tblCellMar>
        <w:tblLook w:val="04A0" w:firstRow="1" w:lastRow="0" w:firstColumn="1" w:lastColumn="0" w:noHBand="0" w:noVBand="1"/>
      </w:tblPr>
      <w:tblGrid>
        <w:gridCol w:w="1540"/>
        <w:gridCol w:w="432"/>
        <w:gridCol w:w="542"/>
        <w:gridCol w:w="542"/>
        <w:gridCol w:w="542"/>
        <w:gridCol w:w="432"/>
        <w:gridCol w:w="542"/>
        <w:gridCol w:w="542"/>
      </w:tblGrid>
      <w:tr w:rsidR="00FA629E" w:rsidRPr="00FA629E" w14:paraId="5868879E" w14:textId="77777777" w:rsidTr="000E041A">
        <w:trPr>
          <w:trHeight w:val="113"/>
          <w:jc w:val="center"/>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5845C147" w14:textId="77777777" w:rsidR="00FA629E" w:rsidRPr="00FA629E" w:rsidRDefault="00FA629E" w:rsidP="00D24F68">
            <w:pP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CONCEPTO (millones)</w:t>
            </w:r>
          </w:p>
        </w:tc>
        <w:tc>
          <w:tcPr>
            <w:tcW w:w="0" w:type="auto"/>
            <w:tcBorders>
              <w:top w:val="single" w:sz="4" w:space="0" w:color="auto"/>
              <w:left w:val="nil"/>
              <w:bottom w:val="single" w:sz="4" w:space="0" w:color="auto"/>
              <w:right w:val="single" w:sz="4" w:space="0" w:color="auto"/>
            </w:tcBorders>
            <w:shd w:val="clear" w:color="000000" w:fill="0000FF"/>
            <w:noWrap/>
            <w:vAlign w:val="center"/>
            <w:hideMark/>
          </w:tcPr>
          <w:p w14:paraId="07149AB6"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2016</w:t>
            </w:r>
          </w:p>
        </w:tc>
        <w:tc>
          <w:tcPr>
            <w:tcW w:w="0" w:type="auto"/>
            <w:tcBorders>
              <w:top w:val="single" w:sz="4" w:space="0" w:color="auto"/>
              <w:left w:val="nil"/>
              <w:bottom w:val="single" w:sz="4" w:space="0" w:color="auto"/>
              <w:right w:val="single" w:sz="4" w:space="0" w:color="auto"/>
            </w:tcBorders>
            <w:shd w:val="clear" w:color="000000" w:fill="0000FF"/>
            <w:noWrap/>
            <w:vAlign w:val="center"/>
            <w:hideMark/>
          </w:tcPr>
          <w:p w14:paraId="3C7FEA65"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2017</w:t>
            </w:r>
          </w:p>
        </w:tc>
        <w:tc>
          <w:tcPr>
            <w:tcW w:w="0" w:type="auto"/>
            <w:tcBorders>
              <w:top w:val="single" w:sz="4" w:space="0" w:color="auto"/>
              <w:left w:val="nil"/>
              <w:bottom w:val="single" w:sz="4" w:space="0" w:color="auto"/>
              <w:right w:val="single" w:sz="4" w:space="0" w:color="auto"/>
            </w:tcBorders>
            <w:shd w:val="clear" w:color="000000" w:fill="0000FF"/>
            <w:noWrap/>
            <w:vAlign w:val="center"/>
            <w:hideMark/>
          </w:tcPr>
          <w:p w14:paraId="124FF9F7"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2018</w:t>
            </w:r>
          </w:p>
        </w:tc>
        <w:tc>
          <w:tcPr>
            <w:tcW w:w="0" w:type="auto"/>
            <w:tcBorders>
              <w:top w:val="single" w:sz="4" w:space="0" w:color="auto"/>
              <w:left w:val="nil"/>
              <w:bottom w:val="single" w:sz="4" w:space="0" w:color="auto"/>
              <w:right w:val="single" w:sz="4" w:space="0" w:color="auto"/>
            </w:tcBorders>
            <w:shd w:val="clear" w:color="000000" w:fill="0000FF"/>
            <w:noWrap/>
            <w:vAlign w:val="center"/>
            <w:hideMark/>
          </w:tcPr>
          <w:p w14:paraId="213520F8"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2019</w:t>
            </w:r>
          </w:p>
        </w:tc>
        <w:tc>
          <w:tcPr>
            <w:tcW w:w="0" w:type="auto"/>
            <w:tcBorders>
              <w:top w:val="single" w:sz="4" w:space="0" w:color="auto"/>
              <w:left w:val="nil"/>
              <w:bottom w:val="single" w:sz="4" w:space="0" w:color="auto"/>
              <w:right w:val="single" w:sz="4" w:space="0" w:color="auto"/>
            </w:tcBorders>
            <w:shd w:val="clear" w:color="000000" w:fill="0000FF"/>
            <w:noWrap/>
            <w:vAlign w:val="center"/>
            <w:hideMark/>
          </w:tcPr>
          <w:p w14:paraId="0E3E9254"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2020</w:t>
            </w:r>
          </w:p>
        </w:tc>
        <w:tc>
          <w:tcPr>
            <w:tcW w:w="0" w:type="auto"/>
            <w:tcBorders>
              <w:top w:val="single" w:sz="4" w:space="0" w:color="auto"/>
              <w:left w:val="nil"/>
              <w:bottom w:val="single" w:sz="4" w:space="0" w:color="auto"/>
              <w:right w:val="single" w:sz="4" w:space="0" w:color="auto"/>
            </w:tcBorders>
            <w:shd w:val="clear" w:color="000000" w:fill="0000FF"/>
            <w:noWrap/>
            <w:vAlign w:val="center"/>
            <w:hideMark/>
          </w:tcPr>
          <w:p w14:paraId="118057E4"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2021</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03B88239" w14:textId="77777777" w:rsidR="00FA629E" w:rsidRPr="00FA629E" w:rsidRDefault="00FA629E" w:rsidP="00D24F68">
            <w:pPr>
              <w:jc w:val="cente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21-20</w:t>
            </w:r>
          </w:p>
        </w:tc>
      </w:tr>
      <w:tr w:rsidR="00FA629E" w:rsidRPr="00FA629E" w14:paraId="7FA0758E"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279A1B"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Centro Social</w:t>
            </w:r>
          </w:p>
        </w:tc>
        <w:tc>
          <w:tcPr>
            <w:tcW w:w="0" w:type="auto"/>
            <w:tcBorders>
              <w:top w:val="nil"/>
              <w:left w:val="nil"/>
              <w:bottom w:val="single" w:sz="4" w:space="0" w:color="auto"/>
              <w:right w:val="single" w:sz="4" w:space="0" w:color="auto"/>
            </w:tcBorders>
            <w:shd w:val="clear" w:color="auto" w:fill="auto"/>
            <w:noWrap/>
            <w:vAlign w:val="bottom"/>
            <w:hideMark/>
          </w:tcPr>
          <w:p w14:paraId="334FD241"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$178</w:t>
            </w:r>
          </w:p>
        </w:tc>
        <w:tc>
          <w:tcPr>
            <w:tcW w:w="0" w:type="auto"/>
            <w:tcBorders>
              <w:top w:val="nil"/>
              <w:left w:val="nil"/>
              <w:bottom w:val="single" w:sz="4" w:space="0" w:color="auto"/>
              <w:right w:val="single" w:sz="4" w:space="0" w:color="auto"/>
            </w:tcBorders>
            <w:shd w:val="clear" w:color="auto" w:fill="auto"/>
            <w:noWrap/>
            <w:vAlign w:val="bottom"/>
            <w:hideMark/>
          </w:tcPr>
          <w:p w14:paraId="1841D64A"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$244</w:t>
            </w:r>
          </w:p>
        </w:tc>
        <w:tc>
          <w:tcPr>
            <w:tcW w:w="0" w:type="auto"/>
            <w:tcBorders>
              <w:top w:val="nil"/>
              <w:left w:val="nil"/>
              <w:bottom w:val="single" w:sz="4" w:space="0" w:color="auto"/>
              <w:right w:val="single" w:sz="4" w:space="0" w:color="auto"/>
            </w:tcBorders>
            <w:shd w:val="clear" w:color="auto" w:fill="auto"/>
            <w:noWrap/>
            <w:vAlign w:val="bottom"/>
            <w:hideMark/>
          </w:tcPr>
          <w:p w14:paraId="30C6A415"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$676</w:t>
            </w:r>
          </w:p>
        </w:tc>
        <w:tc>
          <w:tcPr>
            <w:tcW w:w="0" w:type="auto"/>
            <w:tcBorders>
              <w:top w:val="nil"/>
              <w:left w:val="nil"/>
              <w:bottom w:val="single" w:sz="4" w:space="0" w:color="auto"/>
              <w:right w:val="single" w:sz="4" w:space="0" w:color="auto"/>
            </w:tcBorders>
            <w:shd w:val="clear" w:color="auto" w:fill="auto"/>
            <w:noWrap/>
            <w:vAlign w:val="bottom"/>
            <w:hideMark/>
          </w:tcPr>
          <w:p w14:paraId="4F91933E"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$566</w:t>
            </w:r>
          </w:p>
        </w:tc>
        <w:tc>
          <w:tcPr>
            <w:tcW w:w="0" w:type="auto"/>
            <w:tcBorders>
              <w:top w:val="nil"/>
              <w:left w:val="nil"/>
              <w:bottom w:val="single" w:sz="4" w:space="0" w:color="auto"/>
              <w:right w:val="single" w:sz="4" w:space="0" w:color="auto"/>
            </w:tcBorders>
            <w:shd w:val="clear" w:color="auto" w:fill="auto"/>
            <w:noWrap/>
            <w:vAlign w:val="bottom"/>
            <w:hideMark/>
          </w:tcPr>
          <w:p w14:paraId="1ECA94A8"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$178</w:t>
            </w:r>
          </w:p>
        </w:tc>
        <w:tc>
          <w:tcPr>
            <w:tcW w:w="0" w:type="auto"/>
            <w:tcBorders>
              <w:top w:val="nil"/>
              <w:left w:val="nil"/>
              <w:bottom w:val="single" w:sz="4" w:space="0" w:color="auto"/>
              <w:right w:val="single" w:sz="4" w:space="0" w:color="auto"/>
            </w:tcBorders>
            <w:shd w:val="clear" w:color="000000" w:fill="E2EFDA"/>
            <w:noWrap/>
            <w:vAlign w:val="bottom"/>
            <w:hideMark/>
          </w:tcPr>
          <w:p w14:paraId="5CB5B06B" w14:textId="77777777" w:rsidR="00FA629E" w:rsidRPr="00FA629E" w:rsidRDefault="00FA629E" w:rsidP="00D24F68">
            <w:pPr>
              <w:jc w:val="right"/>
              <w:rPr>
                <w:rFonts w:ascii="Arial Narrow" w:hAnsi="Arial Narrow"/>
                <w:b/>
                <w:bCs/>
                <w:color w:val="375623"/>
                <w:sz w:val="16"/>
                <w:szCs w:val="16"/>
                <w:lang w:eastAsia="es-CO"/>
              </w:rPr>
            </w:pPr>
            <w:r w:rsidRPr="00FA629E">
              <w:rPr>
                <w:rFonts w:ascii="Arial Narrow" w:hAnsi="Arial Narrow"/>
                <w:b/>
                <w:bCs/>
                <w:color w:val="375623"/>
                <w:sz w:val="16"/>
                <w:szCs w:val="16"/>
                <w:lang w:eastAsia="es-CO"/>
              </w:rPr>
              <w:t>$495</w:t>
            </w:r>
          </w:p>
        </w:tc>
        <w:tc>
          <w:tcPr>
            <w:tcW w:w="0" w:type="auto"/>
            <w:tcBorders>
              <w:top w:val="nil"/>
              <w:left w:val="nil"/>
              <w:bottom w:val="single" w:sz="4" w:space="0" w:color="auto"/>
              <w:right w:val="single" w:sz="4" w:space="0" w:color="auto"/>
            </w:tcBorders>
            <w:shd w:val="clear" w:color="000000" w:fill="DDEBF7"/>
            <w:noWrap/>
            <w:vAlign w:val="bottom"/>
            <w:hideMark/>
          </w:tcPr>
          <w:p w14:paraId="413DEC56"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$673</w:t>
            </w:r>
          </w:p>
        </w:tc>
      </w:tr>
      <w:tr w:rsidR="00FA629E" w:rsidRPr="00FA629E" w14:paraId="2DBA0E83"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CAD261"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Bono y Fidelidad</w:t>
            </w:r>
          </w:p>
        </w:tc>
        <w:tc>
          <w:tcPr>
            <w:tcW w:w="0" w:type="auto"/>
            <w:tcBorders>
              <w:top w:val="nil"/>
              <w:left w:val="nil"/>
              <w:bottom w:val="single" w:sz="4" w:space="0" w:color="auto"/>
              <w:right w:val="single" w:sz="4" w:space="0" w:color="auto"/>
            </w:tcBorders>
            <w:shd w:val="clear" w:color="auto" w:fill="auto"/>
            <w:noWrap/>
            <w:vAlign w:val="bottom"/>
            <w:hideMark/>
          </w:tcPr>
          <w:p w14:paraId="04F5AE94"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$402</w:t>
            </w:r>
          </w:p>
        </w:tc>
        <w:tc>
          <w:tcPr>
            <w:tcW w:w="0" w:type="auto"/>
            <w:tcBorders>
              <w:top w:val="nil"/>
              <w:left w:val="nil"/>
              <w:bottom w:val="single" w:sz="4" w:space="0" w:color="auto"/>
              <w:right w:val="single" w:sz="4" w:space="0" w:color="auto"/>
            </w:tcBorders>
            <w:shd w:val="clear" w:color="auto" w:fill="auto"/>
            <w:noWrap/>
            <w:vAlign w:val="bottom"/>
            <w:hideMark/>
          </w:tcPr>
          <w:p w14:paraId="60372759"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$587</w:t>
            </w:r>
          </w:p>
        </w:tc>
        <w:tc>
          <w:tcPr>
            <w:tcW w:w="0" w:type="auto"/>
            <w:tcBorders>
              <w:top w:val="nil"/>
              <w:left w:val="nil"/>
              <w:bottom w:val="single" w:sz="4" w:space="0" w:color="auto"/>
              <w:right w:val="single" w:sz="4" w:space="0" w:color="auto"/>
            </w:tcBorders>
            <w:shd w:val="clear" w:color="auto" w:fill="auto"/>
            <w:noWrap/>
            <w:vAlign w:val="bottom"/>
            <w:hideMark/>
          </w:tcPr>
          <w:p w14:paraId="3EED7B64"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$400</w:t>
            </w:r>
          </w:p>
        </w:tc>
        <w:tc>
          <w:tcPr>
            <w:tcW w:w="0" w:type="auto"/>
            <w:tcBorders>
              <w:top w:val="nil"/>
              <w:left w:val="nil"/>
              <w:bottom w:val="single" w:sz="4" w:space="0" w:color="auto"/>
              <w:right w:val="single" w:sz="4" w:space="0" w:color="auto"/>
            </w:tcBorders>
            <w:shd w:val="clear" w:color="auto" w:fill="auto"/>
            <w:noWrap/>
            <w:vAlign w:val="bottom"/>
            <w:hideMark/>
          </w:tcPr>
          <w:p w14:paraId="37A3810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$330</w:t>
            </w:r>
          </w:p>
        </w:tc>
        <w:tc>
          <w:tcPr>
            <w:tcW w:w="0" w:type="auto"/>
            <w:tcBorders>
              <w:top w:val="nil"/>
              <w:left w:val="nil"/>
              <w:bottom w:val="single" w:sz="4" w:space="0" w:color="auto"/>
              <w:right w:val="single" w:sz="4" w:space="0" w:color="auto"/>
            </w:tcBorders>
            <w:shd w:val="clear" w:color="auto" w:fill="auto"/>
            <w:noWrap/>
            <w:vAlign w:val="bottom"/>
            <w:hideMark/>
          </w:tcPr>
          <w:p w14:paraId="169A7B69"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$363</w:t>
            </w:r>
          </w:p>
        </w:tc>
        <w:tc>
          <w:tcPr>
            <w:tcW w:w="0" w:type="auto"/>
            <w:tcBorders>
              <w:top w:val="nil"/>
              <w:left w:val="nil"/>
              <w:bottom w:val="single" w:sz="4" w:space="0" w:color="auto"/>
              <w:right w:val="single" w:sz="4" w:space="0" w:color="auto"/>
            </w:tcBorders>
            <w:shd w:val="clear" w:color="auto" w:fill="auto"/>
            <w:noWrap/>
            <w:vAlign w:val="bottom"/>
            <w:hideMark/>
          </w:tcPr>
          <w:p w14:paraId="3F7D1AA6"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$384</w:t>
            </w:r>
          </w:p>
        </w:tc>
        <w:tc>
          <w:tcPr>
            <w:tcW w:w="0" w:type="auto"/>
            <w:tcBorders>
              <w:top w:val="nil"/>
              <w:left w:val="nil"/>
              <w:bottom w:val="single" w:sz="4" w:space="0" w:color="auto"/>
              <w:right w:val="single" w:sz="4" w:space="0" w:color="auto"/>
            </w:tcBorders>
            <w:shd w:val="clear" w:color="000000" w:fill="DDEBF7"/>
            <w:noWrap/>
            <w:vAlign w:val="bottom"/>
            <w:hideMark/>
          </w:tcPr>
          <w:p w14:paraId="3D74324A"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$746</w:t>
            </w:r>
          </w:p>
        </w:tc>
      </w:tr>
      <w:tr w:rsidR="00FA629E" w:rsidRPr="00FA629E" w14:paraId="57014A6C"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CB71F5"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Educación</w:t>
            </w:r>
          </w:p>
        </w:tc>
        <w:tc>
          <w:tcPr>
            <w:tcW w:w="0" w:type="auto"/>
            <w:tcBorders>
              <w:top w:val="nil"/>
              <w:left w:val="nil"/>
              <w:bottom w:val="single" w:sz="4" w:space="0" w:color="auto"/>
              <w:right w:val="single" w:sz="4" w:space="0" w:color="auto"/>
            </w:tcBorders>
            <w:shd w:val="clear" w:color="auto" w:fill="auto"/>
            <w:noWrap/>
            <w:vAlign w:val="bottom"/>
            <w:hideMark/>
          </w:tcPr>
          <w:p w14:paraId="78DFB0F2" w14:textId="77777777" w:rsidR="00FA629E" w:rsidRPr="00FA629E" w:rsidRDefault="00FA629E" w:rsidP="00D24F68">
            <w:pPr>
              <w:jc w:val="right"/>
              <w:rPr>
                <w:rFonts w:ascii="Arial Narrow" w:hAnsi="Arial Narrow"/>
                <w:color w:val="000000"/>
                <w:sz w:val="16"/>
                <w:szCs w:val="16"/>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3894382A" w14:textId="77777777" w:rsidR="00FA629E" w:rsidRPr="00FA629E" w:rsidRDefault="00FA629E" w:rsidP="00D24F68">
            <w:pPr>
              <w:jc w:val="right"/>
              <w:rPr>
                <w:rFonts w:ascii="Arial Narrow" w:hAnsi="Arial Narrow"/>
                <w:color w:val="000000"/>
                <w:sz w:val="16"/>
                <w:szCs w:val="16"/>
                <w:lang w:eastAsia="es-CO"/>
              </w:rPr>
            </w:pPr>
          </w:p>
        </w:tc>
        <w:tc>
          <w:tcPr>
            <w:tcW w:w="0" w:type="auto"/>
            <w:tcBorders>
              <w:top w:val="nil"/>
              <w:left w:val="nil"/>
              <w:bottom w:val="single" w:sz="4" w:space="0" w:color="auto"/>
              <w:right w:val="single" w:sz="4" w:space="0" w:color="auto"/>
            </w:tcBorders>
            <w:shd w:val="clear" w:color="auto" w:fill="auto"/>
            <w:noWrap/>
            <w:vAlign w:val="bottom"/>
            <w:hideMark/>
          </w:tcPr>
          <w:p w14:paraId="293B6DAA"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$39</w:t>
            </w:r>
          </w:p>
        </w:tc>
        <w:tc>
          <w:tcPr>
            <w:tcW w:w="0" w:type="auto"/>
            <w:tcBorders>
              <w:top w:val="nil"/>
              <w:left w:val="nil"/>
              <w:bottom w:val="single" w:sz="4" w:space="0" w:color="auto"/>
              <w:right w:val="single" w:sz="4" w:space="0" w:color="auto"/>
            </w:tcBorders>
            <w:shd w:val="clear" w:color="auto" w:fill="auto"/>
            <w:noWrap/>
            <w:vAlign w:val="bottom"/>
            <w:hideMark/>
          </w:tcPr>
          <w:p w14:paraId="67EAD465"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$42</w:t>
            </w:r>
          </w:p>
        </w:tc>
        <w:tc>
          <w:tcPr>
            <w:tcW w:w="0" w:type="auto"/>
            <w:tcBorders>
              <w:top w:val="nil"/>
              <w:left w:val="nil"/>
              <w:bottom w:val="single" w:sz="4" w:space="0" w:color="auto"/>
              <w:right w:val="single" w:sz="4" w:space="0" w:color="auto"/>
            </w:tcBorders>
            <w:shd w:val="clear" w:color="auto" w:fill="auto"/>
            <w:noWrap/>
            <w:vAlign w:val="bottom"/>
            <w:hideMark/>
          </w:tcPr>
          <w:p w14:paraId="36E30507"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$39</w:t>
            </w:r>
          </w:p>
        </w:tc>
        <w:tc>
          <w:tcPr>
            <w:tcW w:w="0" w:type="auto"/>
            <w:tcBorders>
              <w:top w:val="nil"/>
              <w:left w:val="nil"/>
              <w:bottom w:val="single" w:sz="4" w:space="0" w:color="auto"/>
              <w:right w:val="single" w:sz="4" w:space="0" w:color="auto"/>
            </w:tcBorders>
            <w:shd w:val="clear" w:color="auto" w:fill="auto"/>
            <w:noWrap/>
            <w:vAlign w:val="bottom"/>
            <w:hideMark/>
          </w:tcPr>
          <w:p w14:paraId="3E44AB52"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$53</w:t>
            </w:r>
          </w:p>
        </w:tc>
        <w:tc>
          <w:tcPr>
            <w:tcW w:w="0" w:type="auto"/>
            <w:tcBorders>
              <w:top w:val="nil"/>
              <w:left w:val="nil"/>
              <w:bottom w:val="single" w:sz="4" w:space="0" w:color="auto"/>
              <w:right w:val="single" w:sz="4" w:space="0" w:color="auto"/>
            </w:tcBorders>
            <w:shd w:val="clear" w:color="000000" w:fill="DDEBF7"/>
            <w:noWrap/>
            <w:vAlign w:val="bottom"/>
            <w:hideMark/>
          </w:tcPr>
          <w:p w14:paraId="6B6D3118"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$92</w:t>
            </w:r>
          </w:p>
        </w:tc>
      </w:tr>
      <w:tr w:rsidR="00FA629E" w:rsidRPr="00FA629E" w14:paraId="745B166F"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90EFDE"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 xml:space="preserve">Solidaridad </w:t>
            </w:r>
          </w:p>
        </w:tc>
        <w:tc>
          <w:tcPr>
            <w:tcW w:w="0" w:type="auto"/>
            <w:tcBorders>
              <w:top w:val="nil"/>
              <w:left w:val="nil"/>
              <w:bottom w:val="single" w:sz="4" w:space="0" w:color="auto"/>
              <w:right w:val="single" w:sz="4" w:space="0" w:color="auto"/>
            </w:tcBorders>
            <w:shd w:val="clear" w:color="auto" w:fill="auto"/>
            <w:noWrap/>
            <w:vAlign w:val="bottom"/>
            <w:hideMark/>
          </w:tcPr>
          <w:p w14:paraId="3E4F014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$176</w:t>
            </w:r>
          </w:p>
        </w:tc>
        <w:tc>
          <w:tcPr>
            <w:tcW w:w="0" w:type="auto"/>
            <w:tcBorders>
              <w:top w:val="nil"/>
              <w:left w:val="nil"/>
              <w:bottom w:val="single" w:sz="4" w:space="0" w:color="auto"/>
              <w:right w:val="single" w:sz="4" w:space="0" w:color="auto"/>
            </w:tcBorders>
            <w:shd w:val="clear" w:color="auto" w:fill="auto"/>
            <w:noWrap/>
            <w:vAlign w:val="bottom"/>
            <w:hideMark/>
          </w:tcPr>
          <w:p w14:paraId="77F19ECB"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$116</w:t>
            </w:r>
          </w:p>
        </w:tc>
        <w:tc>
          <w:tcPr>
            <w:tcW w:w="0" w:type="auto"/>
            <w:tcBorders>
              <w:top w:val="nil"/>
              <w:left w:val="nil"/>
              <w:bottom w:val="single" w:sz="4" w:space="0" w:color="auto"/>
              <w:right w:val="single" w:sz="4" w:space="0" w:color="auto"/>
            </w:tcBorders>
            <w:shd w:val="clear" w:color="auto" w:fill="auto"/>
            <w:noWrap/>
            <w:vAlign w:val="bottom"/>
            <w:hideMark/>
          </w:tcPr>
          <w:p w14:paraId="0B65B7F4"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$161</w:t>
            </w:r>
          </w:p>
        </w:tc>
        <w:tc>
          <w:tcPr>
            <w:tcW w:w="0" w:type="auto"/>
            <w:tcBorders>
              <w:top w:val="nil"/>
              <w:left w:val="nil"/>
              <w:bottom w:val="single" w:sz="4" w:space="0" w:color="auto"/>
              <w:right w:val="single" w:sz="4" w:space="0" w:color="auto"/>
            </w:tcBorders>
            <w:shd w:val="clear" w:color="auto" w:fill="auto"/>
            <w:noWrap/>
            <w:vAlign w:val="bottom"/>
            <w:hideMark/>
          </w:tcPr>
          <w:p w14:paraId="584EB5D3"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$163</w:t>
            </w:r>
          </w:p>
        </w:tc>
        <w:tc>
          <w:tcPr>
            <w:tcW w:w="0" w:type="auto"/>
            <w:tcBorders>
              <w:top w:val="nil"/>
              <w:left w:val="nil"/>
              <w:bottom w:val="single" w:sz="4" w:space="0" w:color="auto"/>
              <w:right w:val="single" w:sz="4" w:space="0" w:color="auto"/>
            </w:tcBorders>
            <w:shd w:val="clear" w:color="auto" w:fill="auto"/>
            <w:noWrap/>
            <w:vAlign w:val="bottom"/>
            <w:hideMark/>
          </w:tcPr>
          <w:p w14:paraId="5EA2439B"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$176</w:t>
            </w:r>
          </w:p>
        </w:tc>
        <w:tc>
          <w:tcPr>
            <w:tcW w:w="0" w:type="auto"/>
            <w:tcBorders>
              <w:top w:val="nil"/>
              <w:left w:val="nil"/>
              <w:bottom w:val="single" w:sz="4" w:space="0" w:color="auto"/>
              <w:right w:val="single" w:sz="4" w:space="0" w:color="auto"/>
            </w:tcBorders>
            <w:shd w:val="clear" w:color="auto" w:fill="auto"/>
            <w:noWrap/>
            <w:vAlign w:val="bottom"/>
            <w:hideMark/>
          </w:tcPr>
          <w:p w14:paraId="120876FD"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$168</w:t>
            </w:r>
          </w:p>
        </w:tc>
        <w:tc>
          <w:tcPr>
            <w:tcW w:w="0" w:type="auto"/>
            <w:tcBorders>
              <w:top w:val="nil"/>
              <w:left w:val="nil"/>
              <w:bottom w:val="single" w:sz="4" w:space="0" w:color="auto"/>
              <w:right w:val="single" w:sz="4" w:space="0" w:color="auto"/>
            </w:tcBorders>
            <w:shd w:val="clear" w:color="000000" w:fill="DDEBF7"/>
            <w:noWrap/>
            <w:vAlign w:val="bottom"/>
            <w:hideMark/>
          </w:tcPr>
          <w:p w14:paraId="69C98E0A"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$344</w:t>
            </w:r>
          </w:p>
        </w:tc>
      </w:tr>
      <w:tr w:rsidR="00FA629E" w:rsidRPr="00FA629E" w14:paraId="2D8535B6"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5788361"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Deportes</w:t>
            </w:r>
          </w:p>
        </w:tc>
        <w:tc>
          <w:tcPr>
            <w:tcW w:w="0" w:type="auto"/>
            <w:tcBorders>
              <w:top w:val="nil"/>
              <w:left w:val="nil"/>
              <w:bottom w:val="single" w:sz="4" w:space="0" w:color="auto"/>
              <w:right w:val="single" w:sz="4" w:space="0" w:color="auto"/>
            </w:tcBorders>
            <w:shd w:val="clear" w:color="auto" w:fill="auto"/>
            <w:noWrap/>
            <w:vAlign w:val="bottom"/>
            <w:hideMark/>
          </w:tcPr>
          <w:p w14:paraId="5B54FF2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$39</w:t>
            </w:r>
          </w:p>
        </w:tc>
        <w:tc>
          <w:tcPr>
            <w:tcW w:w="0" w:type="auto"/>
            <w:tcBorders>
              <w:top w:val="nil"/>
              <w:left w:val="nil"/>
              <w:bottom w:val="single" w:sz="4" w:space="0" w:color="auto"/>
              <w:right w:val="single" w:sz="4" w:space="0" w:color="auto"/>
            </w:tcBorders>
            <w:shd w:val="clear" w:color="auto" w:fill="auto"/>
            <w:noWrap/>
            <w:vAlign w:val="bottom"/>
            <w:hideMark/>
          </w:tcPr>
          <w:p w14:paraId="66CE1A24"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$132</w:t>
            </w:r>
          </w:p>
        </w:tc>
        <w:tc>
          <w:tcPr>
            <w:tcW w:w="0" w:type="auto"/>
            <w:tcBorders>
              <w:top w:val="nil"/>
              <w:left w:val="nil"/>
              <w:bottom w:val="single" w:sz="4" w:space="0" w:color="auto"/>
              <w:right w:val="single" w:sz="4" w:space="0" w:color="auto"/>
            </w:tcBorders>
            <w:shd w:val="clear" w:color="auto" w:fill="auto"/>
            <w:noWrap/>
            <w:vAlign w:val="bottom"/>
            <w:hideMark/>
          </w:tcPr>
          <w:p w14:paraId="0BCDCB25"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$98</w:t>
            </w:r>
          </w:p>
        </w:tc>
        <w:tc>
          <w:tcPr>
            <w:tcW w:w="0" w:type="auto"/>
            <w:tcBorders>
              <w:top w:val="nil"/>
              <w:left w:val="nil"/>
              <w:bottom w:val="single" w:sz="4" w:space="0" w:color="auto"/>
              <w:right w:val="single" w:sz="4" w:space="0" w:color="auto"/>
            </w:tcBorders>
            <w:shd w:val="clear" w:color="auto" w:fill="auto"/>
            <w:noWrap/>
            <w:vAlign w:val="bottom"/>
            <w:hideMark/>
          </w:tcPr>
          <w:p w14:paraId="70F70BC7"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$37</w:t>
            </w:r>
          </w:p>
        </w:tc>
        <w:tc>
          <w:tcPr>
            <w:tcW w:w="0" w:type="auto"/>
            <w:tcBorders>
              <w:top w:val="nil"/>
              <w:left w:val="nil"/>
              <w:bottom w:val="single" w:sz="4" w:space="0" w:color="auto"/>
              <w:right w:val="single" w:sz="4" w:space="0" w:color="auto"/>
            </w:tcBorders>
            <w:shd w:val="clear" w:color="auto" w:fill="auto"/>
            <w:noWrap/>
            <w:vAlign w:val="bottom"/>
            <w:hideMark/>
          </w:tcPr>
          <w:p w14:paraId="508BBA1E"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$39</w:t>
            </w:r>
          </w:p>
        </w:tc>
        <w:tc>
          <w:tcPr>
            <w:tcW w:w="0" w:type="auto"/>
            <w:tcBorders>
              <w:top w:val="nil"/>
              <w:left w:val="nil"/>
              <w:bottom w:val="single" w:sz="4" w:space="0" w:color="auto"/>
              <w:right w:val="single" w:sz="4" w:space="0" w:color="auto"/>
            </w:tcBorders>
            <w:shd w:val="clear" w:color="auto" w:fill="auto"/>
            <w:noWrap/>
            <w:vAlign w:val="bottom"/>
            <w:hideMark/>
          </w:tcPr>
          <w:p w14:paraId="1B6FEF3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$35</w:t>
            </w:r>
          </w:p>
        </w:tc>
        <w:tc>
          <w:tcPr>
            <w:tcW w:w="0" w:type="auto"/>
            <w:tcBorders>
              <w:top w:val="nil"/>
              <w:left w:val="nil"/>
              <w:bottom w:val="single" w:sz="4" w:space="0" w:color="auto"/>
              <w:right w:val="single" w:sz="4" w:space="0" w:color="auto"/>
            </w:tcBorders>
            <w:shd w:val="clear" w:color="000000" w:fill="DDEBF7"/>
            <w:noWrap/>
            <w:vAlign w:val="bottom"/>
            <w:hideMark/>
          </w:tcPr>
          <w:p w14:paraId="30399E93"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$74</w:t>
            </w:r>
          </w:p>
        </w:tc>
      </w:tr>
      <w:tr w:rsidR="00FA629E" w:rsidRPr="00FA629E" w14:paraId="1660DE13"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6A4575"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Juvenil y Vacaciones</w:t>
            </w:r>
          </w:p>
        </w:tc>
        <w:tc>
          <w:tcPr>
            <w:tcW w:w="0" w:type="auto"/>
            <w:tcBorders>
              <w:top w:val="nil"/>
              <w:left w:val="nil"/>
              <w:bottom w:val="single" w:sz="4" w:space="0" w:color="auto"/>
              <w:right w:val="single" w:sz="4" w:space="0" w:color="auto"/>
            </w:tcBorders>
            <w:shd w:val="clear" w:color="auto" w:fill="auto"/>
            <w:noWrap/>
            <w:vAlign w:val="bottom"/>
            <w:hideMark/>
          </w:tcPr>
          <w:p w14:paraId="09F77824"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$37</w:t>
            </w:r>
          </w:p>
        </w:tc>
        <w:tc>
          <w:tcPr>
            <w:tcW w:w="0" w:type="auto"/>
            <w:tcBorders>
              <w:top w:val="nil"/>
              <w:left w:val="nil"/>
              <w:bottom w:val="single" w:sz="4" w:space="0" w:color="auto"/>
              <w:right w:val="single" w:sz="4" w:space="0" w:color="auto"/>
            </w:tcBorders>
            <w:shd w:val="clear" w:color="auto" w:fill="auto"/>
            <w:noWrap/>
            <w:vAlign w:val="bottom"/>
            <w:hideMark/>
          </w:tcPr>
          <w:p w14:paraId="75C8C05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$48</w:t>
            </w:r>
          </w:p>
        </w:tc>
        <w:tc>
          <w:tcPr>
            <w:tcW w:w="0" w:type="auto"/>
            <w:tcBorders>
              <w:top w:val="nil"/>
              <w:left w:val="nil"/>
              <w:bottom w:val="single" w:sz="4" w:space="0" w:color="auto"/>
              <w:right w:val="single" w:sz="4" w:space="0" w:color="auto"/>
            </w:tcBorders>
            <w:shd w:val="clear" w:color="auto" w:fill="auto"/>
            <w:noWrap/>
            <w:vAlign w:val="bottom"/>
            <w:hideMark/>
          </w:tcPr>
          <w:p w14:paraId="31888DF9"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$98</w:t>
            </w:r>
          </w:p>
        </w:tc>
        <w:tc>
          <w:tcPr>
            <w:tcW w:w="0" w:type="auto"/>
            <w:tcBorders>
              <w:top w:val="nil"/>
              <w:left w:val="nil"/>
              <w:bottom w:val="single" w:sz="4" w:space="0" w:color="auto"/>
              <w:right w:val="single" w:sz="4" w:space="0" w:color="auto"/>
            </w:tcBorders>
            <w:shd w:val="clear" w:color="auto" w:fill="auto"/>
            <w:noWrap/>
            <w:vAlign w:val="bottom"/>
            <w:hideMark/>
          </w:tcPr>
          <w:p w14:paraId="5EBB495F"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$24</w:t>
            </w:r>
          </w:p>
        </w:tc>
        <w:tc>
          <w:tcPr>
            <w:tcW w:w="0" w:type="auto"/>
            <w:tcBorders>
              <w:top w:val="nil"/>
              <w:left w:val="nil"/>
              <w:bottom w:val="single" w:sz="4" w:space="0" w:color="auto"/>
              <w:right w:val="single" w:sz="4" w:space="0" w:color="auto"/>
            </w:tcBorders>
            <w:shd w:val="clear" w:color="auto" w:fill="auto"/>
            <w:noWrap/>
            <w:vAlign w:val="bottom"/>
            <w:hideMark/>
          </w:tcPr>
          <w:p w14:paraId="51FA9907"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$37</w:t>
            </w:r>
          </w:p>
        </w:tc>
        <w:tc>
          <w:tcPr>
            <w:tcW w:w="0" w:type="auto"/>
            <w:tcBorders>
              <w:top w:val="nil"/>
              <w:left w:val="nil"/>
              <w:bottom w:val="single" w:sz="4" w:space="0" w:color="auto"/>
              <w:right w:val="single" w:sz="4" w:space="0" w:color="auto"/>
            </w:tcBorders>
            <w:shd w:val="clear" w:color="auto" w:fill="auto"/>
            <w:noWrap/>
            <w:vAlign w:val="bottom"/>
            <w:hideMark/>
          </w:tcPr>
          <w:p w14:paraId="15CD8161"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$29</w:t>
            </w:r>
          </w:p>
        </w:tc>
        <w:tc>
          <w:tcPr>
            <w:tcW w:w="0" w:type="auto"/>
            <w:tcBorders>
              <w:top w:val="nil"/>
              <w:left w:val="nil"/>
              <w:bottom w:val="single" w:sz="4" w:space="0" w:color="auto"/>
              <w:right w:val="single" w:sz="4" w:space="0" w:color="auto"/>
            </w:tcBorders>
            <w:shd w:val="clear" w:color="000000" w:fill="DDEBF7"/>
            <w:noWrap/>
            <w:vAlign w:val="bottom"/>
            <w:hideMark/>
          </w:tcPr>
          <w:p w14:paraId="07E925EE"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$66</w:t>
            </w:r>
          </w:p>
        </w:tc>
      </w:tr>
      <w:tr w:rsidR="00FA629E" w:rsidRPr="00FA629E" w14:paraId="7ACDBDB5"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D3444BD"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Cultura</w:t>
            </w:r>
          </w:p>
        </w:tc>
        <w:tc>
          <w:tcPr>
            <w:tcW w:w="0" w:type="auto"/>
            <w:tcBorders>
              <w:top w:val="nil"/>
              <w:left w:val="nil"/>
              <w:bottom w:val="single" w:sz="4" w:space="0" w:color="auto"/>
              <w:right w:val="single" w:sz="4" w:space="0" w:color="auto"/>
            </w:tcBorders>
            <w:shd w:val="clear" w:color="auto" w:fill="auto"/>
            <w:noWrap/>
            <w:vAlign w:val="bottom"/>
            <w:hideMark/>
          </w:tcPr>
          <w:p w14:paraId="793DC539"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$11</w:t>
            </w:r>
          </w:p>
        </w:tc>
        <w:tc>
          <w:tcPr>
            <w:tcW w:w="0" w:type="auto"/>
            <w:tcBorders>
              <w:top w:val="nil"/>
              <w:left w:val="nil"/>
              <w:bottom w:val="single" w:sz="4" w:space="0" w:color="auto"/>
              <w:right w:val="single" w:sz="4" w:space="0" w:color="auto"/>
            </w:tcBorders>
            <w:shd w:val="clear" w:color="auto" w:fill="auto"/>
            <w:noWrap/>
            <w:vAlign w:val="bottom"/>
            <w:hideMark/>
          </w:tcPr>
          <w:p w14:paraId="51C40F3F"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$89</w:t>
            </w:r>
          </w:p>
        </w:tc>
        <w:tc>
          <w:tcPr>
            <w:tcW w:w="0" w:type="auto"/>
            <w:tcBorders>
              <w:top w:val="nil"/>
              <w:left w:val="nil"/>
              <w:bottom w:val="single" w:sz="4" w:space="0" w:color="auto"/>
              <w:right w:val="single" w:sz="4" w:space="0" w:color="auto"/>
            </w:tcBorders>
            <w:shd w:val="clear" w:color="auto" w:fill="auto"/>
            <w:noWrap/>
            <w:vAlign w:val="bottom"/>
            <w:hideMark/>
          </w:tcPr>
          <w:p w14:paraId="6989C152"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$42</w:t>
            </w:r>
          </w:p>
        </w:tc>
        <w:tc>
          <w:tcPr>
            <w:tcW w:w="0" w:type="auto"/>
            <w:tcBorders>
              <w:top w:val="nil"/>
              <w:left w:val="nil"/>
              <w:bottom w:val="single" w:sz="4" w:space="0" w:color="auto"/>
              <w:right w:val="single" w:sz="4" w:space="0" w:color="auto"/>
            </w:tcBorders>
            <w:shd w:val="clear" w:color="auto" w:fill="auto"/>
            <w:noWrap/>
            <w:vAlign w:val="bottom"/>
            <w:hideMark/>
          </w:tcPr>
          <w:p w14:paraId="64CA5408"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$14</w:t>
            </w:r>
          </w:p>
        </w:tc>
        <w:tc>
          <w:tcPr>
            <w:tcW w:w="0" w:type="auto"/>
            <w:tcBorders>
              <w:top w:val="nil"/>
              <w:left w:val="nil"/>
              <w:bottom w:val="single" w:sz="4" w:space="0" w:color="auto"/>
              <w:right w:val="single" w:sz="4" w:space="0" w:color="auto"/>
            </w:tcBorders>
            <w:shd w:val="clear" w:color="auto" w:fill="auto"/>
            <w:noWrap/>
            <w:vAlign w:val="bottom"/>
            <w:hideMark/>
          </w:tcPr>
          <w:p w14:paraId="4106B0AA"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$11</w:t>
            </w:r>
          </w:p>
        </w:tc>
        <w:tc>
          <w:tcPr>
            <w:tcW w:w="0" w:type="auto"/>
            <w:tcBorders>
              <w:top w:val="nil"/>
              <w:left w:val="nil"/>
              <w:bottom w:val="single" w:sz="4" w:space="0" w:color="auto"/>
              <w:right w:val="single" w:sz="4" w:space="0" w:color="auto"/>
            </w:tcBorders>
            <w:shd w:val="clear" w:color="auto" w:fill="auto"/>
            <w:noWrap/>
            <w:vAlign w:val="bottom"/>
            <w:hideMark/>
          </w:tcPr>
          <w:p w14:paraId="38B449F7"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$25</w:t>
            </w:r>
          </w:p>
        </w:tc>
        <w:tc>
          <w:tcPr>
            <w:tcW w:w="0" w:type="auto"/>
            <w:tcBorders>
              <w:top w:val="nil"/>
              <w:left w:val="nil"/>
              <w:bottom w:val="single" w:sz="4" w:space="0" w:color="auto"/>
              <w:right w:val="single" w:sz="4" w:space="0" w:color="auto"/>
            </w:tcBorders>
            <w:shd w:val="clear" w:color="000000" w:fill="DDEBF7"/>
            <w:noWrap/>
            <w:vAlign w:val="bottom"/>
            <w:hideMark/>
          </w:tcPr>
          <w:p w14:paraId="77866B42"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$36</w:t>
            </w:r>
          </w:p>
        </w:tc>
      </w:tr>
      <w:tr w:rsidR="00FA629E" w:rsidRPr="00FA629E" w14:paraId="1CB0F352"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1F3B6F9"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Adulto Mayor</w:t>
            </w:r>
          </w:p>
        </w:tc>
        <w:tc>
          <w:tcPr>
            <w:tcW w:w="0" w:type="auto"/>
            <w:tcBorders>
              <w:top w:val="nil"/>
              <w:left w:val="nil"/>
              <w:bottom w:val="single" w:sz="4" w:space="0" w:color="auto"/>
              <w:right w:val="single" w:sz="4" w:space="0" w:color="auto"/>
            </w:tcBorders>
            <w:shd w:val="clear" w:color="auto" w:fill="auto"/>
            <w:noWrap/>
            <w:vAlign w:val="bottom"/>
            <w:hideMark/>
          </w:tcPr>
          <w:p w14:paraId="3DBF4FCA"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$8</w:t>
            </w:r>
          </w:p>
        </w:tc>
        <w:tc>
          <w:tcPr>
            <w:tcW w:w="0" w:type="auto"/>
            <w:tcBorders>
              <w:top w:val="nil"/>
              <w:left w:val="nil"/>
              <w:bottom w:val="single" w:sz="4" w:space="0" w:color="auto"/>
              <w:right w:val="single" w:sz="4" w:space="0" w:color="auto"/>
            </w:tcBorders>
            <w:shd w:val="clear" w:color="auto" w:fill="auto"/>
            <w:noWrap/>
            <w:vAlign w:val="bottom"/>
            <w:hideMark/>
          </w:tcPr>
          <w:p w14:paraId="6F64D059"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$48</w:t>
            </w:r>
          </w:p>
        </w:tc>
        <w:tc>
          <w:tcPr>
            <w:tcW w:w="0" w:type="auto"/>
            <w:tcBorders>
              <w:top w:val="nil"/>
              <w:left w:val="nil"/>
              <w:bottom w:val="single" w:sz="4" w:space="0" w:color="auto"/>
              <w:right w:val="single" w:sz="4" w:space="0" w:color="auto"/>
            </w:tcBorders>
            <w:shd w:val="clear" w:color="auto" w:fill="auto"/>
            <w:noWrap/>
            <w:vAlign w:val="bottom"/>
            <w:hideMark/>
          </w:tcPr>
          <w:p w14:paraId="0999C99E"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$33</w:t>
            </w:r>
          </w:p>
        </w:tc>
        <w:tc>
          <w:tcPr>
            <w:tcW w:w="0" w:type="auto"/>
            <w:tcBorders>
              <w:top w:val="nil"/>
              <w:left w:val="nil"/>
              <w:bottom w:val="single" w:sz="4" w:space="0" w:color="auto"/>
              <w:right w:val="single" w:sz="4" w:space="0" w:color="auto"/>
            </w:tcBorders>
            <w:shd w:val="clear" w:color="auto" w:fill="auto"/>
            <w:noWrap/>
            <w:vAlign w:val="bottom"/>
            <w:hideMark/>
          </w:tcPr>
          <w:p w14:paraId="6BD8596F"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$15</w:t>
            </w:r>
          </w:p>
        </w:tc>
        <w:tc>
          <w:tcPr>
            <w:tcW w:w="0" w:type="auto"/>
            <w:tcBorders>
              <w:top w:val="nil"/>
              <w:left w:val="nil"/>
              <w:bottom w:val="single" w:sz="4" w:space="0" w:color="auto"/>
              <w:right w:val="single" w:sz="4" w:space="0" w:color="auto"/>
            </w:tcBorders>
            <w:shd w:val="clear" w:color="auto" w:fill="auto"/>
            <w:noWrap/>
            <w:vAlign w:val="bottom"/>
            <w:hideMark/>
          </w:tcPr>
          <w:p w14:paraId="65EBE983"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$8</w:t>
            </w:r>
          </w:p>
        </w:tc>
        <w:tc>
          <w:tcPr>
            <w:tcW w:w="0" w:type="auto"/>
            <w:tcBorders>
              <w:top w:val="nil"/>
              <w:left w:val="nil"/>
              <w:bottom w:val="single" w:sz="4" w:space="0" w:color="auto"/>
              <w:right w:val="single" w:sz="4" w:space="0" w:color="auto"/>
            </w:tcBorders>
            <w:shd w:val="clear" w:color="auto" w:fill="auto"/>
            <w:noWrap/>
            <w:vAlign w:val="bottom"/>
            <w:hideMark/>
          </w:tcPr>
          <w:p w14:paraId="266A3FE7"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$8</w:t>
            </w:r>
          </w:p>
        </w:tc>
        <w:tc>
          <w:tcPr>
            <w:tcW w:w="0" w:type="auto"/>
            <w:tcBorders>
              <w:top w:val="nil"/>
              <w:left w:val="nil"/>
              <w:bottom w:val="single" w:sz="4" w:space="0" w:color="auto"/>
              <w:right w:val="single" w:sz="4" w:space="0" w:color="auto"/>
            </w:tcBorders>
            <w:shd w:val="clear" w:color="000000" w:fill="DDEBF7"/>
            <w:noWrap/>
            <w:vAlign w:val="bottom"/>
            <w:hideMark/>
          </w:tcPr>
          <w:p w14:paraId="55223751"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$16</w:t>
            </w:r>
          </w:p>
        </w:tc>
      </w:tr>
      <w:tr w:rsidR="00FA629E" w:rsidRPr="00FA629E" w14:paraId="07313695" w14:textId="77777777" w:rsidTr="000E041A">
        <w:trPr>
          <w:trHeight w:val="113"/>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B7362E9" w14:textId="77777777" w:rsidR="00FA629E" w:rsidRPr="00FA629E" w:rsidRDefault="00FA629E" w:rsidP="00D24F68">
            <w:pPr>
              <w:rPr>
                <w:rFonts w:ascii="Arial Narrow" w:hAnsi="Arial Narrow"/>
                <w:color w:val="000000"/>
                <w:sz w:val="16"/>
                <w:szCs w:val="16"/>
                <w:lang w:eastAsia="es-CO"/>
              </w:rPr>
            </w:pPr>
            <w:r w:rsidRPr="00FA629E">
              <w:rPr>
                <w:rFonts w:ascii="Arial Narrow" w:hAnsi="Arial Narrow"/>
                <w:color w:val="000000"/>
                <w:sz w:val="16"/>
                <w:szCs w:val="16"/>
                <w:lang w:eastAsia="es-CO"/>
              </w:rPr>
              <w:t>Día Madre y Pasadías</w:t>
            </w:r>
          </w:p>
        </w:tc>
        <w:tc>
          <w:tcPr>
            <w:tcW w:w="0" w:type="auto"/>
            <w:tcBorders>
              <w:top w:val="nil"/>
              <w:left w:val="nil"/>
              <w:bottom w:val="single" w:sz="4" w:space="0" w:color="auto"/>
              <w:right w:val="single" w:sz="4" w:space="0" w:color="auto"/>
            </w:tcBorders>
            <w:shd w:val="clear" w:color="auto" w:fill="auto"/>
            <w:noWrap/>
            <w:vAlign w:val="bottom"/>
            <w:hideMark/>
          </w:tcPr>
          <w:p w14:paraId="24A6617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$43</w:t>
            </w:r>
          </w:p>
        </w:tc>
        <w:tc>
          <w:tcPr>
            <w:tcW w:w="0" w:type="auto"/>
            <w:tcBorders>
              <w:top w:val="nil"/>
              <w:left w:val="nil"/>
              <w:bottom w:val="single" w:sz="4" w:space="0" w:color="auto"/>
              <w:right w:val="single" w:sz="4" w:space="0" w:color="auto"/>
            </w:tcBorders>
            <w:shd w:val="clear" w:color="auto" w:fill="auto"/>
            <w:noWrap/>
            <w:vAlign w:val="bottom"/>
            <w:hideMark/>
          </w:tcPr>
          <w:p w14:paraId="1DF6878C"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w:t>
            </w:r>
          </w:p>
        </w:tc>
        <w:tc>
          <w:tcPr>
            <w:tcW w:w="0" w:type="auto"/>
            <w:tcBorders>
              <w:top w:val="nil"/>
              <w:left w:val="nil"/>
              <w:bottom w:val="single" w:sz="4" w:space="0" w:color="auto"/>
              <w:right w:val="single" w:sz="4" w:space="0" w:color="auto"/>
            </w:tcBorders>
            <w:shd w:val="clear" w:color="auto" w:fill="auto"/>
            <w:noWrap/>
            <w:vAlign w:val="bottom"/>
            <w:hideMark/>
          </w:tcPr>
          <w:p w14:paraId="15BAD3DD"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$35</w:t>
            </w:r>
          </w:p>
        </w:tc>
        <w:tc>
          <w:tcPr>
            <w:tcW w:w="0" w:type="auto"/>
            <w:tcBorders>
              <w:top w:val="nil"/>
              <w:left w:val="nil"/>
              <w:bottom w:val="single" w:sz="4" w:space="0" w:color="auto"/>
              <w:right w:val="single" w:sz="4" w:space="0" w:color="auto"/>
            </w:tcBorders>
            <w:shd w:val="clear" w:color="auto" w:fill="auto"/>
            <w:noWrap/>
            <w:vAlign w:val="bottom"/>
            <w:hideMark/>
          </w:tcPr>
          <w:p w14:paraId="3B5E7C22"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$35</w:t>
            </w:r>
          </w:p>
        </w:tc>
        <w:tc>
          <w:tcPr>
            <w:tcW w:w="0" w:type="auto"/>
            <w:tcBorders>
              <w:top w:val="nil"/>
              <w:left w:val="nil"/>
              <w:bottom w:val="single" w:sz="4" w:space="0" w:color="auto"/>
              <w:right w:val="single" w:sz="4" w:space="0" w:color="auto"/>
            </w:tcBorders>
            <w:shd w:val="clear" w:color="auto" w:fill="auto"/>
            <w:noWrap/>
            <w:vAlign w:val="bottom"/>
            <w:hideMark/>
          </w:tcPr>
          <w:p w14:paraId="32CCFCB1"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$43</w:t>
            </w:r>
          </w:p>
        </w:tc>
        <w:tc>
          <w:tcPr>
            <w:tcW w:w="0" w:type="auto"/>
            <w:tcBorders>
              <w:top w:val="nil"/>
              <w:left w:val="nil"/>
              <w:bottom w:val="single" w:sz="4" w:space="0" w:color="auto"/>
              <w:right w:val="single" w:sz="4" w:space="0" w:color="auto"/>
            </w:tcBorders>
            <w:shd w:val="clear" w:color="000000" w:fill="E2EFDA"/>
            <w:noWrap/>
            <w:vAlign w:val="bottom"/>
            <w:hideMark/>
          </w:tcPr>
          <w:p w14:paraId="7D06F20E" w14:textId="77777777" w:rsidR="00FA629E" w:rsidRPr="00FA629E" w:rsidRDefault="00FA629E" w:rsidP="00D24F68">
            <w:pPr>
              <w:jc w:val="right"/>
              <w:rPr>
                <w:rFonts w:ascii="Arial Narrow" w:hAnsi="Arial Narrow"/>
                <w:b/>
                <w:bCs/>
                <w:color w:val="375623"/>
                <w:sz w:val="16"/>
                <w:szCs w:val="16"/>
                <w:lang w:eastAsia="es-CO"/>
              </w:rPr>
            </w:pPr>
            <w:r w:rsidRPr="00FA629E">
              <w:rPr>
                <w:rFonts w:ascii="Arial Narrow" w:hAnsi="Arial Narrow"/>
                <w:b/>
                <w:bCs/>
                <w:color w:val="375623"/>
                <w:sz w:val="16"/>
                <w:szCs w:val="16"/>
                <w:lang w:eastAsia="es-CO"/>
              </w:rPr>
              <w:t>$101</w:t>
            </w:r>
          </w:p>
        </w:tc>
        <w:tc>
          <w:tcPr>
            <w:tcW w:w="0" w:type="auto"/>
            <w:tcBorders>
              <w:top w:val="nil"/>
              <w:left w:val="nil"/>
              <w:bottom w:val="single" w:sz="4" w:space="0" w:color="auto"/>
              <w:right w:val="single" w:sz="4" w:space="0" w:color="auto"/>
            </w:tcBorders>
            <w:shd w:val="clear" w:color="000000" w:fill="DDEBF7"/>
            <w:noWrap/>
            <w:vAlign w:val="bottom"/>
            <w:hideMark/>
          </w:tcPr>
          <w:p w14:paraId="0E810889" w14:textId="77777777" w:rsidR="00FA629E" w:rsidRPr="00FA629E" w:rsidRDefault="00FA629E" w:rsidP="00D24F68">
            <w:pPr>
              <w:jc w:val="right"/>
              <w:rPr>
                <w:rFonts w:ascii="Arial Narrow" w:hAnsi="Arial Narrow"/>
                <w:color w:val="000000"/>
                <w:sz w:val="16"/>
                <w:szCs w:val="16"/>
                <w:lang w:eastAsia="es-CO"/>
              </w:rPr>
            </w:pPr>
            <w:r w:rsidRPr="00FA629E">
              <w:rPr>
                <w:rFonts w:ascii="Arial Narrow" w:hAnsi="Arial Narrow"/>
                <w:color w:val="000000"/>
                <w:sz w:val="16"/>
                <w:szCs w:val="16"/>
                <w:lang w:eastAsia="es-CO"/>
              </w:rPr>
              <w:t>$144</w:t>
            </w:r>
          </w:p>
        </w:tc>
      </w:tr>
      <w:tr w:rsidR="00FA629E" w:rsidRPr="00FA629E" w14:paraId="0C4F8AFC" w14:textId="77777777" w:rsidTr="000E041A">
        <w:trPr>
          <w:trHeight w:val="113"/>
          <w:jc w:val="center"/>
        </w:trPr>
        <w:tc>
          <w:tcPr>
            <w:tcW w:w="0" w:type="auto"/>
            <w:tcBorders>
              <w:top w:val="single" w:sz="4" w:space="0" w:color="auto"/>
              <w:left w:val="single" w:sz="4" w:space="0" w:color="auto"/>
              <w:bottom w:val="single" w:sz="4" w:space="0" w:color="auto"/>
              <w:right w:val="single" w:sz="4" w:space="0" w:color="auto"/>
            </w:tcBorders>
            <w:shd w:val="clear" w:color="000000" w:fill="0000FF"/>
            <w:noWrap/>
            <w:vAlign w:val="bottom"/>
            <w:hideMark/>
          </w:tcPr>
          <w:p w14:paraId="06079832" w14:textId="77777777" w:rsidR="00FA629E" w:rsidRPr="00FA629E" w:rsidRDefault="00FA629E" w:rsidP="00D24F68">
            <w:pPr>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Total general</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6C667421"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$894</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3181F825"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$1.263</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62197B7B"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$1.582</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06A307F0"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$1.226</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37742508"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$894</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7DBD6923"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$1.296</w:t>
            </w:r>
          </w:p>
        </w:tc>
        <w:tc>
          <w:tcPr>
            <w:tcW w:w="0" w:type="auto"/>
            <w:tcBorders>
              <w:top w:val="single" w:sz="4" w:space="0" w:color="auto"/>
              <w:left w:val="nil"/>
              <w:bottom w:val="single" w:sz="4" w:space="0" w:color="auto"/>
              <w:right w:val="single" w:sz="4" w:space="0" w:color="auto"/>
            </w:tcBorders>
            <w:shd w:val="clear" w:color="000000" w:fill="0000FF"/>
            <w:noWrap/>
            <w:vAlign w:val="bottom"/>
            <w:hideMark/>
          </w:tcPr>
          <w:p w14:paraId="66775D9F" w14:textId="77777777" w:rsidR="00FA629E" w:rsidRPr="00FA629E" w:rsidRDefault="00FA629E" w:rsidP="00D24F68">
            <w:pPr>
              <w:jc w:val="right"/>
              <w:rPr>
                <w:rFonts w:ascii="Arial Narrow" w:hAnsi="Arial Narrow"/>
                <w:b/>
                <w:bCs/>
                <w:color w:val="FFFFFF"/>
                <w:sz w:val="16"/>
                <w:szCs w:val="16"/>
                <w:lang w:eastAsia="es-CO"/>
              </w:rPr>
            </w:pPr>
            <w:r w:rsidRPr="00FA629E">
              <w:rPr>
                <w:rFonts w:ascii="Arial Narrow" w:hAnsi="Arial Narrow"/>
                <w:b/>
                <w:bCs/>
                <w:color w:val="FFFFFF"/>
                <w:sz w:val="16"/>
                <w:szCs w:val="16"/>
                <w:lang w:eastAsia="es-CO"/>
              </w:rPr>
              <w:t>$2.190</w:t>
            </w:r>
          </w:p>
        </w:tc>
      </w:tr>
    </w:tbl>
    <w:p w14:paraId="060A5D83" w14:textId="77777777" w:rsidR="00FA629E" w:rsidRDefault="00FA629E" w:rsidP="007F09C3">
      <w:pPr>
        <w:jc w:val="both"/>
        <w:rPr>
          <w:rFonts w:ascii="Arial Narrow" w:hAnsi="Arial Narrow"/>
          <w:sz w:val="24"/>
          <w:szCs w:val="24"/>
        </w:rPr>
      </w:pPr>
    </w:p>
    <w:tbl>
      <w:tblPr>
        <w:tblStyle w:val="Tablaconcuadrcula"/>
        <w:tblW w:w="0" w:type="auto"/>
        <w:tblLook w:val="04A0" w:firstRow="1" w:lastRow="0" w:firstColumn="1" w:lastColumn="0" w:noHBand="0" w:noVBand="1"/>
      </w:tblPr>
      <w:tblGrid>
        <w:gridCol w:w="4771"/>
        <w:gridCol w:w="4771"/>
      </w:tblGrid>
      <w:tr w:rsidR="00FA629E" w14:paraId="44382846" w14:textId="77777777" w:rsidTr="00D24F68">
        <w:tc>
          <w:tcPr>
            <w:tcW w:w="4771" w:type="dxa"/>
          </w:tcPr>
          <w:p w14:paraId="6DB2A444" w14:textId="77777777" w:rsidR="00FA629E" w:rsidRDefault="00FA629E" w:rsidP="00D24F68">
            <w:pPr>
              <w:jc w:val="both"/>
              <w:rPr>
                <w:rFonts w:ascii="Arial Narrow" w:hAnsi="Arial Narrow"/>
                <w:sz w:val="24"/>
                <w:szCs w:val="24"/>
              </w:rPr>
            </w:pPr>
            <w:r w:rsidRPr="007F09C3">
              <w:rPr>
                <w:rFonts w:ascii="Arial Narrow" w:hAnsi="Arial Narrow"/>
                <w:noProof/>
                <w:sz w:val="24"/>
                <w:szCs w:val="24"/>
                <w:lang w:eastAsia="es-CO"/>
              </w:rPr>
              <w:lastRenderedPageBreak/>
              <w:drawing>
                <wp:inline distT="0" distB="0" distL="0" distR="0" wp14:anchorId="396DCFAF" wp14:editId="0D79900B">
                  <wp:extent cx="2483655" cy="1504603"/>
                  <wp:effectExtent l="0" t="0" r="0" b="63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88420" cy="1507490"/>
                          </a:xfrm>
                          <a:prstGeom prst="rect">
                            <a:avLst/>
                          </a:prstGeom>
                          <a:noFill/>
                          <a:ln>
                            <a:noFill/>
                          </a:ln>
                        </pic:spPr>
                      </pic:pic>
                    </a:graphicData>
                  </a:graphic>
                </wp:inline>
              </w:drawing>
            </w:r>
          </w:p>
        </w:tc>
        <w:tc>
          <w:tcPr>
            <w:tcW w:w="4771" w:type="dxa"/>
          </w:tcPr>
          <w:p w14:paraId="7954C5E0" w14:textId="77777777" w:rsidR="00FA629E" w:rsidRDefault="00FA629E" w:rsidP="00D24F68">
            <w:pPr>
              <w:jc w:val="both"/>
              <w:rPr>
                <w:rFonts w:ascii="Arial Narrow" w:hAnsi="Arial Narrow"/>
                <w:sz w:val="24"/>
                <w:szCs w:val="24"/>
              </w:rPr>
            </w:pPr>
            <w:r w:rsidRPr="007F09C3">
              <w:rPr>
                <w:rFonts w:ascii="Arial Narrow" w:hAnsi="Arial Narrow"/>
                <w:noProof/>
                <w:sz w:val="24"/>
                <w:szCs w:val="24"/>
                <w:lang w:eastAsia="es-CO"/>
              </w:rPr>
              <w:drawing>
                <wp:inline distT="0" distB="0" distL="0" distR="0" wp14:anchorId="5F33C1CA" wp14:editId="356C1555">
                  <wp:extent cx="2567937" cy="1582739"/>
                  <wp:effectExtent l="0" t="0" r="444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71337" cy="1584834"/>
                          </a:xfrm>
                          <a:prstGeom prst="rect">
                            <a:avLst/>
                          </a:prstGeom>
                          <a:noFill/>
                          <a:ln>
                            <a:noFill/>
                          </a:ln>
                        </pic:spPr>
                      </pic:pic>
                    </a:graphicData>
                  </a:graphic>
                </wp:inline>
              </w:drawing>
            </w:r>
          </w:p>
        </w:tc>
      </w:tr>
    </w:tbl>
    <w:p w14:paraId="0F16832A" w14:textId="77777777" w:rsidR="00FA629E" w:rsidRPr="007F09C3" w:rsidRDefault="00FA629E" w:rsidP="007F09C3">
      <w:pPr>
        <w:jc w:val="both"/>
        <w:rPr>
          <w:rFonts w:ascii="Arial Narrow" w:hAnsi="Arial Narrow"/>
          <w:sz w:val="24"/>
          <w:szCs w:val="24"/>
        </w:rPr>
      </w:pPr>
    </w:p>
    <w:p w14:paraId="76724284"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Estos programas han beneficiado a 16 mil personas entre asociados y familiares en los ultimos dos años y casi 31 mil personas en los ultimos 5 años así:</w:t>
      </w:r>
    </w:p>
    <w:p w14:paraId="186EB5CC" w14:textId="2D38A031" w:rsidR="007A7BFB" w:rsidRDefault="007A7BFB">
      <w:pPr>
        <w:rPr>
          <w:rFonts w:ascii="Arial Narrow" w:hAnsi="Arial Narrow"/>
          <w:sz w:val="24"/>
          <w:szCs w:val="24"/>
        </w:rPr>
      </w:pPr>
      <w:r>
        <w:rPr>
          <w:rFonts w:ascii="Arial Narrow" w:hAnsi="Arial Narrow"/>
          <w:sz w:val="24"/>
          <w:szCs w:val="24"/>
        </w:rPr>
        <w:br w:type="page"/>
      </w:r>
    </w:p>
    <w:p w14:paraId="706647AC" w14:textId="77777777" w:rsidR="007F09C3" w:rsidRPr="007F09C3" w:rsidRDefault="007F09C3" w:rsidP="007F09C3">
      <w:pPr>
        <w:jc w:val="both"/>
        <w:rPr>
          <w:rFonts w:ascii="Arial Narrow" w:hAnsi="Arial Narrow"/>
          <w:sz w:val="24"/>
          <w:szCs w:val="24"/>
        </w:rPr>
      </w:pPr>
    </w:p>
    <w:tbl>
      <w:tblPr>
        <w:tblW w:w="0" w:type="auto"/>
        <w:jc w:val="center"/>
        <w:tblCellMar>
          <w:left w:w="70" w:type="dxa"/>
          <w:right w:w="70" w:type="dxa"/>
        </w:tblCellMar>
        <w:tblLook w:val="04A0" w:firstRow="1" w:lastRow="0" w:firstColumn="1" w:lastColumn="0" w:noHBand="0" w:noVBand="1"/>
      </w:tblPr>
      <w:tblGrid>
        <w:gridCol w:w="2668"/>
        <w:gridCol w:w="797"/>
        <w:gridCol w:w="797"/>
        <w:gridCol w:w="797"/>
        <w:gridCol w:w="797"/>
        <w:gridCol w:w="797"/>
        <w:gridCol w:w="852"/>
      </w:tblGrid>
      <w:tr w:rsidR="007F09C3" w:rsidRPr="007F09C3" w14:paraId="67F246AC" w14:textId="77777777" w:rsidTr="00E3409C">
        <w:trPr>
          <w:trHeight w:val="290"/>
          <w:jc w:val="center"/>
        </w:trPr>
        <w:tc>
          <w:tcPr>
            <w:tcW w:w="0" w:type="auto"/>
            <w:tcBorders>
              <w:top w:val="single" w:sz="4" w:space="0" w:color="auto"/>
              <w:left w:val="single" w:sz="4" w:space="0" w:color="auto"/>
              <w:bottom w:val="single" w:sz="4" w:space="0" w:color="auto"/>
              <w:right w:val="single" w:sz="4" w:space="0" w:color="auto"/>
            </w:tcBorders>
            <w:shd w:val="clear" w:color="000000" w:fill="000000"/>
            <w:noWrap/>
            <w:vAlign w:val="bottom"/>
            <w:hideMark/>
          </w:tcPr>
          <w:p w14:paraId="6A40FFB1"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PROGRAMA / COMITÉ</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5A9E0610" w14:textId="6B40069A"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Año 1</w:t>
            </w:r>
            <w:r w:rsidR="00CD608B">
              <w:rPr>
                <w:rFonts w:ascii="Arial Narrow" w:hAnsi="Arial Narrow"/>
                <w:b/>
                <w:bCs/>
                <w:color w:val="FFFFFF"/>
                <w:sz w:val="24"/>
                <w:szCs w:val="24"/>
                <w:lang w:eastAsia="es-CO"/>
              </w:rPr>
              <w:t>7</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7B5B68B4" w14:textId="0A2041C1"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Año 1</w:t>
            </w:r>
            <w:r w:rsidR="00CD608B">
              <w:rPr>
                <w:rFonts w:ascii="Arial Narrow" w:hAnsi="Arial Narrow"/>
                <w:b/>
                <w:bCs/>
                <w:color w:val="FFFFFF"/>
                <w:sz w:val="24"/>
                <w:szCs w:val="24"/>
                <w:lang w:eastAsia="es-CO"/>
              </w:rPr>
              <w:t>8</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7CCCB9DF" w14:textId="657EDEE8"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Año 1</w:t>
            </w:r>
            <w:r w:rsidR="00CD608B">
              <w:rPr>
                <w:rFonts w:ascii="Arial Narrow" w:hAnsi="Arial Narrow"/>
                <w:b/>
                <w:bCs/>
                <w:color w:val="FFFFFF"/>
                <w:sz w:val="24"/>
                <w:szCs w:val="24"/>
                <w:lang w:eastAsia="es-CO"/>
              </w:rPr>
              <w:t>9</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5503A336" w14:textId="7FD30828"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Año </w:t>
            </w:r>
            <w:r w:rsidR="00CD608B">
              <w:rPr>
                <w:rFonts w:ascii="Arial Narrow" w:hAnsi="Arial Narrow"/>
                <w:b/>
                <w:bCs/>
                <w:color w:val="FFFFFF"/>
                <w:sz w:val="24"/>
                <w:szCs w:val="24"/>
                <w:lang w:eastAsia="es-CO"/>
              </w:rPr>
              <w:t>20</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07992A8F" w14:textId="6CE8D9B3"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Año </w:t>
            </w:r>
            <w:r w:rsidR="00CD608B">
              <w:rPr>
                <w:rFonts w:ascii="Arial Narrow" w:hAnsi="Arial Narrow"/>
                <w:b/>
                <w:bCs/>
                <w:color w:val="FFFFFF"/>
                <w:sz w:val="24"/>
                <w:szCs w:val="24"/>
                <w:lang w:eastAsia="es-CO"/>
              </w:rPr>
              <w:t>21</w:t>
            </w:r>
          </w:p>
        </w:tc>
        <w:tc>
          <w:tcPr>
            <w:tcW w:w="0" w:type="auto"/>
            <w:tcBorders>
              <w:top w:val="single" w:sz="4" w:space="0" w:color="auto"/>
              <w:left w:val="nil"/>
              <w:bottom w:val="single" w:sz="4" w:space="0" w:color="auto"/>
              <w:right w:val="single" w:sz="4" w:space="0" w:color="auto"/>
            </w:tcBorders>
            <w:shd w:val="clear" w:color="000000" w:fill="000000"/>
            <w:noWrap/>
            <w:vAlign w:val="bottom"/>
            <w:hideMark/>
          </w:tcPr>
          <w:p w14:paraId="1A025E8F" w14:textId="0A4A5F0D" w:rsidR="007F09C3" w:rsidRPr="007F09C3" w:rsidRDefault="00CD608B" w:rsidP="007F09C3">
            <w:pPr>
              <w:rPr>
                <w:rFonts w:ascii="Arial Narrow" w:hAnsi="Arial Narrow"/>
                <w:b/>
                <w:bCs/>
                <w:color w:val="FFFFFF"/>
                <w:sz w:val="24"/>
                <w:szCs w:val="24"/>
                <w:lang w:eastAsia="es-CO"/>
              </w:rPr>
            </w:pPr>
            <w:r>
              <w:rPr>
                <w:rFonts w:ascii="Arial Narrow" w:hAnsi="Arial Narrow"/>
                <w:b/>
                <w:bCs/>
                <w:color w:val="FFFFFF"/>
                <w:sz w:val="24"/>
                <w:szCs w:val="24"/>
                <w:lang w:eastAsia="es-CO"/>
              </w:rPr>
              <w:t>20-21</w:t>
            </w:r>
          </w:p>
        </w:tc>
      </w:tr>
      <w:tr w:rsidR="007F09C3" w:rsidRPr="007F09C3" w14:paraId="5E7FACF0"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48E3390"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Bono Navideño y Educación</w:t>
            </w:r>
          </w:p>
        </w:tc>
        <w:tc>
          <w:tcPr>
            <w:tcW w:w="0" w:type="auto"/>
            <w:tcBorders>
              <w:top w:val="nil"/>
              <w:left w:val="nil"/>
              <w:bottom w:val="single" w:sz="4" w:space="0" w:color="auto"/>
              <w:right w:val="single" w:sz="4" w:space="0" w:color="auto"/>
            </w:tcBorders>
            <w:shd w:val="clear" w:color="auto" w:fill="auto"/>
            <w:noWrap/>
            <w:vAlign w:val="bottom"/>
            <w:hideMark/>
          </w:tcPr>
          <w:p w14:paraId="6E5CF78C"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7F91A6B3"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11B51026"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6A3943AA"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2.143 </w:t>
            </w:r>
          </w:p>
        </w:tc>
        <w:tc>
          <w:tcPr>
            <w:tcW w:w="0" w:type="auto"/>
            <w:tcBorders>
              <w:top w:val="nil"/>
              <w:left w:val="nil"/>
              <w:bottom w:val="single" w:sz="4" w:space="0" w:color="auto"/>
              <w:right w:val="single" w:sz="4" w:space="0" w:color="auto"/>
            </w:tcBorders>
            <w:shd w:val="clear" w:color="auto" w:fill="auto"/>
            <w:noWrap/>
            <w:vAlign w:val="bottom"/>
            <w:hideMark/>
          </w:tcPr>
          <w:p w14:paraId="31E5C400"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1.835 </w:t>
            </w:r>
          </w:p>
        </w:tc>
        <w:tc>
          <w:tcPr>
            <w:tcW w:w="0" w:type="auto"/>
            <w:tcBorders>
              <w:top w:val="nil"/>
              <w:left w:val="nil"/>
              <w:bottom w:val="single" w:sz="4" w:space="0" w:color="auto"/>
              <w:right w:val="single" w:sz="4" w:space="0" w:color="auto"/>
            </w:tcBorders>
            <w:shd w:val="clear" w:color="000000" w:fill="E2EFDA"/>
            <w:noWrap/>
            <w:vAlign w:val="bottom"/>
            <w:hideMark/>
          </w:tcPr>
          <w:p w14:paraId="569CF56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3.978 </w:t>
            </w:r>
          </w:p>
        </w:tc>
      </w:tr>
      <w:tr w:rsidR="007F09C3" w:rsidRPr="007F09C3" w14:paraId="5C2089EC"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1A4D53" w14:textId="1B07C979"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Centro </w:t>
            </w:r>
            <w:r w:rsidR="005F3A46">
              <w:rPr>
                <w:rFonts w:ascii="Arial Narrow" w:hAnsi="Arial Narrow"/>
                <w:color w:val="000000"/>
                <w:sz w:val="24"/>
                <w:szCs w:val="24"/>
                <w:lang w:eastAsia="es-CO"/>
              </w:rPr>
              <w:t>Social</w:t>
            </w:r>
          </w:p>
        </w:tc>
        <w:tc>
          <w:tcPr>
            <w:tcW w:w="0" w:type="auto"/>
            <w:tcBorders>
              <w:top w:val="nil"/>
              <w:left w:val="nil"/>
              <w:bottom w:val="single" w:sz="4" w:space="0" w:color="auto"/>
              <w:right w:val="single" w:sz="4" w:space="0" w:color="auto"/>
            </w:tcBorders>
            <w:shd w:val="clear" w:color="auto" w:fill="auto"/>
            <w:noWrap/>
            <w:vAlign w:val="bottom"/>
            <w:hideMark/>
          </w:tcPr>
          <w:p w14:paraId="031556B4"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571 </w:t>
            </w:r>
          </w:p>
        </w:tc>
        <w:tc>
          <w:tcPr>
            <w:tcW w:w="0" w:type="auto"/>
            <w:tcBorders>
              <w:top w:val="nil"/>
              <w:left w:val="nil"/>
              <w:bottom w:val="single" w:sz="4" w:space="0" w:color="auto"/>
              <w:right w:val="single" w:sz="4" w:space="0" w:color="auto"/>
            </w:tcBorders>
            <w:shd w:val="clear" w:color="auto" w:fill="auto"/>
            <w:noWrap/>
            <w:vAlign w:val="bottom"/>
            <w:hideMark/>
          </w:tcPr>
          <w:p w14:paraId="64ABD9EE"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342 </w:t>
            </w:r>
          </w:p>
        </w:tc>
        <w:tc>
          <w:tcPr>
            <w:tcW w:w="0" w:type="auto"/>
            <w:tcBorders>
              <w:top w:val="nil"/>
              <w:left w:val="nil"/>
              <w:bottom w:val="single" w:sz="4" w:space="0" w:color="auto"/>
              <w:right w:val="single" w:sz="4" w:space="0" w:color="auto"/>
            </w:tcBorders>
            <w:shd w:val="clear" w:color="auto" w:fill="auto"/>
            <w:noWrap/>
            <w:vAlign w:val="bottom"/>
            <w:hideMark/>
          </w:tcPr>
          <w:p w14:paraId="2FD4758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1.631 </w:t>
            </w:r>
          </w:p>
        </w:tc>
        <w:tc>
          <w:tcPr>
            <w:tcW w:w="0" w:type="auto"/>
            <w:tcBorders>
              <w:top w:val="nil"/>
              <w:left w:val="nil"/>
              <w:bottom w:val="single" w:sz="4" w:space="0" w:color="auto"/>
              <w:right w:val="single" w:sz="4" w:space="0" w:color="auto"/>
            </w:tcBorders>
            <w:shd w:val="clear" w:color="auto" w:fill="auto"/>
            <w:noWrap/>
            <w:vAlign w:val="bottom"/>
            <w:hideMark/>
          </w:tcPr>
          <w:p w14:paraId="04AE76E5"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2.918 </w:t>
            </w:r>
          </w:p>
        </w:tc>
        <w:tc>
          <w:tcPr>
            <w:tcW w:w="0" w:type="auto"/>
            <w:tcBorders>
              <w:top w:val="nil"/>
              <w:left w:val="nil"/>
              <w:bottom w:val="single" w:sz="4" w:space="0" w:color="auto"/>
              <w:right w:val="single" w:sz="4" w:space="0" w:color="auto"/>
            </w:tcBorders>
            <w:shd w:val="clear" w:color="auto" w:fill="auto"/>
            <w:noWrap/>
            <w:vAlign w:val="bottom"/>
            <w:hideMark/>
          </w:tcPr>
          <w:p w14:paraId="3413EC6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3.134 </w:t>
            </w:r>
          </w:p>
        </w:tc>
        <w:tc>
          <w:tcPr>
            <w:tcW w:w="0" w:type="auto"/>
            <w:tcBorders>
              <w:top w:val="nil"/>
              <w:left w:val="nil"/>
              <w:bottom w:val="single" w:sz="4" w:space="0" w:color="auto"/>
              <w:right w:val="single" w:sz="4" w:space="0" w:color="auto"/>
            </w:tcBorders>
            <w:shd w:val="clear" w:color="000000" w:fill="E2EFDA"/>
            <w:noWrap/>
            <w:vAlign w:val="bottom"/>
            <w:hideMark/>
          </w:tcPr>
          <w:p w14:paraId="7B613AFA"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6.052 </w:t>
            </w:r>
          </w:p>
        </w:tc>
      </w:tr>
      <w:tr w:rsidR="007F09C3" w:rsidRPr="007F09C3" w14:paraId="0CE4DD97"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757FB5F"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Educación</w:t>
            </w:r>
          </w:p>
        </w:tc>
        <w:tc>
          <w:tcPr>
            <w:tcW w:w="0" w:type="auto"/>
            <w:tcBorders>
              <w:top w:val="nil"/>
              <w:left w:val="nil"/>
              <w:bottom w:val="single" w:sz="4" w:space="0" w:color="auto"/>
              <w:right w:val="single" w:sz="4" w:space="0" w:color="auto"/>
            </w:tcBorders>
            <w:shd w:val="clear" w:color="auto" w:fill="auto"/>
            <w:noWrap/>
            <w:vAlign w:val="bottom"/>
            <w:hideMark/>
          </w:tcPr>
          <w:p w14:paraId="35536725"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5BA8C50A"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60 </w:t>
            </w:r>
          </w:p>
        </w:tc>
        <w:tc>
          <w:tcPr>
            <w:tcW w:w="0" w:type="auto"/>
            <w:tcBorders>
              <w:top w:val="nil"/>
              <w:left w:val="nil"/>
              <w:bottom w:val="single" w:sz="4" w:space="0" w:color="auto"/>
              <w:right w:val="single" w:sz="4" w:space="0" w:color="auto"/>
            </w:tcBorders>
            <w:shd w:val="clear" w:color="auto" w:fill="auto"/>
            <w:noWrap/>
            <w:vAlign w:val="bottom"/>
            <w:hideMark/>
          </w:tcPr>
          <w:p w14:paraId="749BFF3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104 </w:t>
            </w:r>
          </w:p>
        </w:tc>
        <w:tc>
          <w:tcPr>
            <w:tcW w:w="0" w:type="auto"/>
            <w:tcBorders>
              <w:top w:val="nil"/>
              <w:left w:val="nil"/>
              <w:bottom w:val="single" w:sz="4" w:space="0" w:color="auto"/>
              <w:right w:val="single" w:sz="4" w:space="0" w:color="auto"/>
            </w:tcBorders>
            <w:shd w:val="clear" w:color="auto" w:fill="auto"/>
            <w:noWrap/>
            <w:vAlign w:val="bottom"/>
            <w:hideMark/>
          </w:tcPr>
          <w:p w14:paraId="1F9B31CF"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162 </w:t>
            </w:r>
          </w:p>
        </w:tc>
        <w:tc>
          <w:tcPr>
            <w:tcW w:w="0" w:type="auto"/>
            <w:tcBorders>
              <w:top w:val="nil"/>
              <w:left w:val="nil"/>
              <w:bottom w:val="single" w:sz="4" w:space="0" w:color="auto"/>
              <w:right w:val="single" w:sz="4" w:space="0" w:color="auto"/>
            </w:tcBorders>
            <w:shd w:val="clear" w:color="auto" w:fill="auto"/>
            <w:noWrap/>
            <w:vAlign w:val="bottom"/>
            <w:hideMark/>
          </w:tcPr>
          <w:p w14:paraId="1FD28EAB"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494 </w:t>
            </w:r>
          </w:p>
        </w:tc>
        <w:tc>
          <w:tcPr>
            <w:tcW w:w="0" w:type="auto"/>
            <w:tcBorders>
              <w:top w:val="nil"/>
              <w:left w:val="nil"/>
              <w:bottom w:val="single" w:sz="4" w:space="0" w:color="auto"/>
              <w:right w:val="single" w:sz="4" w:space="0" w:color="auto"/>
            </w:tcBorders>
            <w:shd w:val="clear" w:color="000000" w:fill="E2EFDA"/>
            <w:noWrap/>
            <w:vAlign w:val="bottom"/>
            <w:hideMark/>
          </w:tcPr>
          <w:p w14:paraId="6BB80000"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656 </w:t>
            </w:r>
          </w:p>
        </w:tc>
      </w:tr>
      <w:tr w:rsidR="007F09C3" w:rsidRPr="007F09C3" w14:paraId="73B8BB73"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3159863"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Solidaridad</w:t>
            </w:r>
          </w:p>
        </w:tc>
        <w:tc>
          <w:tcPr>
            <w:tcW w:w="0" w:type="auto"/>
            <w:tcBorders>
              <w:top w:val="nil"/>
              <w:left w:val="nil"/>
              <w:bottom w:val="single" w:sz="4" w:space="0" w:color="auto"/>
              <w:right w:val="single" w:sz="4" w:space="0" w:color="auto"/>
            </w:tcBorders>
            <w:shd w:val="clear" w:color="auto" w:fill="auto"/>
            <w:noWrap/>
            <w:vAlign w:val="bottom"/>
            <w:hideMark/>
          </w:tcPr>
          <w:p w14:paraId="2E83E016"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611 </w:t>
            </w:r>
          </w:p>
        </w:tc>
        <w:tc>
          <w:tcPr>
            <w:tcW w:w="0" w:type="auto"/>
            <w:tcBorders>
              <w:top w:val="nil"/>
              <w:left w:val="nil"/>
              <w:bottom w:val="single" w:sz="4" w:space="0" w:color="auto"/>
              <w:right w:val="single" w:sz="4" w:space="0" w:color="auto"/>
            </w:tcBorders>
            <w:shd w:val="clear" w:color="auto" w:fill="auto"/>
            <w:noWrap/>
            <w:vAlign w:val="bottom"/>
            <w:hideMark/>
          </w:tcPr>
          <w:p w14:paraId="143888D5"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521 </w:t>
            </w:r>
          </w:p>
        </w:tc>
        <w:tc>
          <w:tcPr>
            <w:tcW w:w="0" w:type="auto"/>
            <w:tcBorders>
              <w:top w:val="nil"/>
              <w:left w:val="nil"/>
              <w:bottom w:val="single" w:sz="4" w:space="0" w:color="auto"/>
              <w:right w:val="single" w:sz="4" w:space="0" w:color="auto"/>
            </w:tcBorders>
            <w:shd w:val="clear" w:color="auto" w:fill="auto"/>
            <w:noWrap/>
            <w:vAlign w:val="bottom"/>
            <w:hideMark/>
          </w:tcPr>
          <w:p w14:paraId="57E608E0"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611 </w:t>
            </w:r>
          </w:p>
        </w:tc>
        <w:tc>
          <w:tcPr>
            <w:tcW w:w="0" w:type="auto"/>
            <w:tcBorders>
              <w:top w:val="nil"/>
              <w:left w:val="nil"/>
              <w:bottom w:val="single" w:sz="4" w:space="0" w:color="auto"/>
              <w:right w:val="single" w:sz="4" w:space="0" w:color="auto"/>
            </w:tcBorders>
            <w:shd w:val="clear" w:color="auto" w:fill="auto"/>
            <w:noWrap/>
            <w:vAlign w:val="bottom"/>
            <w:hideMark/>
          </w:tcPr>
          <w:p w14:paraId="2EEF6DB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523 </w:t>
            </w:r>
          </w:p>
        </w:tc>
        <w:tc>
          <w:tcPr>
            <w:tcW w:w="0" w:type="auto"/>
            <w:tcBorders>
              <w:top w:val="nil"/>
              <w:left w:val="nil"/>
              <w:bottom w:val="single" w:sz="4" w:space="0" w:color="auto"/>
              <w:right w:val="single" w:sz="4" w:space="0" w:color="auto"/>
            </w:tcBorders>
            <w:shd w:val="clear" w:color="auto" w:fill="auto"/>
            <w:noWrap/>
            <w:vAlign w:val="bottom"/>
            <w:hideMark/>
          </w:tcPr>
          <w:p w14:paraId="3251C8DF"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563 </w:t>
            </w:r>
          </w:p>
        </w:tc>
        <w:tc>
          <w:tcPr>
            <w:tcW w:w="0" w:type="auto"/>
            <w:tcBorders>
              <w:top w:val="nil"/>
              <w:left w:val="nil"/>
              <w:bottom w:val="single" w:sz="4" w:space="0" w:color="auto"/>
              <w:right w:val="single" w:sz="4" w:space="0" w:color="auto"/>
            </w:tcBorders>
            <w:shd w:val="clear" w:color="000000" w:fill="E2EFDA"/>
            <w:noWrap/>
            <w:vAlign w:val="bottom"/>
            <w:hideMark/>
          </w:tcPr>
          <w:p w14:paraId="0693EB5B"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1.086 </w:t>
            </w:r>
          </w:p>
        </w:tc>
      </w:tr>
      <w:tr w:rsidR="007F09C3" w:rsidRPr="007F09C3" w14:paraId="450D81F8"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FC303A"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Deportes</w:t>
            </w:r>
          </w:p>
        </w:tc>
        <w:tc>
          <w:tcPr>
            <w:tcW w:w="0" w:type="auto"/>
            <w:tcBorders>
              <w:top w:val="nil"/>
              <w:left w:val="nil"/>
              <w:bottom w:val="single" w:sz="4" w:space="0" w:color="auto"/>
              <w:right w:val="single" w:sz="4" w:space="0" w:color="auto"/>
            </w:tcBorders>
            <w:shd w:val="clear" w:color="auto" w:fill="auto"/>
            <w:noWrap/>
            <w:vAlign w:val="bottom"/>
            <w:hideMark/>
          </w:tcPr>
          <w:p w14:paraId="35D2E7E1"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934 </w:t>
            </w:r>
          </w:p>
        </w:tc>
        <w:tc>
          <w:tcPr>
            <w:tcW w:w="0" w:type="auto"/>
            <w:tcBorders>
              <w:top w:val="nil"/>
              <w:left w:val="nil"/>
              <w:bottom w:val="single" w:sz="4" w:space="0" w:color="auto"/>
              <w:right w:val="single" w:sz="4" w:space="0" w:color="auto"/>
            </w:tcBorders>
            <w:shd w:val="clear" w:color="auto" w:fill="auto"/>
            <w:noWrap/>
            <w:vAlign w:val="bottom"/>
            <w:hideMark/>
          </w:tcPr>
          <w:p w14:paraId="77166F2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236 </w:t>
            </w:r>
          </w:p>
        </w:tc>
        <w:tc>
          <w:tcPr>
            <w:tcW w:w="0" w:type="auto"/>
            <w:tcBorders>
              <w:top w:val="nil"/>
              <w:left w:val="nil"/>
              <w:bottom w:val="single" w:sz="4" w:space="0" w:color="auto"/>
              <w:right w:val="single" w:sz="4" w:space="0" w:color="auto"/>
            </w:tcBorders>
            <w:shd w:val="clear" w:color="auto" w:fill="auto"/>
            <w:noWrap/>
            <w:vAlign w:val="bottom"/>
            <w:hideMark/>
          </w:tcPr>
          <w:p w14:paraId="32B38297"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541 </w:t>
            </w:r>
          </w:p>
        </w:tc>
        <w:tc>
          <w:tcPr>
            <w:tcW w:w="0" w:type="auto"/>
            <w:tcBorders>
              <w:top w:val="nil"/>
              <w:left w:val="nil"/>
              <w:bottom w:val="single" w:sz="4" w:space="0" w:color="auto"/>
              <w:right w:val="single" w:sz="4" w:space="0" w:color="auto"/>
            </w:tcBorders>
            <w:shd w:val="clear" w:color="auto" w:fill="auto"/>
            <w:noWrap/>
            <w:vAlign w:val="bottom"/>
            <w:hideMark/>
          </w:tcPr>
          <w:p w14:paraId="2BA596BA"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475 </w:t>
            </w:r>
          </w:p>
        </w:tc>
        <w:tc>
          <w:tcPr>
            <w:tcW w:w="0" w:type="auto"/>
            <w:tcBorders>
              <w:top w:val="nil"/>
              <w:left w:val="nil"/>
              <w:bottom w:val="single" w:sz="4" w:space="0" w:color="auto"/>
              <w:right w:val="single" w:sz="4" w:space="0" w:color="auto"/>
            </w:tcBorders>
            <w:shd w:val="clear" w:color="auto" w:fill="auto"/>
            <w:noWrap/>
            <w:vAlign w:val="bottom"/>
            <w:hideMark/>
          </w:tcPr>
          <w:p w14:paraId="0A941612"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551 </w:t>
            </w:r>
          </w:p>
        </w:tc>
        <w:tc>
          <w:tcPr>
            <w:tcW w:w="0" w:type="auto"/>
            <w:tcBorders>
              <w:top w:val="nil"/>
              <w:left w:val="nil"/>
              <w:bottom w:val="single" w:sz="4" w:space="0" w:color="auto"/>
              <w:right w:val="single" w:sz="4" w:space="0" w:color="auto"/>
            </w:tcBorders>
            <w:shd w:val="clear" w:color="000000" w:fill="E2EFDA"/>
            <w:noWrap/>
            <w:vAlign w:val="bottom"/>
            <w:hideMark/>
          </w:tcPr>
          <w:p w14:paraId="6E1F625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1.026 </w:t>
            </w:r>
          </w:p>
        </w:tc>
      </w:tr>
      <w:tr w:rsidR="007F09C3" w:rsidRPr="007F09C3" w14:paraId="351D03A3"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3FEE6C"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Adulto Mayor</w:t>
            </w:r>
          </w:p>
        </w:tc>
        <w:tc>
          <w:tcPr>
            <w:tcW w:w="0" w:type="auto"/>
            <w:tcBorders>
              <w:top w:val="nil"/>
              <w:left w:val="nil"/>
              <w:bottom w:val="single" w:sz="4" w:space="0" w:color="auto"/>
              <w:right w:val="single" w:sz="4" w:space="0" w:color="auto"/>
            </w:tcBorders>
            <w:shd w:val="clear" w:color="auto" w:fill="auto"/>
            <w:noWrap/>
            <w:vAlign w:val="bottom"/>
            <w:hideMark/>
          </w:tcPr>
          <w:p w14:paraId="59AA6B37"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691 </w:t>
            </w:r>
          </w:p>
        </w:tc>
        <w:tc>
          <w:tcPr>
            <w:tcW w:w="0" w:type="auto"/>
            <w:tcBorders>
              <w:top w:val="nil"/>
              <w:left w:val="nil"/>
              <w:bottom w:val="single" w:sz="4" w:space="0" w:color="auto"/>
              <w:right w:val="single" w:sz="4" w:space="0" w:color="auto"/>
            </w:tcBorders>
            <w:shd w:val="clear" w:color="auto" w:fill="auto"/>
            <w:noWrap/>
            <w:vAlign w:val="bottom"/>
            <w:hideMark/>
          </w:tcPr>
          <w:p w14:paraId="79E00FD8"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160 </w:t>
            </w:r>
          </w:p>
        </w:tc>
        <w:tc>
          <w:tcPr>
            <w:tcW w:w="0" w:type="auto"/>
            <w:tcBorders>
              <w:top w:val="nil"/>
              <w:left w:val="nil"/>
              <w:bottom w:val="single" w:sz="4" w:space="0" w:color="auto"/>
              <w:right w:val="single" w:sz="4" w:space="0" w:color="auto"/>
            </w:tcBorders>
            <w:shd w:val="clear" w:color="auto" w:fill="auto"/>
            <w:noWrap/>
            <w:vAlign w:val="bottom"/>
            <w:hideMark/>
          </w:tcPr>
          <w:p w14:paraId="23CCBCC5"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185 </w:t>
            </w:r>
          </w:p>
        </w:tc>
        <w:tc>
          <w:tcPr>
            <w:tcW w:w="0" w:type="auto"/>
            <w:tcBorders>
              <w:top w:val="nil"/>
              <w:left w:val="nil"/>
              <w:bottom w:val="single" w:sz="4" w:space="0" w:color="auto"/>
              <w:right w:val="single" w:sz="4" w:space="0" w:color="auto"/>
            </w:tcBorders>
            <w:shd w:val="clear" w:color="auto" w:fill="auto"/>
            <w:noWrap/>
            <w:vAlign w:val="bottom"/>
            <w:hideMark/>
          </w:tcPr>
          <w:p w14:paraId="0072893E"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248 </w:t>
            </w:r>
          </w:p>
        </w:tc>
        <w:tc>
          <w:tcPr>
            <w:tcW w:w="0" w:type="auto"/>
            <w:tcBorders>
              <w:top w:val="nil"/>
              <w:left w:val="nil"/>
              <w:bottom w:val="single" w:sz="4" w:space="0" w:color="auto"/>
              <w:right w:val="single" w:sz="4" w:space="0" w:color="auto"/>
            </w:tcBorders>
            <w:shd w:val="clear" w:color="auto" w:fill="auto"/>
            <w:noWrap/>
            <w:vAlign w:val="bottom"/>
            <w:hideMark/>
          </w:tcPr>
          <w:p w14:paraId="4507C16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181 </w:t>
            </w:r>
          </w:p>
        </w:tc>
        <w:tc>
          <w:tcPr>
            <w:tcW w:w="0" w:type="auto"/>
            <w:tcBorders>
              <w:top w:val="nil"/>
              <w:left w:val="nil"/>
              <w:bottom w:val="single" w:sz="4" w:space="0" w:color="auto"/>
              <w:right w:val="single" w:sz="4" w:space="0" w:color="auto"/>
            </w:tcBorders>
            <w:shd w:val="clear" w:color="000000" w:fill="E2EFDA"/>
            <w:noWrap/>
            <w:vAlign w:val="bottom"/>
            <w:hideMark/>
          </w:tcPr>
          <w:p w14:paraId="55944B63"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429 </w:t>
            </w:r>
          </w:p>
        </w:tc>
      </w:tr>
      <w:tr w:rsidR="007F09C3" w:rsidRPr="007F09C3" w14:paraId="2B3A4FC7"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21428E"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Voluntariado Juvenil</w:t>
            </w:r>
          </w:p>
        </w:tc>
        <w:tc>
          <w:tcPr>
            <w:tcW w:w="0" w:type="auto"/>
            <w:tcBorders>
              <w:top w:val="nil"/>
              <w:left w:val="nil"/>
              <w:bottom w:val="single" w:sz="4" w:space="0" w:color="auto"/>
              <w:right w:val="single" w:sz="4" w:space="0" w:color="auto"/>
            </w:tcBorders>
            <w:shd w:val="clear" w:color="auto" w:fill="auto"/>
            <w:noWrap/>
            <w:vAlign w:val="bottom"/>
            <w:hideMark/>
          </w:tcPr>
          <w:p w14:paraId="58032038"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336 </w:t>
            </w:r>
          </w:p>
        </w:tc>
        <w:tc>
          <w:tcPr>
            <w:tcW w:w="0" w:type="auto"/>
            <w:tcBorders>
              <w:top w:val="nil"/>
              <w:left w:val="nil"/>
              <w:bottom w:val="single" w:sz="4" w:space="0" w:color="auto"/>
              <w:right w:val="single" w:sz="4" w:space="0" w:color="auto"/>
            </w:tcBorders>
            <w:shd w:val="clear" w:color="auto" w:fill="auto"/>
            <w:noWrap/>
            <w:vAlign w:val="bottom"/>
            <w:hideMark/>
          </w:tcPr>
          <w:p w14:paraId="0AF7EDFF"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176 </w:t>
            </w:r>
          </w:p>
        </w:tc>
        <w:tc>
          <w:tcPr>
            <w:tcW w:w="0" w:type="auto"/>
            <w:tcBorders>
              <w:top w:val="nil"/>
              <w:left w:val="nil"/>
              <w:bottom w:val="single" w:sz="4" w:space="0" w:color="auto"/>
              <w:right w:val="single" w:sz="4" w:space="0" w:color="auto"/>
            </w:tcBorders>
            <w:shd w:val="clear" w:color="auto" w:fill="auto"/>
            <w:noWrap/>
            <w:vAlign w:val="bottom"/>
            <w:hideMark/>
          </w:tcPr>
          <w:p w14:paraId="64720775"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291 </w:t>
            </w:r>
          </w:p>
        </w:tc>
        <w:tc>
          <w:tcPr>
            <w:tcW w:w="0" w:type="auto"/>
            <w:tcBorders>
              <w:top w:val="nil"/>
              <w:left w:val="nil"/>
              <w:bottom w:val="single" w:sz="4" w:space="0" w:color="auto"/>
              <w:right w:val="single" w:sz="4" w:space="0" w:color="auto"/>
            </w:tcBorders>
            <w:shd w:val="clear" w:color="auto" w:fill="auto"/>
            <w:noWrap/>
            <w:vAlign w:val="bottom"/>
            <w:hideMark/>
          </w:tcPr>
          <w:p w14:paraId="0594F9B6"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433 </w:t>
            </w:r>
          </w:p>
        </w:tc>
        <w:tc>
          <w:tcPr>
            <w:tcW w:w="0" w:type="auto"/>
            <w:tcBorders>
              <w:top w:val="nil"/>
              <w:left w:val="nil"/>
              <w:bottom w:val="single" w:sz="4" w:space="0" w:color="auto"/>
              <w:right w:val="single" w:sz="4" w:space="0" w:color="auto"/>
            </w:tcBorders>
            <w:shd w:val="clear" w:color="auto" w:fill="auto"/>
            <w:noWrap/>
            <w:vAlign w:val="bottom"/>
            <w:hideMark/>
          </w:tcPr>
          <w:p w14:paraId="3F3C654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224 </w:t>
            </w:r>
          </w:p>
        </w:tc>
        <w:tc>
          <w:tcPr>
            <w:tcW w:w="0" w:type="auto"/>
            <w:tcBorders>
              <w:top w:val="nil"/>
              <w:left w:val="nil"/>
              <w:bottom w:val="single" w:sz="4" w:space="0" w:color="auto"/>
              <w:right w:val="single" w:sz="4" w:space="0" w:color="auto"/>
            </w:tcBorders>
            <w:shd w:val="clear" w:color="000000" w:fill="E2EFDA"/>
            <w:noWrap/>
            <w:vAlign w:val="bottom"/>
            <w:hideMark/>
          </w:tcPr>
          <w:p w14:paraId="0B071EEE"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657 </w:t>
            </w:r>
          </w:p>
        </w:tc>
      </w:tr>
      <w:tr w:rsidR="007F09C3" w:rsidRPr="007F09C3" w14:paraId="4DC6B5BB"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134B6C"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Día Madre y pasadías</w:t>
            </w:r>
          </w:p>
        </w:tc>
        <w:tc>
          <w:tcPr>
            <w:tcW w:w="0" w:type="auto"/>
            <w:tcBorders>
              <w:top w:val="nil"/>
              <w:left w:val="nil"/>
              <w:bottom w:val="single" w:sz="4" w:space="0" w:color="auto"/>
              <w:right w:val="single" w:sz="4" w:space="0" w:color="auto"/>
            </w:tcBorders>
            <w:shd w:val="clear" w:color="auto" w:fill="auto"/>
            <w:noWrap/>
            <w:vAlign w:val="bottom"/>
            <w:hideMark/>
          </w:tcPr>
          <w:p w14:paraId="3A416F0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w:t>
            </w:r>
          </w:p>
        </w:tc>
        <w:tc>
          <w:tcPr>
            <w:tcW w:w="0" w:type="auto"/>
            <w:tcBorders>
              <w:top w:val="nil"/>
              <w:left w:val="nil"/>
              <w:bottom w:val="single" w:sz="4" w:space="0" w:color="auto"/>
              <w:right w:val="single" w:sz="4" w:space="0" w:color="auto"/>
            </w:tcBorders>
            <w:shd w:val="clear" w:color="auto" w:fill="auto"/>
            <w:noWrap/>
            <w:vAlign w:val="bottom"/>
            <w:hideMark/>
          </w:tcPr>
          <w:p w14:paraId="7B4D8F65"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220 </w:t>
            </w:r>
          </w:p>
        </w:tc>
        <w:tc>
          <w:tcPr>
            <w:tcW w:w="0" w:type="auto"/>
            <w:tcBorders>
              <w:top w:val="nil"/>
              <w:left w:val="nil"/>
              <w:bottom w:val="single" w:sz="4" w:space="0" w:color="auto"/>
              <w:right w:val="single" w:sz="4" w:space="0" w:color="auto"/>
            </w:tcBorders>
            <w:shd w:val="clear" w:color="auto" w:fill="auto"/>
            <w:noWrap/>
            <w:vAlign w:val="bottom"/>
            <w:hideMark/>
          </w:tcPr>
          <w:p w14:paraId="698321CE"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274 </w:t>
            </w:r>
          </w:p>
        </w:tc>
        <w:tc>
          <w:tcPr>
            <w:tcW w:w="0" w:type="auto"/>
            <w:tcBorders>
              <w:top w:val="nil"/>
              <w:left w:val="nil"/>
              <w:bottom w:val="single" w:sz="4" w:space="0" w:color="auto"/>
              <w:right w:val="single" w:sz="4" w:space="0" w:color="auto"/>
            </w:tcBorders>
            <w:shd w:val="clear" w:color="auto" w:fill="auto"/>
            <w:noWrap/>
            <w:vAlign w:val="bottom"/>
            <w:hideMark/>
          </w:tcPr>
          <w:p w14:paraId="66B4CF73"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694 </w:t>
            </w:r>
          </w:p>
        </w:tc>
        <w:tc>
          <w:tcPr>
            <w:tcW w:w="0" w:type="auto"/>
            <w:tcBorders>
              <w:top w:val="nil"/>
              <w:left w:val="nil"/>
              <w:bottom w:val="single" w:sz="4" w:space="0" w:color="auto"/>
              <w:right w:val="single" w:sz="4" w:space="0" w:color="auto"/>
            </w:tcBorders>
            <w:shd w:val="clear" w:color="auto" w:fill="auto"/>
            <w:noWrap/>
            <w:vAlign w:val="bottom"/>
            <w:hideMark/>
          </w:tcPr>
          <w:p w14:paraId="41875308"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1.286 </w:t>
            </w:r>
          </w:p>
        </w:tc>
        <w:tc>
          <w:tcPr>
            <w:tcW w:w="0" w:type="auto"/>
            <w:tcBorders>
              <w:top w:val="nil"/>
              <w:left w:val="nil"/>
              <w:bottom w:val="single" w:sz="4" w:space="0" w:color="auto"/>
              <w:right w:val="single" w:sz="4" w:space="0" w:color="auto"/>
            </w:tcBorders>
            <w:shd w:val="clear" w:color="000000" w:fill="E2EFDA"/>
            <w:noWrap/>
            <w:vAlign w:val="bottom"/>
            <w:hideMark/>
          </w:tcPr>
          <w:p w14:paraId="7F893517"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1.980 </w:t>
            </w:r>
          </w:p>
        </w:tc>
      </w:tr>
      <w:tr w:rsidR="007F09C3" w:rsidRPr="007F09C3" w14:paraId="6E05CB62"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B36A2DF"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Cultura</w:t>
            </w:r>
          </w:p>
        </w:tc>
        <w:tc>
          <w:tcPr>
            <w:tcW w:w="0" w:type="auto"/>
            <w:tcBorders>
              <w:top w:val="nil"/>
              <w:left w:val="nil"/>
              <w:bottom w:val="single" w:sz="4" w:space="0" w:color="auto"/>
              <w:right w:val="single" w:sz="4" w:space="0" w:color="auto"/>
            </w:tcBorders>
            <w:shd w:val="clear" w:color="auto" w:fill="auto"/>
            <w:noWrap/>
            <w:vAlign w:val="bottom"/>
            <w:hideMark/>
          </w:tcPr>
          <w:p w14:paraId="5A1319FB"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168 </w:t>
            </w:r>
          </w:p>
        </w:tc>
        <w:tc>
          <w:tcPr>
            <w:tcW w:w="0" w:type="auto"/>
            <w:tcBorders>
              <w:top w:val="nil"/>
              <w:left w:val="nil"/>
              <w:bottom w:val="single" w:sz="4" w:space="0" w:color="auto"/>
              <w:right w:val="single" w:sz="4" w:space="0" w:color="auto"/>
            </w:tcBorders>
            <w:shd w:val="clear" w:color="auto" w:fill="auto"/>
            <w:noWrap/>
            <w:vAlign w:val="bottom"/>
            <w:hideMark/>
          </w:tcPr>
          <w:p w14:paraId="29D88B46"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25 </w:t>
            </w:r>
          </w:p>
        </w:tc>
        <w:tc>
          <w:tcPr>
            <w:tcW w:w="0" w:type="auto"/>
            <w:tcBorders>
              <w:top w:val="nil"/>
              <w:left w:val="nil"/>
              <w:bottom w:val="single" w:sz="4" w:space="0" w:color="auto"/>
              <w:right w:val="single" w:sz="4" w:space="0" w:color="auto"/>
            </w:tcBorders>
            <w:shd w:val="clear" w:color="auto" w:fill="auto"/>
            <w:noWrap/>
            <w:vAlign w:val="bottom"/>
            <w:hideMark/>
          </w:tcPr>
          <w:p w14:paraId="7363D524"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90 </w:t>
            </w:r>
          </w:p>
        </w:tc>
        <w:tc>
          <w:tcPr>
            <w:tcW w:w="0" w:type="auto"/>
            <w:tcBorders>
              <w:top w:val="nil"/>
              <w:left w:val="nil"/>
              <w:bottom w:val="single" w:sz="4" w:space="0" w:color="auto"/>
              <w:right w:val="single" w:sz="4" w:space="0" w:color="auto"/>
            </w:tcBorders>
            <w:shd w:val="clear" w:color="auto" w:fill="auto"/>
            <w:noWrap/>
            <w:vAlign w:val="bottom"/>
            <w:hideMark/>
          </w:tcPr>
          <w:p w14:paraId="57F4C8A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46 </w:t>
            </w:r>
          </w:p>
        </w:tc>
        <w:tc>
          <w:tcPr>
            <w:tcW w:w="0" w:type="auto"/>
            <w:tcBorders>
              <w:top w:val="nil"/>
              <w:left w:val="nil"/>
              <w:bottom w:val="single" w:sz="4" w:space="0" w:color="auto"/>
              <w:right w:val="single" w:sz="4" w:space="0" w:color="auto"/>
            </w:tcBorders>
            <w:shd w:val="clear" w:color="auto" w:fill="auto"/>
            <w:noWrap/>
            <w:vAlign w:val="bottom"/>
            <w:hideMark/>
          </w:tcPr>
          <w:p w14:paraId="64C385C3"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98 </w:t>
            </w:r>
          </w:p>
        </w:tc>
        <w:tc>
          <w:tcPr>
            <w:tcW w:w="0" w:type="auto"/>
            <w:tcBorders>
              <w:top w:val="nil"/>
              <w:left w:val="nil"/>
              <w:bottom w:val="single" w:sz="4" w:space="0" w:color="auto"/>
              <w:right w:val="single" w:sz="4" w:space="0" w:color="auto"/>
            </w:tcBorders>
            <w:shd w:val="clear" w:color="000000" w:fill="E2EFDA"/>
            <w:noWrap/>
            <w:vAlign w:val="bottom"/>
            <w:hideMark/>
          </w:tcPr>
          <w:p w14:paraId="3BEF7FC7"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       144 </w:t>
            </w:r>
          </w:p>
        </w:tc>
      </w:tr>
      <w:tr w:rsidR="007F09C3" w:rsidRPr="007F09C3" w14:paraId="2D8A19D3" w14:textId="77777777" w:rsidTr="00E3409C">
        <w:trPr>
          <w:trHeight w:val="290"/>
          <w:jc w:val="center"/>
        </w:trPr>
        <w:tc>
          <w:tcPr>
            <w:tcW w:w="0" w:type="auto"/>
            <w:tcBorders>
              <w:top w:val="nil"/>
              <w:left w:val="single" w:sz="4" w:space="0" w:color="auto"/>
              <w:bottom w:val="single" w:sz="4" w:space="0" w:color="auto"/>
              <w:right w:val="single" w:sz="4" w:space="0" w:color="auto"/>
            </w:tcBorders>
            <w:shd w:val="clear" w:color="000000" w:fill="000000"/>
            <w:noWrap/>
            <w:vAlign w:val="bottom"/>
            <w:hideMark/>
          </w:tcPr>
          <w:p w14:paraId="6F58637D"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TOTAL</w:t>
            </w:r>
          </w:p>
        </w:tc>
        <w:tc>
          <w:tcPr>
            <w:tcW w:w="0" w:type="auto"/>
            <w:tcBorders>
              <w:top w:val="nil"/>
              <w:left w:val="nil"/>
              <w:bottom w:val="single" w:sz="4" w:space="0" w:color="auto"/>
              <w:right w:val="single" w:sz="4" w:space="0" w:color="auto"/>
            </w:tcBorders>
            <w:shd w:val="clear" w:color="000000" w:fill="000000"/>
            <w:noWrap/>
            <w:vAlign w:val="bottom"/>
            <w:hideMark/>
          </w:tcPr>
          <w:p w14:paraId="2CED9A0A"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  5.311 </w:t>
            </w:r>
          </w:p>
        </w:tc>
        <w:tc>
          <w:tcPr>
            <w:tcW w:w="0" w:type="auto"/>
            <w:tcBorders>
              <w:top w:val="nil"/>
              <w:left w:val="nil"/>
              <w:bottom w:val="single" w:sz="4" w:space="0" w:color="auto"/>
              <w:right w:val="single" w:sz="4" w:space="0" w:color="auto"/>
            </w:tcBorders>
            <w:shd w:val="clear" w:color="000000" w:fill="000000"/>
            <w:noWrap/>
            <w:vAlign w:val="bottom"/>
            <w:hideMark/>
          </w:tcPr>
          <w:p w14:paraId="323B2D34"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  3.740 </w:t>
            </w:r>
          </w:p>
        </w:tc>
        <w:tc>
          <w:tcPr>
            <w:tcW w:w="0" w:type="auto"/>
            <w:tcBorders>
              <w:top w:val="nil"/>
              <w:left w:val="nil"/>
              <w:bottom w:val="single" w:sz="4" w:space="0" w:color="auto"/>
              <w:right w:val="single" w:sz="4" w:space="0" w:color="auto"/>
            </w:tcBorders>
            <w:shd w:val="clear" w:color="000000" w:fill="000000"/>
            <w:noWrap/>
            <w:vAlign w:val="bottom"/>
            <w:hideMark/>
          </w:tcPr>
          <w:p w14:paraId="2341E6E1"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  5.727 </w:t>
            </w:r>
          </w:p>
        </w:tc>
        <w:tc>
          <w:tcPr>
            <w:tcW w:w="0" w:type="auto"/>
            <w:tcBorders>
              <w:top w:val="nil"/>
              <w:left w:val="nil"/>
              <w:bottom w:val="single" w:sz="4" w:space="0" w:color="auto"/>
              <w:right w:val="single" w:sz="4" w:space="0" w:color="auto"/>
            </w:tcBorders>
            <w:shd w:val="clear" w:color="000000" w:fill="000000"/>
            <w:noWrap/>
            <w:vAlign w:val="bottom"/>
            <w:hideMark/>
          </w:tcPr>
          <w:p w14:paraId="3243080D"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  7.642 </w:t>
            </w:r>
          </w:p>
        </w:tc>
        <w:tc>
          <w:tcPr>
            <w:tcW w:w="0" w:type="auto"/>
            <w:tcBorders>
              <w:top w:val="nil"/>
              <w:left w:val="nil"/>
              <w:bottom w:val="single" w:sz="4" w:space="0" w:color="auto"/>
              <w:right w:val="single" w:sz="4" w:space="0" w:color="auto"/>
            </w:tcBorders>
            <w:shd w:val="clear" w:color="000000" w:fill="000000"/>
            <w:noWrap/>
            <w:vAlign w:val="bottom"/>
            <w:hideMark/>
          </w:tcPr>
          <w:p w14:paraId="5098AB0C"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  8.366 </w:t>
            </w:r>
          </w:p>
        </w:tc>
        <w:tc>
          <w:tcPr>
            <w:tcW w:w="0" w:type="auto"/>
            <w:tcBorders>
              <w:top w:val="nil"/>
              <w:left w:val="nil"/>
              <w:bottom w:val="single" w:sz="4" w:space="0" w:color="auto"/>
              <w:right w:val="single" w:sz="4" w:space="0" w:color="auto"/>
            </w:tcBorders>
            <w:shd w:val="clear" w:color="000000" w:fill="000000"/>
            <w:noWrap/>
            <w:vAlign w:val="bottom"/>
            <w:hideMark/>
          </w:tcPr>
          <w:p w14:paraId="0BE6BA6A"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 xml:space="preserve">  16.008 </w:t>
            </w:r>
          </w:p>
        </w:tc>
      </w:tr>
    </w:tbl>
    <w:p w14:paraId="260D78AA" w14:textId="77777777" w:rsidR="007F09C3" w:rsidRPr="007F09C3" w:rsidRDefault="007F09C3" w:rsidP="007F09C3">
      <w:pPr>
        <w:jc w:val="both"/>
        <w:rPr>
          <w:rFonts w:ascii="Arial Narrow" w:hAnsi="Arial Narrow"/>
          <w:sz w:val="24"/>
          <w:szCs w:val="24"/>
        </w:rPr>
      </w:pPr>
    </w:p>
    <w:p w14:paraId="6DDAD065" w14:textId="52046ACF"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Durante el año </w:t>
      </w:r>
      <w:r w:rsidR="00662D26">
        <w:rPr>
          <w:rFonts w:ascii="Arial Narrow" w:hAnsi="Arial Narrow"/>
          <w:sz w:val="24"/>
          <w:szCs w:val="24"/>
        </w:rPr>
        <w:t>2021</w:t>
      </w:r>
      <w:r w:rsidRPr="007F09C3">
        <w:rPr>
          <w:rFonts w:ascii="Arial Narrow" w:hAnsi="Arial Narrow"/>
          <w:sz w:val="24"/>
          <w:szCs w:val="24"/>
        </w:rPr>
        <w:t>, la cobertura de los programas sociales mejoró considerablemente:</w:t>
      </w:r>
    </w:p>
    <w:p w14:paraId="7E79AD32" w14:textId="77777777" w:rsidR="007F09C3" w:rsidRPr="007F09C3" w:rsidRDefault="007F09C3" w:rsidP="007F09C3">
      <w:pPr>
        <w:jc w:val="both"/>
        <w:rPr>
          <w:rFonts w:ascii="Arial Narrow" w:hAnsi="Arial Narrow"/>
          <w:sz w:val="24"/>
          <w:szCs w:val="24"/>
        </w:rPr>
      </w:pPr>
    </w:p>
    <w:p w14:paraId="1CF656C5" w14:textId="77777777"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Compartieron con nosotros una especial celebración 257 madres en su día.</w:t>
      </w:r>
    </w:p>
    <w:p w14:paraId="04B11C6E" w14:textId="3519203A"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 xml:space="preserve">Los pasadías a las que asistieron 1029 entre asociados y beneficiarios, se efectuaron fundamentalmente al parque del Café y Puerto Amor también en el eje cafetero, como resultado de las preferencias señaladas en la encuesta efectuada por </w:t>
      </w:r>
      <w:r w:rsidR="00FF6290">
        <w:rPr>
          <w:rFonts w:ascii="Arial Narrow" w:hAnsi="Arial Narrow"/>
          <w:sz w:val="24"/>
          <w:szCs w:val="24"/>
        </w:rPr>
        <w:t>la Cooperativa</w:t>
      </w:r>
      <w:r w:rsidRPr="007F09C3">
        <w:rPr>
          <w:rFonts w:ascii="Arial Narrow" w:hAnsi="Arial Narrow"/>
          <w:sz w:val="24"/>
          <w:szCs w:val="24"/>
        </w:rPr>
        <w:t xml:space="preserve">, además se efectuó la excursión a Cuba a la que viajaron 43 personas y disfrutaron del Centro </w:t>
      </w:r>
      <w:r w:rsidR="005F3A46">
        <w:rPr>
          <w:rFonts w:ascii="Arial Narrow" w:hAnsi="Arial Narrow"/>
          <w:sz w:val="24"/>
          <w:szCs w:val="24"/>
        </w:rPr>
        <w:t>Social</w:t>
      </w:r>
      <w:r w:rsidRPr="007F09C3">
        <w:rPr>
          <w:rFonts w:ascii="Arial Narrow" w:hAnsi="Arial Narrow"/>
          <w:sz w:val="24"/>
          <w:szCs w:val="24"/>
        </w:rPr>
        <w:t xml:space="preserve"> 3134 personas entres asociados y beneficiarios.</w:t>
      </w:r>
    </w:p>
    <w:p w14:paraId="1B9E09B1" w14:textId="77777777"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A la pasadía en la María asistieron 181 adultos mayores entre asociados y beneficiarios y otros 551 asociados y beneficiarios se beneficiaron en su salud física y mental a través de las diferentes actividades deportivas programadas en las disciplinas de Sapo, Bolo y Pesca que es la favorita de todos los asociados con 440 participantes.</w:t>
      </w:r>
    </w:p>
    <w:p w14:paraId="62743218" w14:textId="77777777"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 xml:space="preserve">En los talleres participaron casi 100 personas entre asociados y beneficiarios que aprendieron manualidades, tejido </w:t>
      </w:r>
      <w:proofErr w:type="spellStart"/>
      <w:r w:rsidRPr="007F09C3">
        <w:rPr>
          <w:rFonts w:ascii="Arial Narrow" w:hAnsi="Arial Narrow"/>
          <w:sz w:val="24"/>
          <w:szCs w:val="24"/>
        </w:rPr>
        <w:t>Wayu</w:t>
      </w:r>
      <w:proofErr w:type="spellEnd"/>
      <w:r w:rsidRPr="007F09C3">
        <w:rPr>
          <w:rFonts w:ascii="Arial Narrow" w:hAnsi="Arial Narrow"/>
          <w:sz w:val="24"/>
          <w:szCs w:val="24"/>
        </w:rPr>
        <w:t>, Pintura al Óleo, Decoración de Fiestas, Música y Baile.</w:t>
      </w:r>
    </w:p>
    <w:p w14:paraId="48858515" w14:textId="77777777"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Las vacaciones recreativas con 28 participantes y la celebración del día de los niños con 196 participantes llegaron hijos y nietos de los asociados como cada año.</w:t>
      </w:r>
    </w:p>
    <w:p w14:paraId="0EAC5ED2" w14:textId="77777777"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En el campo de la educación se capacitaron 78 delegados y a 102 nuevos asociados con sus 314 beneficiarios se les dio la inducción en Economía Solidaria.</w:t>
      </w:r>
    </w:p>
    <w:p w14:paraId="72EBCB82" w14:textId="77777777" w:rsidR="007F09C3" w:rsidRPr="007F09C3" w:rsidRDefault="007F09C3" w:rsidP="007F09C3">
      <w:pPr>
        <w:pStyle w:val="Prrafodelista"/>
        <w:numPr>
          <w:ilvl w:val="0"/>
          <w:numId w:val="8"/>
        </w:numPr>
        <w:contextualSpacing/>
        <w:jc w:val="both"/>
        <w:rPr>
          <w:rFonts w:ascii="Arial Narrow" w:hAnsi="Arial Narrow"/>
          <w:sz w:val="24"/>
          <w:szCs w:val="24"/>
        </w:rPr>
      </w:pPr>
      <w:r w:rsidRPr="007F09C3">
        <w:rPr>
          <w:rFonts w:ascii="Arial Narrow" w:hAnsi="Arial Narrow"/>
          <w:sz w:val="24"/>
          <w:szCs w:val="24"/>
        </w:rPr>
        <w:t>Se entregó el Bono Navideño de $180 mil pesos a todos los asociados y se otorgaron auxilios a 563 asociados así:</w:t>
      </w:r>
    </w:p>
    <w:p w14:paraId="5AEB303D" w14:textId="77777777" w:rsidR="007F09C3" w:rsidRDefault="007F09C3" w:rsidP="007F09C3">
      <w:pPr>
        <w:jc w:val="both"/>
        <w:rPr>
          <w:rFonts w:ascii="Arial Narrow" w:hAnsi="Arial Narrow"/>
          <w:sz w:val="24"/>
          <w:szCs w:val="24"/>
        </w:rPr>
      </w:pPr>
    </w:p>
    <w:tbl>
      <w:tblPr>
        <w:tblW w:w="0" w:type="auto"/>
        <w:jc w:val="center"/>
        <w:tblCellMar>
          <w:left w:w="70" w:type="dxa"/>
          <w:right w:w="70" w:type="dxa"/>
        </w:tblCellMar>
        <w:tblLook w:val="04A0" w:firstRow="1" w:lastRow="0" w:firstColumn="1" w:lastColumn="0" w:noHBand="0" w:noVBand="1"/>
      </w:tblPr>
      <w:tblGrid>
        <w:gridCol w:w="3160"/>
        <w:gridCol w:w="469"/>
        <w:gridCol w:w="1509"/>
      </w:tblGrid>
      <w:tr w:rsidR="007F09C3" w:rsidRPr="007F09C3" w14:paraId="517B2A85" w14:textId="77777777" w:rsidTr="00E3409C">
        <w:trPr>
          <w:trHeight w:val="31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BA6714D"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Auxilio</w:t>
            </w:r>
          </w:p>
        </w:tc>
        <w:tc>
          <w:tcPr>
            <w:tcW w:w="0" w:type="auto"/>
            <w:tcBorders>
              <w:top w:val="single" w:sz="4" w:space="0" w:color="auto"/>
              <w:left w:val="nil"/>
              <w:bottom w:val="single" w:sz="4" w:space="0" w:color="auto"/>
              <w:right w:val="single" w:sz="4" w:space="0" w:color="auto"/>
            </w:tcBorders>
            <w:shd w:val="clear" w:color="auto" w:fill="auto"/>
            <w:vAlign w:val="center"/>
          </w:tcPr>
          <w:p w14:paraId="0B5541FC"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60D11E10"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Valor pesos</w:t>
            </w:r>
          </w:p>
        </w:tc>
      </w:tr>
      <w:tr w:rsidR="007F09C3" w:rsidRPr="007F09C3" w14:paraId="1140ABC4" w14:textId="77777777" w:rsidTr="00E3409C">
        <w:trPr>
          <w:trHeight w:val="31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D1B20EE"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Servicios funerarios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4CB4AE4"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41</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604CD31"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68.941.500 </w:t>
            </w:r>
          </w:p>
        </w:tc>
      </w:tr>
      <w:tr w:rsidR="007F09C3" w:rsidRPr="007F09C3" w14:paraId="24B43920" w14:textId="77777777" w:rsidTr="00E3409C">
        <w:trPr>
          <w:trHeight w:val="3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0A454F"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Inhumación</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A11D001"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18</w:t>
            </w:r>
          </w:p>
        </w:tc>
        <w:tc>
          <w:tcPr>
            <w:tcW w:w="0" w:type="auto"/>
            <w:tcBorders>
              <w:top w:val="nil"/>
              <w:left w:val="nil"/>
              <w:bottom w:val="single" w:sz="4" w:space="0" w:color="auto"/>
              <w:right w:val="single" w:sz="4" w:space="0" w:color="auto"/>
            </w:tcBorders>
            <w:shd w:val="clear" w:color="auto" w:fill="auto"/>
            <w:vAlign w:val="center"/>
            <w:hideMark/>
          </w:tcPr>
          <w:p w14:paraId="386563D8"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16.326.000 </w:t>
            </w:r>
          </w:p>
        </w:tc>
      </w:tr>
      <w:tr w:rsidR="007F09C3" w:rsidRPr="007F09C3" w14:paraId="7425EC9B" w14:textId="77777777" w:rsidTr="00E3409C">
        <w:trPr>
          <w:trHeight w:val="279"/>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004A6E"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Servicios de cremación</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343493"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19</w:t>
            </w:r>
          </w:p>
        </w:tc>
        <w:tc>
          <w:tcPr>
            <w:tcW w:w="0" w:type="auto"/>
            <w:tcBorders>
              <w:top w:val="nil"/>
              <w:left w:val="nil"/>
              <w:bottom w:val="single" w:sz="4" w:space="0" w:color="auto"/>
              <w:right w:val="single" w:sz="4" w:space="0" w:color="auto"/>
            </w:tcBorders>
            <w:shd w:val="clear" w:color="auto" w:fill="auto"/>
            <w:vAlign w:val="center"/>
            <w:hideMark/>
          </w:tcPr>
          <w:p w14:paraId="34D1EAB5"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15.922.000 </w:t>
            </w:r>
          </w:p>
        </w:tc>
      </w:tr>
      <w:tr w:rsidR="007F09C3" w:rsidRPr="007F09C3" w14:paraId="69784FA4" w14:textId="77777777" w:rsidTr="00E3409C">
        <w:trPr>
          <w:trHeight w:val="310"/>
          <w:jc w:val="center"/>
        </w:trPr>
        <w:tc>
          <w:tcPr>
            <w:tcW w:w="0" w:type="auto"/>
            <w:tcBorders>
              <w:top w:val="nil"/>
              <w:left w:val="single" w:sz="4" w:space="0" w:color="auto"/>
              <w:bottom w:val="single" w:sz="4" w:space="0" w:color="auto"/>
              <w:right w:val="single" w:sz="4" w:space="0" w:color="auto"/>
            </w:tcBorders>
            <w:shd w:val="clear" w:color="auto" w:fill="auto"/>
            <w:noWrap/>
            <w:hideMark/>
          </w:tcPr>
          <w:p w14:paraId="6DF2E1C1"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Auxilio Optometría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9CB953D"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400</w:t>
            </w:r>
          </w:p>
        </w:tc>
        <w:tc>
          <w:tcPr>
            <w:tcW w:w="0" w:type="auto"/>
            <w:tcBorders>
              <w:top w:val="nil"/>
              <w:left w:val="nil"/>
              <w:bottom w:val="single" w:sz="4" w:space="0" w:color="auto"/>
              <w:right w:val="single" w:sz="4" w:space="0" w:color="auto"/>
            </w:tcBorders>
            <w:shd w:val="clear" w:color="auto" w:fill="auto"/>
            <w:vAlign w:val="center"/>
            <w:hideMark/>
          </w:tcPr>
          <w:p w14:paraId="3228FCD5"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39.134.260 </w:t>
            </w:r>
          </w:p>
        </w:tc>
      </w:tr>
      <w:tr w:rsidR="007F09C3" w:rsidRPr="007F09C3" w14:paraId="1C0A7AAC" w14:textId="77777777" w:rsidTr="00E3409C">
        <w:trPr>
          <w:trHeight w:val="310"/>
          <w:jc w:val="center"/>
        </w:trPr>
        <w:tc>
          <w:tcPr>
            <w:tcW w:w="0" w:type="auto"/>
            <w:tcBorders>
              <w:top w:val="nil"/>
              <w:left w:val="single" w:sz="4" w:space="0" w:color="auto"/>
              <w:bottom w:val="single" w:sz="4" w:space="0" w:color="auto"/>
              <w:right w:val="single" w:sz="4" w:space="0" w:color="auto"/>
            </w:tcBorders>
            <w:shd w:val="clear" w:color="auto" w:fill="auto"/>
            <w:noWrap/>
            <w:hideMark/>
          </w:tcPr>
          <w:p w14:paraId="479445BB"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Auxilio Medicamento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E43FA24"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13</w:t>
            </w:r>
          </w:p>
        </w:tc>
        <w:tc>
          <w:tcPr>
            <w:tcW w:w="0" w:type="auto"/>
            <w:tcBorders>
              <w:top w:val="nil"/>
              <w:left w:val="nil"/>
              <w:bottom w:val="single" w:sz="4" w:space="0" w:color="auto"/>
              <w:right w:val="single" w:sz="4" w:space="0" w:color="auto"/>
            </w:tcBorders>
            <w:shd w:val="clear" w:color="auto" w:fill="auto"/>
            <w:vAlign w:val="center"/>
            <w:hideMark/>
          </w:tcPr>
          <w:p w14:paraId="30DFFD70"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2.796.000 </w:t>
            </w:r>
          </w:p>
        </w:tc>
      </w:tr>
      <w:tr w:rsidR="007F09C3" w:rsidRPr="007F09C3" w14:paraId="4C163EF7" w14:textId="77777777" w:rsidTr="00E3409C">
        <w:trPr>
          <w:trHeight w:val="310"/>
          <w:jc w:val="center"/>
        </w:trPr>
        <w:tc>
          <w:tcPr>
            <w:tcW w:w="0" w:type="auto"/>
            <w:tcBorders>
              <w:top w:val="nil"/>
              <w:left w:val="single" w:sz="4" w:space="0" w:color="auto"/>
              <w:bottom w:val="single" w:sz="4" w:space="0" w:color="auto"/>
              <w:right w:val="single" w:sz="4" w:space="0" w:color="auto"/>
            </w:tcBorders>
            <w:shd w:val="clear" w:color="auto" w:fill="auto"/>
            <w:noWrap/>
            <w:hideMark/>
          </w:tcPr>
          <w:p w14:paraId="5910C8D0"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Auxilio Por Enfermedad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3F4B378"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54</w:t>
            </w:r>
          </w:p>
        </w:tc>
        <w:tc>
          <w:tcPr>
            <w:tcW w:w="0" w:type="auto"/>
            <w:tcBorders>
              <w:top w:val="nil"/>
              <w:left w:val="nil"/>
              <w:bottom w:val="single" w:sz="4" w:space="0" w:color="auto"/>
              <w:right w:val="single" w:sz="4" w:space="0" w:color="auto"/>
            </w:tcBorders>
            <w:shd w:val="clear" w:color="auto" w:fill="auto"/>
            <w:vAlign w:val="center"/>
            <w:hideMark/>
          </w:tcPr>
          <w:p w14:paraId="0D95EF9E"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16.851.999 </w:t>
            </w:r>
          </w:p>
        </w:tc>
      </w:tr>
      <w:tr w:rsidR="007F09C3" w:rsidRPr="007F09C3" w14:paraId="6E504B2F" w14:textId="77777777" w:rsidTr="00E3409C">
        <w:trPr>
          <w:trHeight w:val="310"/>
          <w:jc w:val="center"/>
        </w:trPr>
        <w:tc>
          <w:tcPr>
            <w:tcW w:w="0" w:type="auto"/>
            <w:tcBorders>
              <w:top w:val="nil"/>
              <w:left w:val="single" w:sz="4" w:space="0" w:color="auto"/>
              <w:bottom w:val="single" w:sz="4" w:space="0" w:color="auto"/>
              <w:right w:val="single" w:sz="4" w:space="0" w:color="auto"/>
            </w:tcBorders>
            <w:shd w:val="clear" w:color="auto" w:fill="auto"/>
            <w:noWrap/>
            <w:hideMark/>
          </w:tcPr>
          <w:p w14:paraId="0C7A56E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Auxilio Por Calamidad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4C64DF91"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4</w:t>
            </w:r>
          </w:p>
        </w:tc>
        <w:tc>
          <w:tcPr>
            <w:tcW w:w="0" w:type="auto"/>
            <w:tcBorders>
              <w:top w:val="nil"/>
              <w:left w:val="nil"/>
              <w:bottom w:val="single" w:sz="4" w:space="0" w:color="auto"/>
              <w:right w:val="single" w:sz="4" w:space="0" w:color="auto"/>
            </w:tcBorders>
            <w:shd w:val="clear" w:color="auto" w:fill="auto"/>
            <w:vAlign w:val="center"/>
            <w:hideMark/>
          </w:tcPr>
          <w:p w14:paraId="54E19CFC"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1.280.000 </w:t>
            </w:r>
          </w:p>
        </w:tc>
      </w:tr>
      <w:tr w:rsidR="007F09C3" w:rsidRPr="007F09C3" w14:paraId="1EE81229" w14:textId="77777777" w:rsidTr="00E3409C">
        <w:trPr>
          <w:trHeight w:val="310"/>
          <w:jc w:val="center"/>
        </w:trPr>
        <w:tc>
          <w:tcPr>
            <w:tcW w:w="0" w:type="auto"/>
            <w:tcBorders>
              <w:top w:val="nil"/>
              <w:left w:val="single" w:sz="4" w:space="0" w:color="auto"/>
              <w:bottom w:val="single" w:sz="4" w:space="0" w:color="auto"/>
              <w:right w:val="single" w:sz="4" w:space="0" w:color="auto"/>
            </w:tcBorders>
            <w:shd w:val="clear" w:color="auto" w:fill="auto"/>
            <w:noWrap/>
            <w:hideMark/>
          </w:tcPr>
          <w:p w14:paraId="19612989"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Auxilio Por Fallecimiento Asociado                                  </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F833021" w14:textId="77777777" w:rsidR="007F09C3" w:rsidRPr="007F09C3" w:rsidRDefault="007F09C3" w:rsidP="007F09C3">
            <w:pPr>
              <w:jc w:val="center"/>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14</w:t>
            </w:r>
          </w:p>
        </w:tc>
        <w:tc>
          <w:tcPr>
            <w:tcW w:w="0" w:type="auto"/>
            <w:tcBorders>
              <w:top w:val="nil"/>
              <w:left w:val="nil"/>
              <w:bottom w:val="single" w:sz="4" w:space="0" w:color="auto"/>
              <w:right w:val="single" w:sz="4" w:space="0" w:color="auto"/>
            </w:tcBorders>
            <w:shd w:val="clear" w:color="auto" w:fill="auto"/>
            <w:vAlign w:val="center"/>
            <w:hideMark/>
          </w:tcPr>
          <w:p w14:paraId="26DA4725" w14:textId="77777777" w:rsidR="007F09C3" w:rsidRPr="007F09C3" w:rsidRDefault="007F09C3" w:rsidP="007F09C3">
            <w:pPr>
              <w:jc w:val="both"/>
              <w:rPr>
                <w:rFonts w:ascii="Arial Narrow" w:hAnsi="Arial Narrow" w:cs="Arial"/>
                <w:color w:val="000000"/>
                <w:sz w:val="24"/>
                <w:szCs w:val="24"/>
                <w:lang w:eastAsia="es-CO"/>
              </w:rPr>
            </w:pPr>
            <w:r w:rsidRPr="007F09C3">
              <w:rPr>
                <w:rFonts w:ascii="Arial Narrow" w:hAnsi="Arial Narrow" w:cs="Arial"/>
                <w:color w:val="000000"/>
                <w:sz w:val="24"/>
                <w:szCs w:val="24"/>
                <w:lang w:eastAsia="es-CO"/>
              </w:rPr>
              <w:t xml:space="preserve">         6.500.000 </w:t>
            </w:r>
          </w:p>
        </w:tc>
      </w:tr>
    </w:tbl>
    <w:p w14:paraId="480D7FD1" w14:textId="77777777" w:rsidR="007F09C3" w:rsidRPr="007F09C3" w:rsidRDefault="007F09C3" w:rsidP="007F09C3">
      <w:pPr>
        <w:jc w:val="both"/>
        <w:rPr>
          <w:rFonts w:ascii="Arial Narrow" w:hAnsi="Arial Narrow"/>
          <w:sz w:val="24"/>
          <w:szCs w:val="24"/>
        </w:rPr>
      </w:pPr>
    </w:p>
    <w:p w14:paraId="48ED555C" w14:textId="153E5906"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Adicionalmente el </w:t>
      </w:r>
      <w:r w:rsidR="00096788">
        <w:rPr>
          <w:rFonts w:ascii="Arial Narrow" w:hAnsi="Arial Narrow"/>
          <w:sz w:val="24"/>
          <w:szCs w:val="24"/>
        </w:rPr>
        <w:t>Cooperativa</w:t>
      </w:r>
      <w:r w:rsidRPr="007F09C3">
        <w:rPr>
          <w:rFonts w:ascii="Arial Narrow" w:hAnsi="Arial Narrow"/>
          <w:sz w:val="24"/>
          <w:szCs w:val="24"/>
        </w:rPr>
        <w:t xml:space="preserve"> genera 27 empleos directos bien remunerados y con toda su seguridad social, a quienes se capacita y actualiza permanentemente para fortalecer sus competencias y entregarles herramientas que les permita realizar su trabajo eficazmente brindando el mejor servicio posible a los </w:t>
      </w:r>
      <w:r w:rsidRPr="007F09C3">
        <w:rPr>
          <w:rFonts w:ascii="Arial Narrow" w:hAnsi="Arial Narrow"/>
          <w:sz w:val="24"/>
          <w:szCs w:val="24"/>
        </w:rPr>
        <w:lastRenderedPageBreak/>
        <w:t>asociados y garantizando el cumplimiento de los estándares de control y supervisión establecidos internamente y por los entes estatales.</w:t>
      </w:r>
    </w:p>
    <w:p w14:paraId="53F07B7E" w14:textId="77777777" w:rsidR="007F09C3" w:rsidRPr="007F09C3" w:rsidRDefault="007F09C3" w:rsidP="007F09C3">
      <w:pPr>
        <w:jc w:val="both"/>
        <w:rPr>
          <w:rFonts w:ascii="Arial Narrow" w:hAnsi="Arial Narrow"/>
          <w:sz w:val="24"/>
          <w:szCs w:val="24"/>
        </w:rPr>
      </w:pPr>
    </w:p>
    <w:p w14:paraId="4BBE7F24" w14:textId="77777777" w:rsidR="007F09C3" w:rsidRPr="007F09C3" w:rsidRDefault="007F09C3" w:rsidP="007F09C3">
      <w:pPr>
        <w:ind w:left="720"/>
        <w:rPr>
          <w:rFonts w:ascii="Arial Narrow" w:hAnsi="Arial Narrow"/>
          <w:sz w:val="24"/>
          <w:szCs w:val="24"/>
        </w:rPr>
      </w:pPr>
    </w:p>
    <w:p w14:paraId="66207745" w14:textId="77777777" w:rsidR="007F09C3" w:rsidRPr="007F09C3" w:rsidRDefault="007F09C3" w:rsidP="00096788">
      <w:pPr>
        <w:pStyle w:val="Prrafodelista"/>
        <w:numPr>
          <w:ilvl w:val="1"/>
          <w:numId w:val="1"/>
        </w:numPr>
        <w:shd w:val="clear" w:color="auto" w:fill="E2EFD9" w:themeFill="accent6" w:themeFillTint="33"/>
        <w:contextualSpacing/>
        <w:jc w:val="both"/>
        <w:rPr>
          <w:rFonts w:ascii="Arial Narrow" w:hAnsi="Arial Narrow"/>
          <w:b/>
          <w:i/>
          <w:sz w:val="24"/>
          <w:szCs w:val="24"/>
        </w:rPr>
      </w:pPr>
      <w:r w:rsidRPr="007F09C3">
        <w:rPr>
          <w:rFonts w:ascii="Arial Narrow" w:hAnsi="Arial Narrow"/>
          <w:b/>
          <w:i/>
          <w:sz w:val="24"/>
          <w:szCs w:val="24"/>
        </w:rPr>
        <w:t xml:space="preserve">Objetivo 3: </w:t>
      </w:r>
      <w:r w:rsidRPr="007F09C3">
        <w:rPr>
          <w:rFonts w:ascii="Arial Narrow" w:hAnsi="Arial Narrow"/>
          <w:b/>
          <w:i/>
          <w:sz w:val="24"/>
          <w:szCs w:val="24"/>
          <w:lang w:val="es-AR"/>
        </w:rPr>
        <w:t>Disminuir la rotación de asociados y mantener la base social mejorando la calidad de la cartera</w:t>
      </w:r>
      <w:r w:rsidRPr="007F09C3">
        <w:rPr>
          <w:rFonts w:ascii="Arial Narrow" w:hAnsi="Arial Narrow"/>
          <w:b/>
          <w:i/>
          <w:sz w:val="24"/>
          <w:szCs w:val="24"/>
          <w:lang w:val="es-AR"/>
        </w:rPr>
        <w:tab/>
      </w:r>
      <w:r w:rsidRPr="007F09C3">
        <w:rPr>
          <w:rFonts w:ascii="Arial Narrow" w:hAnsi="Arial Narrow"/>
          <w:b/>
          <w:i/>
          <w:sz w:val="24"/>
          <w:szCs w:val="24"/>
          <w:lang w:val="es-AR"/>
        </w:rPr>
        <w:tab/>
      </w:r>
      <w:r w:rsidRPr="007F09C3">
        <w:rPr>
          <w:rFonts w:ascii="Arial Narrow" w:hAnsi="Arial Narrow"/>
          <w:b/>
          <w:i/>
          <w:sz w:val="24"/>
          <w:szCs w:val="24"/>
          <w:lang w:val="es-AR"/>
        </w:rPr>
        <w:tab/>
        <w:t>.</w:t>
      </w:r>
    </w:p>
    <w:p w14:paraId="068C8130" w14:textId="77777777" w:rsidR="007F09C3" w:rsidRPr="007F09C3" w:rsidRDefault="007F09C3" w:rsidP="007F09C3">
      <w:pPr>
        <w:jc w:val="both"/>
        <w:rPr>
          <w:rFonts w:ascii="Arial Narrow" w:hAnsi="Arial Narrow"/>
          <w:b/>
          <w:sz w:val="24"/>
          <w:szCs w:val="24"/>
        </w:rPr>
      </w:pPr>
    </w:p>
    <w:p w14:paraId="5744D039" w14:textId="3A6CF2D5"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Son cada vez más las personas que disfrutan de los beneficios y servicios prestados por el </w:t>
      </w:r>
      <w:r w:rsidR="00096788">
        <w:rPr>
          <w:rFonts w:ascii="Arial Narrow" w:hAnsi="Arial Narrow"/>
          <w:sz w:val="24"/>
          <w:szCs w:val="24"/>
        </w:rPr>
        <w:t>Cooperativa</w:t>
      </w:r>
      <w:r w:rsidRPr="007F09C3">
        <w:rPr>
          <w:rFonts w:ascii="Arial Narrow" w:hAnsi="Arial Narrow"/>
          <w:sz w:val="24"/>
          <w:szCs w:val="24"/>
        </w:rPr>
        <w:t xml:space="preserve"> logrando recuperar la tendencia de crecimiento en el año </w:t>
      </w:r>
      <w:r w:rsidR="00662D26">
        <w:rPr>
          <w:rFonts w:ascii="Arial Narrow" w:hAnsi="Arial Narrow"/>
          <w:sz w:val="24"/>
          <w:szCs w:val="24"/>
        </w:rPr>
        <w:t>2021</w:t>
      </w:r>
      <w:r w:rsidRPr="007F09C3">
        <w:rPr>
          <w:rFonts w:ascii="Arial Narrow" w:hAnsi="Arial Narrow"/>
          <w:sz w:val="24"/>
          <w:szCs w:val="24"/>
        </w:rPr>
        <w:t xml:space="preserve">, luego de dos años seguidos de caídas en </w:t>
      </w:r>
      <w:proofErr w:type="spellStart"/>
      <w:r w:rsidRPr="007F09C3">
        <w:rPr>
          <w:rFonts w:ascii="Arial Narrow" w:hAnsi="Arial Narrow"/>
          <w:sz w:val="24"/>
          <w:szCs w:val="24"/>
        </w:rPr>
        <w:t>al</w:t>
      </w:r>
      <w:proofErr w:type="spellEnd"/>
      <w:r w:rsidRPr="007F09C3">
        <w:rPr>
          <w:rFonts w:ascii="Arial Narrow" w:hAnsi="Arial Narrow"/>
          <w:sz w:val="24"/>
          <w:szCs w:val="24"/>
        </w:rPr>
        <w:t xml:space="preserve"> base social:  </w:t>
      </w:r>
    </w:p>
    <w:p w14:paraId="05F506FB" w14:textId="77777777" w:rsidR="007F09C3" w:rsidRPr="007F09C3" w:rsidRDefault="007F09C3" w:rsidP="007F09C3">
      <w:pPr>
        <w:jc w:val="both"/>
        <w:rPr>
          <w:rFonts w:ascii="Arial Narrow" w:hAnsi="Arial Narrow"/>
          <w:sz w:val="24"/>
          <w:szCs w:val="24"/>
        </w:rPr>
      </w:pPr>
    </w:p>
    <w:tbl>
      <w:tblPr>
        <w:tblW w:w="0" w:type="auto"/>
        <w:jc w:val="center"/>
        <w:tblCellMar>
          <w:left w:w="70" w:type="dxa"/>
          <w:right w:w="70" w:type="dxa"/>
        </w:tblCellMar>
        <w:tblLook w:val="04A0" w:firstRow="1" w:lastRow="0" w:firstColumn="1" w:lastColumn="0" w:noHBand="0" w:noVBand="1"/>
      </w:tblPr>
      <w:tblGrid>
        <w:gridCol w:w="1431"/>
        <w:gridCol w:w="764"/>
        <w:gridCol w:w="764"/>
        <w:gridCol w:w="764"/>
        <w:gridCol w:w="764"/>
        <w:gridCol w:w="764"/>
      </w:tblGrid>
      <w:tr w:rsidR="007F09C3" w:rsidRPr="007F09C3" w14:paraId="418F9BF9" w14:textId="77777777" w:rsidTr="00E3409C">
        <w:trPr>
          <w:trHeight w:val="280"/>
          <w:jc w:val="center"/>
        </w:trPr>
        <w:tc>
          <w:tcPr>
            <w:tcW w:w="0" w:type="auto"/>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41990B8"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ESTADISTICA</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03D1ABE7" w14:textId="308FDF72"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Año 1</w:t>
            </w:r>
            <w:r w:rsidR="00C9643C">
              <w:rPr>
                <w:rFonts w:ascii="Arial Narrow" w:hAnsi="Arial Narrow"/>
                <w:color w:val="000000"/>
                <w:sz w:val="24"/>
                <w:szCs w:val="24"/>
                <w:lang w:eastAsia="es-CO"/>
              </w:rPr>
              <w:t>7</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1DBC7438" w14:textId="670AF03A"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Año 1</w:t>
            </w:r>
            <w:r w:rsidR="00C9643C">
              <w:rPr>
                <w:rFonts w:ascii="Arial Narrow" w:hAnsi="Arial Narrow"/>
                <w:color w:val="000000"/>
                <w:sz w:val="24"/>
                <w:szCs w:val="24"/>
                <w:lang w:eastAsia="es-CO"/>
              </w:rPr>
              <w:t>8</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61C33DC4" w14:textId="2F6257BF"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Año </w:t>
            </w:r>
            <w:r w:rsidR="00CD608B">
              <w:rPr>
                <w:rFonts w:ascii="Arial Narrow" w:hAnsi="Arial Narrow"/>
                <w:color w:val="000000"/>
                <w:sz w:val="24"/>
                <w:szCs w:val="24"/>
                <w:lang w:eastAsia="es-CO"/>
              </w:rPr>
              <w:t>19</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1A25759A" w14:textId="142A26DF"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Año </w:t>
            </w:r>
            <w:r w:rsidR="00CD608B">
              <w:rPr>
                <w:rFonts w:ascii="Arial Narrow" w:hAnsi="Arial Narrow"/>
                <w:color w:val="000000"/>
                <w:sz w:val="24"/>
                <w:szCs w:val="24"/>
                <w:lang w:eastAsia="es-CO"/>
              </w:rPr>
              <w:t>20</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2A1D4FEA" w14:textId="7ABEE9FA"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 xml:space="preserve">Año </w:t>
            </w:r>
            <w:r w:rsidR="00CD608B">
              <w:rPr>
                <w:rFonts w:ascii="Arial Narrow" w:hAnsi="Arial Narrow"/>
                <w:color w:val="000000"/>
                <w:sz w:val="24"/>
                <w:szCs w:val="24"/>
                <w:lang w:eastAsia="es-CO"/>
              </w:rPr>
              <w:t>21</w:t>
            </w:r>
          </w:p>
        </w:tc>
      </w:tr>
      <w:tr w:rsidR="007F09C3" w:rsidRPr="007F09C3" w14:paraId="65663421" w14:textId="77777777" w:rsidTr="00E3409C">
        <w:trPr>
          <w:trHeight w:val="28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D5F82BD"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Hombres</w:t>
            </w:r>
          </w:p>
        </w:tc>
        <w:tc>
          <w:tcPr>
            <w:tcW w:w="0" w:type="auto"/>
            <w:tcBorders>
              <w:top w:val="nil"/>
              <w:left w:val="nil"/>
              <w:bottom w:val="single" w:sz="4" w:space="0" w:color="auto"/>
              <w:right w:val="single" w:sz="4" w:space="0" w:color="auto"/>
            </w:tcBorders>
            <w:shd w:val="clear" w:color="auto" w:fill="auto"/>
            <w:noWrap/>
            <w:vAlign w:val="bottom"/>
            <w:hideMark/>
          </w:tcPr>
          <w:p w14:paraId="142759FD"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1674</w:t>
            </w:r>
          </w:p>
        </w:tc>
        <w:tc>
          <w:tcPr>
            <w:tcW w:w="0" w:type="auto"/>
            <w:tcBorders>
              <w:top w:val="nil"/>
              <w:left w:val="nil"/>
              <w:bottom w:val="single" w:sz="4" w:space="0" w:color="auto"/>
              <w:right w:val="single" w:sz="4" w:space="0" w:color="auto"/>
            </w:tcBorders>
            <w:shd w:val="clear" w:color="auto" w:fill="auto"/>
            <w:noWrap/>
            <w:vAlign w:val="bottom"/>
            <w:hideMark/>
          </w:tcPr>
          <w:p w14:paraId="44B403C5"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1677</w:t>
            </w:r>
          </w:p>
        </w:tc>
        <w:tc>
          <w:tcPr>
            <w:tcW w:w="0" w:type="auto"/>
            <w:tcBorders>
              <w:top w:val="nil"/>
              <w:left w:val="nil"/>
              <w:bottom w:val="single" w:sz="4" w:space="0" w:color="auto"/>
              <w:right w:val="single" w:sz="4" w:space="0" w:color="auto"/>
            </w:tcBorders>
            <w:shd w:val="clear" w:color="auto" w:fill="auto"/>
            <w:noWrap/>
            <w:vAlign w:val="bottom"/>
            <w:hideMark/>
          </w:tcPr>
          <w:p w14:paraId="490173A2"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1645</w:t>
            </w:r>
          </w:p>
        </w:tc>
        <w:tc>
          <w:tcPr>
            <w:tcW w:w="0" w:type="auto"/>
            <w:tcBorders>
              <w:top w:val="nil"/>
              <w:left w:val="nil"/>
              <w:bottom w:val="single" w:sz="4" w:space="0" w:color="auto"/>
              <w:right w:val="single" w:sz="4" w:space="0" w:color="auto"/>
            </w:tcBorders>
            <w:shd w:val="clear" w:color="auto" w:fill="auto"/>
            <w:noWrap/>
            <w:vAlign w:val="bottom"/>
            <w:hideMark/>
          </w:tcPr>
          <w:p w14:paraId="57BDEA3D"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1564</w:t>
            </w:r>
          </w:p>
        </w:tc>
        <w:tc>
          <w:tcPr>
            <w:tcW w:w="0" w:type="auto"/>
            <w:tcBorders>
              <w:top w:val="nil"/>
              <w:left w:val="nil"/>
              <w:bottom w:val="single" w:sz="4" w:space="0" w:color="auto"/>
              <w:right w:val="single" w:sz="4" w:space="0" w:color="auto"/>
            </w:tcBorders>
            <w:shd w:val="clear" w:color="auto" w:fill="auto"/>
            <w:noWrap/>
            <w:vAlign w:val="bottom"/>
            <w:hideMark/>
          </w:tcPr>
          <w:p w14:paraId="2BCFFE94"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1581</w:t>
            </w:r>
          </w:p>
        </w:tc>
      </w:tr>
      <w:tr w:rsidR="007F09C3" w:rsidRPr="007F09C3" w14:paraId="2CF5B644" w14:textId="77777777" w:rsidTr="00E3409C">
        <w:trPr>
          <w:trHeight w:val="28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CEAB0F4"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Mujeres</w:t>
            </w:r>
          </w:p>
        </w:tc>
        <w:tc>
          <w:tcPr>
            <w:tcW w:w="0" w:type="auto"/>
            <w:tcBorders>
              <w:top w:val="nil"/>
              <w:left w:val="nil"/>
              <w:bottom w:val="single" w:sz="4" w:space="0" w:color="auto"/>
              <w:right w:val="single" w:sz="4" w:space="0" w:color="auto"/>
            </w:tcBorders>
            <w:shd w:val="clear" w:color="auto" w:fill="auto"/>
            <w:noWrap/>
            <w:vAlign w:val="bottom"/>
            <w:hideMark/>
          </w:tcPr>
          <w:p w14:paraId="729347BF"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512</w:t>
            </w:r>
          </w:p>
        </w:tc>
        <w:tc>
          <w:tcPr>
            <w:tcW w:w="0" w:type="auto"/>
            <w:tcBorders>
              <w:top w:val="nil"/>
              <w:left w:val="nil"/>
              <w:bottom w:val="single" w:sz="4" w:space="0" w:color="auto"/>
              <w:right w:val="single" w:sz="4" w:space="0" w:color="auto"/>
            </w:tcBorders>
            <w:shd w:val="clear" w:color="auto" w:fill="auto"/>
            <w:noWrap/>
            <w:vAlign w:val="bottom"/>
            <w:hideMark/>
          </w:tcPr>
          <w:p w14:paraId="173452B1"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526</w:t>
            </w:r>
          </w:p>
        </w:tc>
        <w:tc>
          <w:tcPr>
            <w:tcW w:w="0" w:type="auto"/>
            <w:tcBorders>
              <w:top w:val="nil"/>
              <w:left w:val="nil"/>
              <w:bottom w:val="single" w:sz="4" w:space="0" w:color="auto"/>
              <w:right w:val="single" w:sz="4" w:space="0" w:color="auto"/>
            </w:tcBorders>
            <w:shd w:val="clear" w:color="auto" w:fill="auto"/>
            <w:noWrap/>
            <w:vAlign w:val="bottom"/>
            <w:hideMark/>
          </w:tcPr>
          <w:p w14:paraId="4D54FDC8"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542</w:t>
            </w:r>
          </w:p>
        </w:tc>
        <w:tc>
          <w:tcPr>
            <w:tcW w:w="0" w:type="auto"/>
            <w:tcBorders>
              <w:top w:val="nil"/>
              <w:left w:val="nil"/>
              <w:bottom w:val="single" w:sz="4" w:space="0" w:color="auto"/>
              <w:right w:val="single" w:sz="4" w:space="0" w:color="auto"/>
            </w:tcBorders>
            <w:shd w:val="clear" w:color="auto" w:fill="auto"/>
            <w:noWrap/>
            <w:vAlign w:val="bottom"/>
            <w:hideMark/>
          </w:tcPr>
          <w:p w14:paraId="5098C54F"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528</w:t>
            </w:r>
          </w:p>
        </w:tc>
        <w:tc>
          <w:tcPr>
            <w:tcW w:w="0" w:type="auto"/>
            <w:tcBorders>
              <w:top w:val="nil"/>
              <w:left w:val="nil"/>
              <w:bottom w:val="single" w:sz="4" w:space="0" w:color="auto"/>
              <w:right w:val="single" w:sz="4" w:space="0" w:color="auto"/>
            </w:tcBorders>
            <w:shd w:val="clear" w:color="auto" w:fill="auto"/>
            <w:noWrap/>
            <w:vAlign w:val="bottom"/>
            <w:hideMark/>
          </w:tcPr>
          <w:p w14:paraId="0FD657DF"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534</w:t>
            </w:r>
          </w:p>
        </w:tc>
      </w:tr>
      <w:tr w:rsidR="007F09C3" w:rsidRPr="007F09C3" w14:paraId="0633EBF8" w14:textId="77777777" w:rsidTr="00E3409C">
        <w:trPr>
          <w:trHeight w:val="280"/>
          <w:jc w:val="center"/>
        </w:trPr>
        <w:tc>
          <w:tcPr>
            <w:tcW w:w="0" w:type="auto"/>
            <w:tcBorders>
              <w:top w:val="nil"/>
              <w:left w:val="single" w:sz="4" w:space="0" w:color="auto"/>
              <w:bottom w:val="single" w:sz="4" w:space="0" w:color="auto"/>
              <w:right w:val="single" w:sz="4" w:space="0" w:color="auto"/>
            </w:tcBorders>
            <w:shd w:val="clear" w:color="000000" w:fill="375623"/>
            <w:noWrap/>
            <w:vAlign w:val="bottom"/>
            <w:hideMark/>
          </w:tcPr>
          <w:p w14:paraId="695E27A4" w14:textId="77777777" w:rsidR="007F09C3" w:rsidRPr="007F09C3" w:rsidRDefault="007F09C3" w:rsidP="007F09C3">
            <w:pPr>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total</w:t>
            </w:r>
          </w:p>
        </w:tc>
        <w:tc>
          <w:tcPr>
            <w:tcW w:w="0" w:type="auto"/>
            <w:tcBorders>
              <w:top w:val="nil"/>
              <w:left w:val="nil"/>
              <w:bottom w:val="single" w:sz="4" w:space="0" w:color="auto"/>
              <w:right w:val="single" w:sz="4" w:space="0" w:color="auto"/>
            </w:tcBorders>
            <w:shd w:val="clear" w:color="000000" w:fill="375623"/>
            <w:noWrap/>
            <w:vAlign w:val="bottom"/>
            <w:hideMark/>
          </w:tcPr>
          <w:p w14:paraId="5C23AFB8" w14:textId="77777777" w:rsidR="007F09C3" w:rsidRPr="007F09C3" w:rsidRDefault="007F09C3" w:rsidP="007F09C3">
            <w:pPr>
              <w:jc w:val="right"/>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2186</w:t>
            </w:r>
          </w:p>
        </w:tc>
        <w:tc>
          <w:tcPr>
            <w:tcW w:w="0" w:type="auto"/>
            <w:tcBorders>
              <w:top w:val="nil"/>
              <w:left w:val="nil"/>
              <w:bottom w:val="single" w:sz="4" w:space="0" w:color="auto"/>
              <w:right w:val="single" w:sz="4" w:space="0" w:color="auto"/>
            </w:tcBorders>
            <w:shd w:val="clear" w:color="000000" w:fill="375623"/>
            <w:noWrap/>
            <w:vAlign w:val="bottom"/>
            <w:hideMark/>
          </w:tcPr>
          <w:p w14:paraId="60190A52" w14:textId="77777777" w:rsidR="007F09C3" w:rsidRPr="007F09C3" w:rsidRDefault="007F09C3" w:rsidP="007F09C3">
            <w:pPr>
              <w:jc w:val="right"/>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2203</w:t>
            </w:r>
          </w:p>
        </w:tc>
        <w:tc>
          <w:tcPr>
            <w:tcW w:w="0" w:type="auto"/>
            <w:tcBorders>
              <w:top w:val="nil"/>
              <w:left w:val="nil"/>
              <w:bottom w:val="single" w:sz="4" w:space="0" w:color="auto"/>
              <w:right w:val="single" w:sz="4" w:space="0" w:color="auto"/>
            </w:tcBorders>
            <w:shd w:val="clear" w:color="000000" w:fill="375623"/>
            <w:noWrap/>
            <w:vAlign w:val="bottom"/>
            <w:hideMark/>
          </w:tcPr>
          <w:p w14:paraId="3BADDBE2" w14:textId="77777777" w:rsidR="007F09C3" w:rsidRPr="007F09C3" w:rsidRDefault="007F09C3" w:rsidP="007F09C3">
            <w:pPr>
              <w:jc w:val="right"/>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2187</w:t>
            </w:r>
          </w:p>
        </w:tc>
        <w:tc>
          <w:tcPr>
            <w:tcW w:w="0" w:type="auto"/>
            <w:tcBorders>
              <w:top w:val="nil"/>
              <w:left w:val="nil"/>
              <w:bottom w:val="single" w:sz="4" w:space="0" w:color="auto"/>
              <w:right w:val="single" w:sz="4" w:space="0" w:color="auto"/>
            </w:tcBorders>
            <w:shd w:val="clear" w:color="000000" w:fill="375623"/>
            <w:noWrap/>
            <w:vAlign w:val="bottom"/>
            <w:hideMark/>
          </w:tcPr>
          <w:p w14:paraId="17D93CC1" w14:textId="77777777" w:rsidR="007F09C3" w:rsidRPr="007F09C3" w:rsidRDefault="007F09C3" w:rsidP="007F09C3">
            <w:pPr>
              <w:jc w:val="right"/>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2092</w:t>
            </w:r>
          </w:p>
        </w:tc>
        <w:tc>
          <w:tcPr>
            <w:tcW w:w="0" w:type="auto"/>
            <w:tcBorders>
              <w:top w:val="nil"/>
              <w:left w:val="nil"/>
              <w:bottom w:val="single" w:sz="4" w:space="0" w:color="auto"/>
              <w:right w:val="single" w:sz="4" w:space="0" w:color="auto"/>
            </w:tcBorders>
            <w:shd w:val="clear" w:color="000000" w:fill="375623"/>
            <w:noWrap/>
            <w:vAlign w:val="bottom"/>
            <w:hideMark/>
          </w:tcPr>
          <w:p w14:paraId="03FC6ED1" w14:textId="77777777" w:rsidR="007F09C3" w:rsidRPr="007F09C3" w:rsidRDefault="007F09C3" w:rsidP="007F09C3">
            <w:pPr>
              <w:jc w:val="right"/>
              <w:rPr>
                <w:rFonts w:ascii="Arial Narrow" w:hAnsi="Arial Narrow"/>
                <w:b/>
                <w:bCs/>
                <w:color w:val="FFFFFF"/>
                <w:sz w:val="24"/>
                <w:szCs w:val="24"/>
                <w:lang w:eastAsia="es-CO"/>
              </w:rPr>
            </w:pPr>
            <w:r w:rsidRPr="007F09C3">
              <w:rPr>
                <w:rFonts w:ascii="Arial Narrow" w:hAnsi="Arial Narrow"/>
                <w:b/>
                <w:bCs/>
                <w:color w:val="FFFFFF"/>
                <w:sz w:val="24"/>
                <w:szCs w:val="24"/>
                <w:lang w:eastAsia="es-CO"/>
              </w:rPr>
              <w:t>2115</w:t>
            </w:r>
          </w:p>
        </w:tc>
      </w:tr>
      <w:tr w:rsidR="007F09C3" w:rsidRPr="007F09C3" w14:paraId="278A79FE" w14:textId="77777777" w:rsidTr="00E3409C">
        <w:trPr>
          <w:trHeight w:val="28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F04ABC"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Ingresos</w:t>
            </w:r>
          </w:p>
        </w:tc>
        <w:tc>
          <w:tcPr>
            <w:tcW w:w="0" w:type="auto"/>
            <w:tcBorders>
              <w:top w:val="nil"/>
              <w:left w:val="nil"/>
              <w:bottom w:val="single" w:sz="4" w:space="0" w:color="auto"/>
              <w:right w:val="single" w:sz="4" w:space="0" w:color="auto"/>
            </w:tcBorders>
            <w:shd w:val="clear" w:color="auto" w:fill="auto"/>
            <w:noWrap/>
            <w:vAlign w:val="bottom"/>
            <w:hideMark/>
          </w:tcPr>
          <w:p w14:paraId="6D6FC644"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188</w:t>
            </w:r>
          </w:p>
        </w:tc>
        <w:tc>
          <w:tcPr>
            <w:tcW w:w="0" w:type="auto"/>
            <w:tcBorders>
              <w:top w:val="nil"/>
              <w:left w:val="nil"/>
              <w:bottom w:val="single" w:sz="4" w:space="0" w:color="auto"/>
              <w:right w:val="single" w:sz="4" w:space="0" w:color="auto"/>
            </w:tcBorders>
            <w:shd w:val="clear" w:color="auto" w:fill="auto"/>
            <w:noWrap/>
            <w:vAlign w:val="bottom"/>
            <w:hideMark/>
          </w:tcPr>
          <w:p w14:paraId="741612D7"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225</w:t>
            </w:r>
          </w:p>
        </w:tc>
        <w:tc>
          <w:tcPr>
            <w:tcW w:w="0" w:type="auto"/>
            <w:tcBorders>
              <w:top w:val="nil"/>
              <w:left w:val="nil"/>
              <w:bottom w:val="single" w:sz="4" w:space="0" w:color="auto"/>
              <w:right w:val="single" w:sz="4" w:space="0" w:color="auto"/>
            </w:tcBorders>
            <w:shd w:val="clear" w:color="auto" w:fill="auto"/>
            <w:noWrap/>
            <w:vAlign w:val="bottom"/>
            <w:hideMark/>
          </w:tcPr>
          <w:p w14:paraId="0DDDB0EE"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168</w:t>
            </w:r>
          </w:p>
        </w:tc>
        <w:tc>
          <w:tcPr>
            <w:tcW w:w="0" w:type="auto"/>
            <w:tcBorders>
              <w:top w:val="nil"/>
              <w:left w:val="nil"/>
              <w:bottom w:val="single" w:sz="4" w:space="0" w:color="auto"/>
              <w:right w:val="single" w:sz="4" w:space="0" w:color="auto"/>
            </w:tcBorders>
            <w:shd w:val="clear" w:color="auto" w:fill="auto"/>
            <w:noWrap/>
            <w:vAlign w:val="bottom"/>
            <w:hideMark/>
          </w:tcPr>
          <w:p w14:paraId="0CD94074"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141</w:t>
            </w:r>
          </w:p>
        </w:tc>
        <w:tc>
          <w:tcPr>
            <w:tcW w:w="0" w:type="auto"/>
            <w:tcBorders>
              <w:top w:val="nil"/>
              <w:left w:val="nil"/>
              <w:bottom w:val="single" w:sz="4" w:space="0" w:color="auto"/>
              <w:right w:val="single" w:sz="4" w:space="0" w:color="auto"/>
            </w:tcBorders>
            <w:shd w:val="clear" w:color="auto" w:fill="auto"/>
            <w:noWrap/>
            <w:vAlign w:val="bottom"/>
            <w:hideMark/>
          </w:tcPr>
          <w:p w14:paraId="058A5924"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159</w:t>
            </w:r>
          </w:p>
        </w:tc>
      </w:tr>
      <w:tr w:rsidR="007F09C3" w:rsidRPr="007F09C3" w14:paraId="01441D4B" w14:textId="77777777" w:rsidTr="00E3409C">
        <w:trPr>
          <w:trHeight w:val="28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676DCCB"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Retiros</w:t>
            </w:r>
          </w:p>
        </w:tc>
        <w:tc>
          <w:tcPr>
            <w:tcW w:w="0" w:type="auto"/>
            <w:tcBorders>
              <w:top w:val="nil"/>
              <w:left w:val="nil"/>
              <w:bottom w:val="single" w:sz="4" w:space="0" w:color="auto"/>
              <w:right w:val="single" w:sz="4" w:space="0" w:color="auto"/>
            </w:tcBorders>
            <w:shd w:val="clear" w:color="auto" w:fill="auto"/>
            <w:noWrap/>
            <w:vAlign w:val="bottom"/>
            <w:hideMark/>
          </w:tcPr>
          <w:p w14:paraId="19011138"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189</w:t>
            </w:r>
          </w:p>
        </w:tc>
        <w:tc>
          <w:tcPr>
            <w:tcW w:w="0" w:type="auto"/>
            <w:tcBorders>
              <w:top w:val="nil"/>
              <w:left w:val="nil"/>
              <w:bottom w:val="single" w:sz="4" w:space="0" w:color="auto"/>
              <w:right w:val="single" w:sz="4" w:space="0" w:color="auto"/>
            </w:tcBorders>
            <w:shd w:val="clear" w:color="auto" w:fill="auto"/>
            <w:noWrap/>
            <w:vAlign w:val="bottom"/>
            <w:hideMark/>
          </w:tcPr>
          <w:p w14:paraId="58FE5108"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176</w:t>
            </w:r>
          </w:p>
        </w:tc>
        <w:tc>
          <w:tcPr>
            <w:tcW w:w="0" w:type="auto"/>
            <w:tcBorders>
              <w:top w:val="nil"/>
              <w:left w:val="nil"/>
              <w:bottom w:val="single" w:sz="4" w:space="0" w:color="auto"/>
              <w:right w:val="single" w:sz="4" w:space="0" w:color="auto"/>
            </w:tcBorders>
            <w:shd w:val="clear" w:color="auto" w:fill="auto"/>
            <w:noWrap/>
            <w:vAlign w:val="bottom"/>
            <w:hideMark/>
          </w:tcPr>
          <w:p w14:paraId="2F7788E2"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193</w:t>
            </w:r>
          </w:p>
        </w:tc>
        <w:tc>
          <w:tcPr>
            <w:tcW w:w="0" w:type="auto"/>
            <w:tcBorders>
              <w:top w:val="nil"/>
              <w:left w:val="nil"/>
              <w:bottom w:val="single" w:sz="4" w:space="0" w:color="auto"/>
              <w:right w:val="single" w:sz="4" w:space="0" w:color="auto"/>
            </w:tcBorders>
            <w:shd w:val="clear" w:color="auto" w:fill="auto"/>
            <w:noWrap/>
            <w:vAlign w:val="bottom"/>
            <w:hideMark/>
          </w:tcPr>
          <w:p w14:paraId="17CB0BF0"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188</w:t>
            </w:r>
          </w:p>
        </w:tc>
        <w:tc>
          <w:tcPr>
            <w:tcW w:w="0" w:type="auto"/>
            <w:tcBorders>
              <w:top w:val="nil"/>
              <w:left w:val="nil"/>
              <w:bottom w:val="single" w:sz="4" w:space="0" w:color="auto"/>
              <w:right w:val="single" w:sz="4" w:space="0" w:color="auto"/>
            </w:tcBorders>
            <w:shd w:val="clear" w:color="auto" w:fill="auto"/>
            <w:noWrap/>
            <w:vAlign w:val="bottom"/>
            <w:hideMark/>
          </w:tcPr>
          <w:p w14:paraId="6395B4C0"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150</w:t>
            </w:r>
          </w:p>
        </w:tc>
      </w:tr>
      <w:tr w:rsidR="007F09C3" w:rsidRPr="007F09C3" w14:paraId="2ACAC7C1" w14:textId="77777777" w:rsidTr="00E3409C">
        <w:trPr>
          <w:trHeight w:val="280"/>
          <w:jc w:val="center"/>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247D2C"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Empleados</w:t>
            </w:r>
          </w:p>
        </w:tc>
        <w:tc>
          <w:tcPr>
            <w:tcW w:w="0" w:type="auto"/>
            <w:tcBorders>
              <w:top w:val="nil"/>
              <w:left w:val="nil"/>
              <w:bottom w:val="single" w:sz="4" w:space="0" w:color="auto"/>
              <w:right w:val="single" w:sz="4" w:space="0" w:color="auto"/>
            </w:tcBorders>
            <w:shd w:val="clear" w:color="auto" w:fill="auto"/>
            <w:noWrap/>
            <w:vAlign w:val="bottom"/>
            <w:hideMark/>
          </w:tcPr>
          <w:p w14:paraId="6BE2B9EE"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19</w:t>
            </w:r>
          </w:p>
        </w:tc>
        <w:tc>
          <w:tcPr>
            <w:tcW w:w="0" w:type="auto"/>
            <w:tcBorders>
              <w:top w:val="nil"/>
              <w:left w:val="nil"/>
              <w:bottom w:val="single" w:sz="4" w:space="0" w:color="auto"/>
              <w:right w:val="single" w:sz="4" w:space="0" w:color="auto"/>
            </w:tcBorders>
            <w:shd w:val="clear" w:color="auto" w:fill="auto"/>
            <w:noWrap/>
            <w:vAlign w:val="bottom"/>
            <w:hideMark/>
          </w:tcPr>
          <w:p w14:paraId="7403C699"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20</w:t>
            </w:r>
          </w:p>
        </w:tc>
        <w:tc>
          <w:tcPr>
            <w:tcW w:w="0" w:type="auto"/>
            <w:tcBorders>
              <w:top w:val="nil"/>
              <w:left w:val="nil"/>
              <w:bottom w:val="single" w:sz="4" w:space="0" w:color="auto"/>
              <w:right w:val="single" w:sz="4" w:space="0" w:color="auto"/>
            </w:tcBorders>
            <w:shd w:val="clear" w:color="auto" w:fill="auto"/>
            <w:noWrap/>
            <w:vAlign w:val="bottom"/>
            <w:hideMark/>
          </w:tcPr>
          <w:p w14:paraId="4FE6C9CD"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21</w:t>
            </w:r>
          </w:p>
        </w:tc>
        <w:tc>
          <w:tcPr>
            <w:tcW w:w="0" w:type="auto"/>
            <w:tcBorders>
              <w:top w:val="nil"/>
              <w:left w:val="nil"/>
              <w:bottom w:val="single" w:sz="4" w:space="0" w:color="auto"/>
              <w:right w:val="single" w:sz="4" w:space="0" w:color="auto"/>
            </w:tcBorders>
            <w:shd w:val="clear" w:color="auto" w:fill="auto"/>
            <w:noWrap/>
            <w:vAlign w:val="bottom"/>
            <w:hideMark/>
          </w:tcPr>
          <w:p w14:paraId="63D89ECD"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21</w:t>
            </w:r>
          </w:p>
        </w:tc>
        <w:tc>
          <w:tcPr>
            <w:tcW w:w="0" w:type="auto"/>
            <w:tcBorders>
              <w:top w:val="nil"/>
              <w:left w:val="nil"/>
              <w:bottom w:val="single" w:sz="4" w:space="0" w:color="auto"/>
              <w:right w:val="single" w:sz="4" w:space="0" w:color="auto"/>
            </w:tcBorders>
            <w:shd w:val="clear" w:color="auto" w:fill="auto"/>
            <w:noWrap/>
            <w:vAlign w:val="bottom"/>
            <w:hideMark/>
          </w:tcPr>
          <w:p w14:paraId="08511CCE"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27</w:t>
            </w:r>
          </w:p>
        </w:tc>
      </w:tr>
      <w:tr w:rsidR="007F09C3" w:rsidRPr="007F09C3" w14:paraId="5D9C36AF" w14:textId="77777777" w:rsidTr="00E3409C">
        <w:trPr>
          <w:trHeight w:val="280"/>
          <w:jc w:val="center"/>
        </w:trPr>
        <w:tc>
          <w:tcPr>
            <w:tcW w:w="0" w:type="auto"/>
            <w:tcBorders>
              <w:top w:val="nil"/>
              <w:left w:val="nil"/>
              <w:bottom w:val="nil"/>
              <w:right w:val="nil"/>
            </w:tcBorders>
            <w:shd w:val="clear" w:color="auto" w:fill="auto"/>
            <w:noWrap/>
            <w:vAlign w:val="bottom"/>
            <w:hideMark/>
          </w:tcPr>
          <w:p w14:paraId="405E0471" w14:textId="77777777" w:rsidR="007F09C3" w:rsidRPr="007F09C3" w:rsidRDefault="007F09C3" w:rsidP="007F09C3">
            <w:pPr>
              <w:rPr>
                <w:rFonts w:ascii="Arial Narrow" w:hAnsi="Arial Narrow"/>
                <w:color w:val="000000"/>
                <w:sz w:val="24"/>
                <w:szCs w:val="24"/>
                <w:lang w:eastAsia="es-CO"/>
              </w:rPr>
            </w:pPr>
            <w:r w:rsidRPr="007F09C3">
              <w:rPr>
                <w:rFonts w:ascii="Arial Narrow" w:hAnsi="Arial Narrow"/>
                <w:color w:val="000000"/>
                <w:sz w:val="24"/>
                <w:szCs w:val="24"/>
                <w:lang w:eastAsia="es-CO"/>
              </w:rPr>
              <w:t>Mujeres</w:t>
            </w:r>
          </w:p>
        </w:tc>
        <w:tc>
          <w:tcPr>
            <w:tcW w:w="0" w:type="auto"/>
            <w:tcBorders>
              <w:top w:val="nil"/>
              <w:left w:val="nil"/>
              <w:bottom w:val="nil"/>
              <w:right w:val="nil"/>
            </w:tcBorders>
            <w:shd w:val="clear" w:color="auto" w:fill="auto"/>
            <w:noWrap/>
            <w:vAlign w:val="bottom"/>
            <w:hideMark/>
          </w:tcPr>
          <w:p w14:paraId="71DD27E8"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23%</w:t>
            </w:r>
          </w:p>
        </w:tc>
        <w:tc>
          <w:tcPr>
            <w:tcW w:w="0" w:type="auto"/>
            <w:tcBorders>
              <w:top w:val="nil"/>
              <w:left w:val="nil"/>
              <w:bottom w:val="nil"/>
              <w:right w:val="nil"/>
            </w:tcBorders>
            <w:shd w:val="clear" w:color="auto" w:fill="auto"/>
            <w:noWrap/>
            <w:vAlign w:val="bottom"/>
            <w:hideMark/>
          </w:tcPr>
          <w:p w14:paraId="4C50ECB6"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24%</w:t>
            </w:r>
          </w:p>
        </w:tc>
        <w:tc>
          <w:tcPr>
            <w:tcW w:w="0" w:type="auto"/>
            <w:tcBorders>
              <w:top w:val="nil"/>
              <w:left w:val="nil"/>
              <w:bottom w:val="nil"/>
              <w:right w:val="nil"/>
            </w:tcBorders>
            <w:shd w:val="clear" w:color="auto" w:fill="auto"/>
            <w:noWrap/>
            <w:vAlign w:val="bottom"/>
            <w:hideMark/>
          </w:tcPr>
          <w:p w14:paraId="5795DEA7"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25%</w:t>
            </w:r>
          </w:p>
        </w:tc>
        <w:tc>
          <w:tcPr>
            <w:tcW w:w="0" w:type="auto"/>
            <w:tcBorders>
              <w:top w:val="nil"/>
              <w:left w:val="nil"/>
              <w:bottom w:val="nil"/>
              <w:right w:val="nil"/>
            </w:tcBorders>
            <w:shd w:val="clear" w:color="auto" w:fill="auto"/>
            <w:noWrap/>
            <w:vAlign w:val="bottom"/>
            <w:hideMark/>
          </w:tcPr>
          <w:p w14:paraId="2B8B9306"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25%</w:t>
            </w:r>
          </w:p>
        </w:tc>
        <w:tc>
          <w:tcPr>
            <w:tcW w:w="0" w:type="auto"/>
            <w:tcBorders>
              <w:top w:val="nil"/>
              <w:left w:val="nil"/>
              <w:bottom w:val="nil"/>
              <w:right w:val="nil"/>
            </w:tcBorders>
            <w:shd w:val="clear" w:color="auto" w:fill="auto"/>
            <w:noWrap/>
            <w:vAlign w:val="bottom"/>
            <w:hideMark/>
          </w:tcPr>
          <w:p w14:paraId="2494054E" w14:textId="77777777" w:rsidR="007F09C3" w:rsidRPr="007F09C3" w:rsidRDefault="007F09C3" w:rsidP="007F09C3">
            <w:pPr>
              <w:jc w:val="right"/>
              <w:rPr>
                <w:rFonts w:ascii="Arial Narrow" w:hAnsi="Arial Narrow"/>
                <w:color w:val="000000"/>
                <w:sz w:val="24"/>
                <w:szCs w:val="24"/>
                <w:lang w:eastAsia="es-CO"/>
              </w:rPr>
            </w:pPr>
            <w:r w:rsidRPr="007F09C3">
              <w:rPr>
                <w:rFonts w:ascii="Arial Narrow" w:hAnsi="Arial Narrow"/>
                <w:color w:val="000000"/>
                <w:sz w:val="24"/>
                <w:szCs w:val="24"/>
                <w:lang w:eastAsia="es-CO"/>
              </w:rPr>
              <w:t>25%</w:t>
            </w:r>
          </w:p>
        </w:tc>
      </w:tr>
    </w:tbl>
    <w:p w14:paraId="4CEABE00" w14:textId="77777777" w:rsidR="007F09C3" w:rsidRPr="007F09C3" w:rsidRDefault="007F09C3" w:rsidP="007F09C3">
      <w:pPr>
        <w:jc w:val="both"/>
        <w:rPr>
          <w:rFonts w:ascii="Arial Narrow" w:hAnsi="Arial Narrow"/>
          <w:sz w:val="24"/>
          <w:szCs w:val="24"/>
        </w:rPr>
      </w:pPr>
    </w:p>
    <w:p w14:paraId="6487EB73" w14:textId="42C8ED94"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La base social se incrementó gracias a que los retiros disminuyeron de un promedio de 190 en los dos años precedentes a 150 en el </w:t>
      </w:r>
      <w:r w:rsidR="00662D26">
        <w:rPr>
          <w:rFonts w:ascii="Arial Narrow" w:hAnsi="Arial Narrow"/>
          <w:sz w:val="24"/>
          <w:szCs w:val="24"/>
        </w:rPr>
        <w:t>2021</w:t>
      </w:r>
      <w:r w:rsidRPr="007F09C3">
        <w:rPr>
          <w:rFonts w:ascii="Arial Narrow" w:hAnsi="Arial Narrow"/>
          <w:sz w:val="24"/>
          <w:szCs w:val="24"/>
        </w:rPr>
        <w:t xml:space="preserve"> mientras los ingresos se incrementaron de los 141 del </w:t>
      </w:r>
      <w:r w:rsidR="00662D26">
        <w:rPr>
          <w:rFonts w:ascii="Arial Narrow" w:hAnsi="Arial Narrow"/>
          <w:sz w:val="24"/>
          <w:szCs w:val="24"/>
        </w:rPr>
        <w:t>2020</w:t>
      </w:r>
      <w:r w:rsidRPr="007F09C3">
        <w:rPr>
          <w:rFonts w:ascii="Arial Narrow" w:hAnsi="Arial Narrow"/>
          <w:sz w:val="24"/>
          <w:szCs w:val="24"/>
        </w:rPr>
        <w:t xml:space="preserve"> a 159, tendencia que esperamos mantener en el 2019:</w:t>
      </w:r>
    </w:p>
    <w:p w14:paraId="4D6098BB" w14:textId="77777777" w:rsidR="007F09C3" w:rsidRPr="007F09C3" w:rsidRDefault="007F09C3" w:rsidP="007F09C3">
      <w:pPr>
        <w:jc w:val="both"/>
        <w:rPr>
          <w:rFonts w:ascii="Arial Narrow" w:hAnsi="Arial Narrow"/>
          <w:sz w:val="24"/>
          <w:szCs w:val="24"/>
        </w:rPr>
      </w:pPr>
    </w:p>
    <w:tbl>
      <w:tblPr>
        <w:tblStyle w:val="Tablaconcuadrcula"/>
        <w:tblW w:w="0" w:type="auto"/>
        <w:tblLook w:val="04A0" w:firstRow="1" w:lastRow="0" w:firstColumn="1" w:lastColumn="0" w:noHBand="0" w:noVBand="1"/>
      </w:tblPr>
      <w:tblGrid>
        <w:gridCol w:w="4776"/>
        <w:gridCol w:w="4766"/>
      </w:tblGrid>
      <w:tr w:rsidR="000E041A" w14:paraId="64BA620D" w14:textId="77777777" w:rsidTr="00D24F68">
        <w:tc>
          <w:tcPr>
            <w:tcW w:w="4771" w:type="dxa"/>
          </w:tcPr>
          <w:p w14:paraId="2337AA85" w14:textId="77777777" w:rsidR="000E041A" w:rsidRDefault="000E041A" w:rsidP="00D24F68">
            <w:pPr>
              <w:jc w:val="both"/>
              <w:rPr>
                <w:rFonts w:ascii="Arial Narrow" w:hAnsi="Arial Narrow"/>
                <w:sz w:val="24"/>
                <w:szCs w:val="24"/>
              </w:rPr>
            </w:pPr>
            <w:r w:rsidRPr="007F09C3">
              <w:rPr>
                <w:rFonts w:ascii="Arial Narrow" w:hAnsi="Arial Narrow"/>
                <w:noProof/>
                <w:sz w:val="24"/>
                <w:szCs w:val="24"/>
                <w:lang w:eastAsia="es-CO"/>
              </w:rPr>
              <w:drawing>
                <wp:inline distT="0" distB="0" distL="0" distR="0" wp14:anchorId="5D5082BC" wp14:editId="74B4435B">
                  <wp:extent cx="2890942" cy="1713003"/>
                  <wp:effectExtent l="0" t="0" r="5080" b="1905"/>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4771" w:type="dxa"/>
          </w:tcPr>
          <w:p w14:paraId="29956E6F" w14:textId="77777777" w:rsidR="000E041A" w:rsidRDefault="000E041A" w:rsidP="00D24F68">
            <w:pPr>
              <w:jc w:val="both"/>
              <w:rPr>
                <w:rFonts w:ascii="Arial Narrow" w:hAnsi="Arial Narrow"/>
                <w:sz w:val="24"/>
                <w:szCs w:val="24"/>
              </w:rPr>
            </w:pPr>
            <w:r w:rsidRPr="007F09C3">
              <w:rPr>
                <w:rFonts w:ascii="Arial Narrow" w:hAnsi="Arial Narrow"/>
                <w:noProof/>
                <w:sz w:val="24"/>
                <w:szCs w:val="24"/>
                <w:lang w:eastAsia="es-CO"/>
              </w:rPr>
              <w:drawing>
                <wp:inline distT="0" distB="0" distL="0" distR="0" wp14:anchorId="4288EAD3" wp14:editId="19A588BB">
                  <wp:extent cx="2854960" cy="1641128"/>
                  <wp:effectExtent l="0" t="0" r="2540" b="1651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bl>
    <w:p w14:paraId="0DD024BD" w14:textId="4CF846F4" w:rsidR="007F09C3" w:rsidRPr="007F09C3" w:rsidRDefault="007F09C3" w:rsidP="000E041A">
      <w:pPr>
        <w:rPr>
          <w:rFonts w:ascii="Arial Narrow" w:hAnsi="Arial Narrow"/>
          <w:sz w:val="24"/>
          <w:szCs w:val="24"/>
        </w:rPr>
      </w:pPr>
    </w:p>
    <w:p w14:paraId="051E223B" w14:textId="77777777" w:rsidR="007F09C3" w:rsidRDefault="007F09C3" w:rsidP="007F09C3">
      <w:pPr>
        <w:jc w:val="both"/>
        <w:rPr>
          <w:rFonts w:ascii="Arial Narrow" w:hAnsi="Arial Narrow"/>
          <w:sz w:val="24"/>
          <w:szCs w:val="24"/>
        </w:rPr>
      </w:pPr>
    </w:p>
    <w:p w14:paraId="1B112105" w14:textId="77777777" w:rsidR="000E041A" w:rsidRDefault="000E041A" w:rsidP="007F09C3">
      <w:pPr>
        <w:jc w:val="both"/>
        <w:rPr>
          <w:rFonts w:ascii="Arial Narrow" w:hAnsi="Arial Narrow"/>
          <w:sz w:val="24"/>
          <w:szCs w:val="24"/>
        </w:rPr>
      </w:pPr>
    </w:p>
    <w:p w14:paraId="7757AB50" w14:textId="77777777" w:rsidR="000E041A" w:rsidRPr="007F09C3" w:rsidRDefault="000E041A" w:rsidP="007F09C3">
      <w:pPr>
        <w:jc w:val="both"/>
        <w:rPr>
          <w:rFonts w:ascii="Arial Narrow" w:hAnsi="Arial Narrow"/>
          <w:sz w:val="24"/>
          <w:szCs w:val="24"/>
        </w:rPr>
      </w:pPr>
    </w:p>
    <w:p w14:paraId="7013F46B"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No obstante, la base social hace varios años está estancada oscilando en el rango de los 2100 a 2200 asociados, así que la expectativa es que, si no se cambia la estrategia y el mercado objetivo, la base social tiende a reducirse en el largo plazo y continuar su “envejecimiento” con lo cual la demanda de auxilios de solidaridad aumentará, los seguros de vida deudores serán más costosos y la demanda de crédito disminuirá, lo cual no es sostenible en el largo plazo.  </w:t>
      </w:r>
    </w:p>
    <w:p w14:paraId="4894958C" w14:textId="77777777" w:rsidR="007F09C3" w:rsidRPr="007F09C3" w:rsidRDefault="007F09C3" w:rsidP="007F09C3">
      <w:pPr>
        <w:jc w:val="both"/>
        <w:rPr>
          <w:rFonts w:ascii="Arial Narrow" w:hAnsi="Arial Narrow"/>
          <w:sz w:val="24"/>
          <w:szCs w:val="24"/>
        </w:rPr>
      </w:pPr>
    </w:p>
    <w:p w14:paraId="093C668D" w14:textId="5202F603" w:rsidR="007F09C3" w:rsidRPr="007F09C3" w:rsidRDefault="007F09C3" w:rsidP="007F09C3">
      <w:pPr>
        <w:jc w:val="both"/>
        <w:rPr>
          <w:rFonts w:ascii="Arial Narrow" w:hAnsi="Arial Narrow"/>
          <w:sz w:val="24"/>
          <w:szCs w:val="24"/>
        </w:rPr>
      </w:pPr>
      <w:r w:rsidRPr="007F09C3">
        <w:rPr>
          <w:rFonts w:ascii="Arial Narrow" w:hAnsi="Arial Narrow"/>
          <w:sz w:val="24"/>
          <w:szCs w:val="24"/>
        </w:rPr>
        <w:t>Es por esto que se requiere identificar nuevos nichos de crecimiento de asociados jóvenes (menores de 45 años) que garanticen una renovación ordenada de la base social en la siguiente década.</w:t>
      </w:r>
      <w:r w:rsidR="000E041A">
        <w:rPr>
          <w:rFonts w:ascii="Arial Narrow" w:hAnsi="Arial Narrow"/>
          <w:sz w:val="24"/>
          <w:szCs w:val="24"/>
        </w:rPr>
        <w:t xml:space="preserve"> </w:t>
      </w:r>
      <w:r w:rsidRPr="007F09C3">
        <w:rPr>
          <w:rFonts w:ascii="Arial Narrow" w:hAnsi="Arial Narrow"/>
          <w:sz w:val="24"/>
          <w:szCs w:val="24"/>
        </w:rPr>
        <w:t xml:space="preserve">La base social continúa compuesta tres cuartas partes por Hombres sin cambio en la composición desde el año </w:t>
      </w:r>
      <w:r w:rsidR="00C9643C">
        <w:rPr>
          <w:rFonts w:ascii="Arial Narrow" w:hAnsi="Arial Narrow"/>
          <w:sz w:val="24"/>
          <w:szCs w:val="24"/>
        </w:rPr>
        <w:t>2014</w:t>
      </w:r>
      <w:r w:rsidRPr="007F09C3">
        <w:rPr>
          <w:rFonts w:ascii="Arial Narrow" w:hAnsi="Arial Narrow"/>
          <w:sz w:val="24"/>
          <w:szCs w:val="24"/>
        </w:rPr>
        <w:t>:</w:t>
      </w:r>
    </w:p>
    <w:p w14:paraId="6D36EA57" w14:textId="77777777" w:rsidR="007F09C3" w:rsidRPr="007F09C3" w:rsidRDefault="007F09C3" w:rsidP="007F09C3">
      <w:pPr>
        <w:rPr>
          <w:rFonts w:ascii="Arial Narrow" w:hAnsi="Arial Narrow"/>
          <w:sz w:val="24"/>
          <w:szCs w:val="24"/>
        </w:rPr>
      </w:pPr>
    </w:p>
    <w:p w14:paraId="6EC8F181" w14:textId="77777777" w:rsidR="007F09C3" w:rsidRPr="007F09C3" w:rsidRDefault="007F09C3" w:rsidP="007F09C3">
      <w:pPr>
        <w:jc w:val="center"/>
        <w:rPr>
          <w:rFonts w:ascii="Arial Narrow" w:hAnsi="Arial Narrow"/>
          <w:sz w:val="24"/>
          <w:szCs w:val="24"/>
        </w:rPr>
      </w:pPr>
      <w:r w:rsidRPr="007F09C3">
        <w:rPr>
          <w:rFonts w:ascii="Arial Narrow" w:hAnsi="Arial Narrow"/>
          <w:noProof/>
          <w:sz w:val="24"/>
          <w:szCs w:val="24"/>
          <w:lang w:eastAsia="es-CO"/>
        </w:rPr>
        <w:lastRenderedPageBreak/>
        <w:drawing>
          <wp:inline distT="0" distB="0" distL="0" distR="0" wp14:anchorId="711549C1" wp14:editId="58BB6759">
            <wp:extent cx="4768995" cy="2555369"/>
            <wp:effectExtent l="0" t="0" r="12700" b="16510"/>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DE5E344" w14:textId="77777777" w:rsidR="007F09C3" w:rsidRPr="007F09C3" w:rsidRDefault="007F09C3" w:rsidP="007F09C3">
      <w:pPr>
        <w:rPr>
          <w:rFonts w:ascii="Arial Narrow" w:hAnsi="Arial Narrow"/>
          <w:sz w:val="24"/>
          <w:szCs w:val="24"/>
        </w:rPr>
      </w:pPr>
    </w:p>
    <w:p w14:paraId="674C75DA" w14:textId="24240914"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La gestión de cobranza de Cartera arroja excelentes resultados, pero también implican el retiro de algunos de ellos que se encuentran en MORA.  El Área de Cartera y cobranza en el año </w:t>
      </w:r>
      <w:r w:rsidR="00662D26">
        <w:rPr>
          <w:rFonts w:ascii="Arial Narrow" w:hAnsi="Arial Narrow" w:cs="Arial"/>
          <w:sz w:val="24"/>
          <w:szCs w:val="24"/>
        </w:rPr>
        <w:t>2021</w:t>
      </w:r>
      <w:r w:rsidRPr="007F09C3">
        <w:rPr>
          <w:rFonts w:ascii="Arial Narrow" w:hAnsi="Arial Narrow" w:cs="Arial"/>
          <w:sz w:val="24"/>
          <w:szCs w:val="24"/>
        </w:rPr>
        <w:t xml:space="preserve"> logró la disminución del indicador de cartera vencida y por ende la disminución de la cartera en mora. </w:t>
      </w:r>
    </w:p>
    <w:p w14:paraId="7B521757" w14:textId="77777777" w:rsidR="007F09C3" w:rsidRPr="007F09C3" w:rsidRDefault="007F09C3" w:rsidP="007F09C3">
      <w:pPr>
        <w:jc w:val="both"/>
        <w:rPr>
          <w:rFonts w:ascii="Arial Narrow" w:hAnsi="Arial Narrow" w:cs="Arial"/>
          <w:sz w:val="24"/>
          <w:szCs w:val="24"/>
        </w:rPr>
      </w:pPr>
    </w:p>
    <w:p w14:paraId="17565B12" w14:textId="700840E4" w:rsid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El indicador de cartera vencida en el segundo semestre de </w:t>
      </w:r>
      <w:r w:rsidR="00662D26">
        <w:rPr>
          <w:rFonts w:ascii="Arial Narrow" w:hAnsi="Arial Narrow" w:cs="Arial"/>
          <w:sz w:val="24"/>
          <w:szCs w:val="24"/>
        </w:rPr>
        <w:t>2021</w:t>
      </w:r>
      <w:r w:rsidRPr="007F09C3">
        <w:rPr>
          <w:rFonts w:ascii="Arial Narrow" w:hAnsi="Arial Narrow" w:cs="Arial"/>
          <w:sz w:val="24"/>
          <w:szCs w:val="24"/>
        </w:rPr>
        <w:t xml:space="preserve"> exceptuando noviembre se mantuvo por debajo del 5%, pues en el histórico que se tiene desde el año 2009 no se evidencian resultados similares.  Históricamente el resultado más bajo de este indicador es el obtenido en agosto de </w:t>
      </w:r>
      <w:r w:rsidR="00662D26">
        <w:rPr>
          <w:rFonts w:ascii="Arial Narrow" w:hAnsi="Arial Narrow" w:cs="Arial"/>
          <w:sz w:val="24"/>
          <w:szCs w:val="24"/>
        </w:rPr>
        <w:t>2021</w:t>
      </w:r>
      <w:r w:rsidRPr="007F09C3">
        <w:rPr>
          <w:rFonts w:ascii="Arial Narrow" w:hAnsi="Arial Narrow" w:cs="Arial"/>
          <w:sz w:val="24"/>
          <w:szCs w:val="24"/>
        </w:rPr>
        <w:t xml:space="preserve"> con 3.87%:</w:t>
      </w:r>
    </w:p>
    <w:p w14:paraId="5787A775" w14:textId="77777777" w:rsidR="00C9643C" w:rsidRDefault="00C9643C" w:rsidP="007F09C3">
      <w:pPr>
        <w:jc w:val="both"/>
        <w:rPr>
          <w:rFonts w:ascii="Arial Narrow" w:hAnsi="Arial Narrow" w:cs="Arial"/>
          <w:sz w:val="24"/>
          <w:szCs w:val="24"/>
        </w:rPr>
      </w:pPr>
    </w:p>
    <w:tbl>
      <w:tblPr>
        <w:tblStyle w:val="Tablaconcuadrcula"/>
        <w:tblW w:w="0" w:type="auto"/>
        <w:tblLook w:val="04A0" w:firstRow="1" w:lastRow="0" w:firstColumn="1" w:lastColumn="0" w:noHBand="0" w:noVBand="1"/>
      </w:tblPr>
      <w:tblGrid>
        <w:gridCol w:w="4806"/>
        <w:gridCol w:w="4736"/>
      </w:tblGrid>
      <w:tr w:rsidR="00C9643C" w14:paraId="5F0F20B8" w14:textId="77777777" w:rsidTr="00C9643C">
        <w:tc>
          <w:tcPr>
            <w:tcW w:w="4771" w:type="dxa"/>
          </w:tcPr>
          <w:p w14:paraId="4FF8DDFA" w14:textId="7284C4F9" w:rsidR="00C9643C" w:rsidRDefault="00C9643C" w:rsidP="007F09C3">
            <w:pPr>
              <w:jc w:val="both"/>
              <w:rPr>
                <w:rFonts w:ascii="Arial Narrow" w:hAnsi="Arial Narrow" w:cs="Arial"/>
                <w:sz w:val="24"/>
                <w:szCs w:val="24"/>
              </w:rPr>
            </w:pPr>
            <w:r w:rsidRPr="007F09C3">
              <w:rPr>
                <w:rFonts w:ascii="Arial Narrow" w:hAnsi="Arial Narrow" w:cs="Arial"/>
                <w:noProof/>
                <w:sz w:val="24"/>
                <w:szCs w:val="24"/>
                <w:lang w:eastAsia="es-CO"/>
              </w:rPr>
              <w:drawing>
                <wp:inline distT="0" distB="0" distL="0" distR="0" wp14:anchorId="6A856C4E" wp14:editId="36B1D53E">
                  <wp:extent cx="2910907" cy="1830705"/>
                  <wp:effectExtent l="0" t="0" r="381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942677" cy="1850685"/>
                          </a:xfrm>
                          <a:prstGeom prst="rect">
                            <a:avLst/>
                          </a:prstGeom>
                          <a:noFill/>
                        </pic:spPr>
                      </pic:pic>
                    </a:graphicData>
                  </a:graphic>
                </wp:inline>
              </w:drawing>
            </w:r>
          </w:p>
        </w:tc>
        <w:tc>
          <w:tcPr>
            <w:tcW w:w="4771" w:type="dxa"/>
          </w:tcPr>
          <w:p w14:paraId="1968A859" w14:textId="4738AC60" w:rsidR="00C9643C" w:rsidRDefault="00C9643C" w:rsidP="007F09C3">
            <w:pPr>
              <w:jc w:val="both"/>
              <w:rPr>
                <w:rFonts w:ascii="Arial Narrow" w:hAnsi="Arial Narrow" w:cs="Arial"/>
                <w:sz w:val="24"/>
                <w:szCs w:val="24"/>
              </w:rPr>
            </w:pPr>
            <w:r w:rsidRPr="007F09C3">
              <w:rPr>
                <w:rFonts w:ascii="Arial Narrow" w:hAnsi="Arial Narrow" w:cs="Arial"/>
                <w:noProof/>
                <w:sz w:val="24"/>
                <w:szCs w:val="24"/>
                <w:lang w:eastAsia="es-CO"/>
              </w:rPr>
              <w:drawing>
                <wp:inline distT="0" distB="0" distL="0" distR="0" wp14:anchorId="6439C5E6" wp14:editId="774E1389">
                  <wp:extent cx="2842895" cy="1760918"/>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71357" cy="1778548"/>
                          </a:xfrm>
                          <a:prstGeom prst="rect">
                            <a:avLst/>
                          </a:prstGeom>
                          <a:noFill/>
                        </pic:spPr>
                      </pic:pic>
                    </a:graphicData>
                  </a:graphic>
                </wp:inline>
              </w:drawing>
            </w:r>
          </w:p>
        </w:tc>
      </w:tr>
    </w:tbl>
    <w:p w14:paraId="71BEAC27" w14:textId="77777777" w:rsidR="00C9643C" w:rsidRPr="007F09C3" w:rsidRDefault="00C9643C" w:rsidP="007F09C3">
      <w:pPr>
        <w:jc w:val="both"/>
        <w:rPr>
          <w:rFonts w:ascii="Arial Narrow" w:hAnsi="Arial Narrow" w:cs="Arial"/>
          <w:sz w:val="24"/>
          <w:szCs w:val="24"/>
        </w:rPr>
      </w:pPr>
    </w:p>
    <w:p w14:paraId="4092BF5D" w14:textId="0764106B"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En los dos últimos años se ha logrado la tendencia más baja desde que se tiene registro (2009), además se pasó de la categoría roja (&gt;5%) en el umbral de la </w:t>
      </w:r>
      <w:r w:rsidR="00C9643C">
        <w:rPr>
          <w:rFonts w:ascii="Arial Narrow" w:hAnsi="Arial Narrow" w:cs="Arial"/>
          <w:sz w:val="24"/>
          <w:szCs w:val="24"/>
        </w:rPr>
        <w:t>Su</w:t>
      </w:r>
      <w:r w:rsidRPr="007F09C3">
        <w:rPr>
          <w:rFonts w:ascii="Arial Narrow" w:hAnsi="Arial Narrow" w:cs="Arial"/>
          <w:sz w:val="24"/>
          <w:szCs w:val="24"/>
        </w:rPr>
        <w:t xml:space="preserve">persolidaria y se logró llegar a la categoría amarilla (&gt;3&lt;=5) en los meses de junio, julio, agosto, septiembre, octubre y en los cierres anules de </w:t>
      </w:r>
      <w:r w:rsidR="00662D26">
        <w:rPr>
          <w:rFonts w:ascii="Arial Narrow" w:hAnsi="Arial Narrow" w:cs="Arial"/>
          <w:sz w:val="24"/>
          <w:szCs w:val="24"/>
        </w:rPr>
        <w:t>2020</w:t>
      </w:r>
      <w:r w:rsidRPr="007F09C3">
        <w:rPr>
          <w:rFonts w:ascii="Arial Narrow" w:hAnsi="Arial Narrow" w:cs="Arial"/>
          <w:sz w:val="24"/>
          <w:szCs w:val="24"/>
        </w:rPr>
        <w:t xml:space="preserve"> y </w:t>
      </w:r>
      <w:r w:rsidR="00662D26">
        <w:rPr>
          <w:rFonts w:ascii="Arial Narrow" w:hAnsi="Arial Narrow" w:cs="Arial"/>
          <w:sz w:val="24"/>
          <w:szCs w:val="24"/>
        </w:rPr>
        <w:t>2021</w:t>
      </w:r>
      <w:r w:rsidRPr="007F09C3">
        <w:rPr>
          <w:rFonts w:ascii="Arial Narrow" w:hAnsi="Arial Narrow" w:cs="Arial"/>
          <w:sz w:val="24"/>
          <w:szCs w:val="24"/>
        </w:rPr>
        <w:t>.</w:t>
      </w:r>
    </w:p>
    <w:p w14:paraId="58C42368" w14:textId="77777777" w:rsidR="007F09C3" w:rsidRPr="007F09C3" w:rsidRDefault="007F09C3" w:rsidP="007F09C3">
      <w:pPr>
        <w:jc w:val="both"/>
        <w:rPr>
          <w:rFonts w:ascii="Arial Narrow" w:hAnsi="Arial Narrow" w:cs="Arial"/>
          <w:sz w:val="24"/>
          <w:szCs w:val="24"/>
        </w:rPr>
      </w:pPr>
    </w:p>
    <w:p w14:paraId="778F37B3" w14:textId="77777777" w:rsidR="007F09C3" w:rsidRPr="007F09C3" w:rsidRDefault="007F09C3" w:rsidP="007F09C3">
      <w:pPr>
        <w:rPr>
          <w:rFonts w:ascii="Arial Narrow" w:hAnsi="Arial Narrow" w:cs="Arial"/>
          <w:sz w:val="24"/>
          <w:szCs w:val="24"/>
        </w:rPr>
      </w:pPr>
      <w:r w:rsidRPr="007F09C3">
        <w:rPr>
          <w:rFonts w:ascii="Arial Narrow" w:hAnsi="Arial Narrow" w:cs="Arial"/>
          <w:noProof/>
          <w:sz w:val="24"/>
          <w:szCs w:val="24"/>
          <w:lang w:eastAsia="es-CO"/>
        </w:rPr>
        <w:lastRenderedPageBreak/>
        <w:drawing>
          <wp:inline distT="0" distB="0" distL="0" distR="0" wp14:anchorId="11D00176" wp14:editId="73D4C0FD">
            <wp:extent cx="6177643" cy="2334986"/>
            <wp:effectExtent l="0" t="0" r="13970" b="8255"/>
            <wp:docPr id="15" name="Gráfico 15">
              <a:extLst xmlns:a="http://schemas.openxmlformats.org/drawingml/2006/main">
                <a:ext uri="{FF2B5EF4-FFF2-40B4-BE49-F238E27FC236}">
                  <a16:creationId xmlns:a16="http://schemas.microsoft.com/office/drawing/2014/main" id="{630F306C-61A7-4CDF-AF42-20CEFD56C33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4C58D5F2" w14:textId="77777777" w:rsidR="007F09C3" w:rsidRPr="007F09C3" w:rsidRDefault="007F09C3" w:rsidP="007F09C3">
      <w:pPr>
        <w:jc w:val="both"/>
        <w:rPr>
          <w:rFonts w:ascii="Arial Narrow" w:hAnsi="Arial Narrow" w:cs="Arial"/>
          <w:b/>
          <w:sz w:val="24"/>
          <w:szCs w:val="24"/>
          <w:lang w:val="es-MX"/>
        </w:rPr>
      </w:pPr>
    </w:p>
    <w:p w14:paraId="3B2F62AE" w14:textId="77777777" w:rsidR="007F09C3" w:rsidRPr="007F09C3" w:rsidRDefault="007F09C3" w:rsidP="007F09C3">
      <w:pPr>
        <w:rPr>
          <w:rFonts w:ascii="Arial Narrow" w:hAnsi="Arial Narrow"/>
          <w:sz w:val="24"/>
          <w:szCs w:val="24"/>
        </w:rPr>
      </w:pPr>
    </w:p>
    <w:p w14:paraId="23E9736C" w14:textId="77777777" w:rsidR="007F09C3" w:rsidRPr="007F09C3" w:rsidRDefault="007F09C3" w:rsidP="00096788">
      <w:pPr>
        <w:pStyle w:val="Prrafodelista"/>
        <w:numPr>
          <w:ilvl w:val="1"/>
          <w:numId w:val="1"/>
        </w:numPr>
        <w:shd w:val="clear" w:color="auto" w:fill="E2EFD9" w:themeFill="accent6" w:themeFillTint="33"/>
        <w:contextualSpacing/>
        <w:jc w:val="both"/>
        <w:rPr>
          <w:rFonts w:ascii="Arial Narrow" w:hAnsi="Arial Narrow"/>
          <w:b/>
          <w:i/>
          <w:sz w:val="24"/>
          <w:szCs w:val="24"/>
        </w:rPr>
      </w:pPr>
      <w:r w:rsidRPr="007F09C3">
        <w:rPr>
          <w:rFonts w:ascii="Arial Narrow" w:hAnsi="Arial Narrow"/>
          <w:b/>
          <w:i/>
          <w:sz w:val="24"/>
          <w:szCs w:val="24"/>
          <w:lang w:val="es-AR"/>
        </w:rPr>
        <w:t>Objetivo 4: Asegurar la calidad en la atención de los asociados y la gestión integral de riesgos con un talento humano competente y motivado.</w:t>
      </w:r>
    </w:p>
    <w:p w14:paraId="4DFDB147" w14:textId="77777777" w:rsidR="007F09C3" w:rsidRPr="007F09C3" w:rsidRDefault="007F09C3" w:rsidP="007F09C3">
      <w:pPr>
        <w:rPr>
          <w:rFonts w:ascii="Arial Narrow" w:hAnsi="Arial Narrow"/>
          <w:sz w:val="24"/>
          <w:szCs w:val="24"/>
        </w:rPr>
      </w:pPr>
    </w:p>
    <w:p w14:paraId="1886CFBB" w14:textId="097853E8"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Como hemos visto hasta el momento, durante la vigencia </w:t>
      </w:r>
      <w:r w:rsidR="00662D26">
        <w:rPr>
          <w:rFonts w:ascii="Arial Narrow" w:hAnsi="Arial Narrow" w:cs="Arial"/>
          <w:sz w:val="24"/>
          <w:szCs w:val="24"/>
        </w:rPr>
        <w:t>2021</w:t>
      </w:r>
      <w:r w:rsidRPr="007F09C3">
        <w:rPr>
          <w:rFonts w:ascii="Arial Narrow" w:hAnsi="Arial Narrow" w:cs="Arial"/>
          <w:sz w:val="24"/>
          <w:szCs w:val="24"/>
        </w:rPr>
        <w:t xml:space="preserve"> el </w:t>
      </w:r>
      <w:r w:rsidR="00096788">
        <w:rPr>
          <w:rFonts w:ascii="Arial Narrow" w:hAnsi="Arial Narrow" w:cs="Arial"/>
          <w:sz w:val="24"/>
          <w:szCs w:val="24"/>
        </w:rPr>
        <w:t>Cooperativa</w:t>
      </w:r>
      <w:r w:rsidRPr="007F09C3">
        <w:rPr>
          <w:rFonts w:ascii="Arial Narrow" w:hAnsi="Arial Narrow" w:cs="Arial"/>
          <w:sz w:val="24"/>
          <w:szCs w:val="24"/>
        </w:rPr>
        <w:t xml:space="preserve"> obtuvo significativos logros como:</w:t>
      </w:r>
    </w:p>
    <w:p w14:paraId="06DBF1BC" w14:textId="77777777" w:rsidR="007F09C3" w:rsidRPr="007F09C3" w:rsidRDefault="007F09C3" w:rsidP="007F09C3">
      <w:pPr>
        <w:jc w:val="both"/>
        <w:rPr>
          <w:rFonts w:ascii="Arial Narrow" w:hAnsi="Arial Narrow" w:cs="Arial"/>
          <w:sz w:val="24"/>
          <w:szCs w:val="24"/>
        </w:rPr>
      </w:pPr>
    </w:p>
    <w:p w14:paraId="3ED560A2" w14:textId="77777777" w:rsidR="007F09C3" w:rsidRPr="007F09C3" w:rsidRDefault="007F09C3" w:rsidP="007F09C3">
      <w:pPr>
        <w:pStyle w:val="Prrafodelista"/>
        <w:numPr>
          <w:ilvl w:val="0"/>
          <w:numId w:val="10"/>
        </w:numPr>
        <w:contextualSpacing/>
        <w:jc w:val="both"/>
        <w:rPr>
          <w:rFonts w:ascii="Arial Narrow" w:hAnsi="Arial Narrow" w:cs="Arial"/>
          <w:sz w:val="24"/>
          <w:szCs w:val="24"/>
        </w:rPr>
      </w:pPr>
      <w:r w:rsidRPr="007F09C3">
        <w:rPr>
          <w:rFonts w:ascii="Arial Narrow" w:hAnsi="Arial Narrow" w:cs="Arial"/>
          <w:sz w:val="24"/>
          <w:szCs w:val="24"/>
        </w:rPr>
        <w:t>Culminación y cierre de procesos jurídicos con vigencia superior a 20 años, logrando una afectación inferior a la pronosticada y provisionada.</w:t>
      </w:r>
    </w:p>
    <w:p w14:paraId="1AE90E8E" w14:textId="5C5C6C43" w:rsidR="007F09C3" w:rsidRPr="007F09C3" w:rsidRDefault="007F09C3" w:rsidP="007F09C3">
      <w:pPr>
        <w:pStyle w:val="Prrafodelista"/>
        <w:numPr>
          <w:ilvl w:val="0"/>
          <w:numId w:val="10"/>
        </w:numPr>
        <w:contextualSpacing/>
        <w:jc w:val="both"/>
        <w:rPr>
          <w:rFonts w:ascii="Arial Narrow" w:hAnsi="Arial Narrow" w:cs="Arial"/>
          <w:sz w:val="24"/>
          <w:szCs w:val="24"/>
        </w:rPr>
      </w:pPr>
      <w:r w:rsidRPr="007F09C3">
        <w:rPr>
          <w:rFonts w:ascii="Arial Narrow" w:hAnsi="Arial Narrow" w:cs="Arial"/>
          <w:sz w:val="24"/>
          <w:szCs w:val="24"/>
        </w:rPr>
        <w:t xml:space="preserve">Mayor participación y representatividad de la base social en el direccionamiento administrativo de la Organización, conformándose la Asamblea General de </w:t>
      </w:r>
      <w:proofErr w:type="gramStart"/>
      <w:r w:rsidRPr="007F09C3">
        <w:rPr>
          <w:rFonts w:ascii="Arial Narrow" w:hAnsi="Arial Narrow" w:cs="Arial"/>
          <w:sz w:val="24"/>
          <w:szCs w:val="24"/>
        </w:rPr>
        <w:t>Delegados</w:t>
      </w:r>
      <w:proofErr w:type="gramEnd"/>
      <w:r w:rsidRPr="007F09C3">
        <w:rPr>
          <w:rFonts w:ascii="Arial Narrow" w:hAnsi="Arial Narrow" w:cs="Arial"/>
          <w:sz w:val="24"/>
          <w:szCs w:val="24"/>
        </w:rPr>
        <w:t xml:space="preserve"> con el mayor número de participantes en la historia del </w:t>
      </w:r>
      <w:r w:rsidR="00096788">
        <w:rPr>
          <w:rFonts w:ascii="Arial Narrow" w:hAnsi="Arial Narrow" w:cs="Arial"/>
          <w:sz w:val="24"/>
          <w:szCs w:val="24"/>
        </w:rPr>
        <w:t>Cooperativa</w:t>
      </w:r>
      <w:r w:rsidRPr="007F09C3">
        <w:rPr>
          <w:rFonts w:ascii="Arial Narrow" w:hAnsi="Arial Narrow" w:cs="Arial"/>
          <w:sz w:val="24"/>
          <w:szCs w:val="24"/>
        </w:rPr>
        <w:t>.</w:t>
      </w:r>
    </w:p>
    <w:p w14:paraId="79E0200B" w14:textId="08D2431B" w:rsidR="007F09C3" w:rsidRPr="007F09C3" w:rsidRDefault="007F09C3" w:rsidP="007F09C3">
      <w:pPr>
        <w:pStyle w:val="Prrafodelista"/>
        <w:numPr>
          <w:ilvl w:val="0"/>
          <w:numId w:val="10"/>
        </w:numPr>
        <w:contextualSpacing/>
        <w:jc w:val="both"/>
        <w:rPr>
          <w:rFonts w:ascii="Arial Narrow" w:hAnsi="Arial Narrow" w:cs="Arial"/>
          <w:sz w:val="24"/>
          <w:szCs w:val="24"/>
        </w:rPr>
      </w:pPr>
      <w:r w:rsidRPr="007F09C3">
        <w:rPr>
          <w:rFonts w:ascii="Arial Narrow" w:hAnsi="Arial Narrow" w:cs="Arial"/>
          <w:sz w:val="24"/>
          <w:szCs w:val="24"/>
        </w:rPr>
        <w:t xml:space="preserve">Actualización de toda la normatividad interna </w:t>
      </w:r>
      <w:r w:rsidR="00FF6290">
        <w:rPr>
          <w:rFonts w:ascii="Arial Narrow" w:hAnsi="Arial Narrow" w:cs="Arial"/>
          <w:sz w:val="24"/>
          <w:szCs w:val="24"/>
        </w:rPr>
        <w:t>de la Cooperativa</w:t>
      </w:r>
      <w:r w:rsidRPr="007F09C3">
        <w:rPr>
          <w:rFonts w:ascii="Arial Narrow" w:hAnsi="Arial Narrow" w:cs="Arial"/>
          <w:sz w:val="24"/>
          <w:szCs w:val="24"/>
        </w:rPr>
        <w:t>, atemperándola a la normatividad legal vigente expedida para el sector solidario y fondista.</w:t>
      </w:r>
    </w:p>
    <w:p w14:paraId="263A4A9F" w14:textId="77777777" w:rsidR="007F09C3" w:rsidRPr="007F09C3" w:rsidRDefault="007F09C3" w:rsidP="007F09C3">
      <w:pPr>
        <w:pStyle w:val="Prrafodelista"/>
        <w:numPr>
          <w:ilvl w:val="0"/>
          <w:numId w:val="10"/>
        </w:numPr>
        <w:contextualSpacing/>
        <w:jc w:val="both"/>
        <w:rPr>
          <w:rFonts w:ascii="Arial Narrow" w:hAnsi="Arial Narrow" w:cs="Arial"/>
          <w:sz w:val="24"/>
          <w:szCs w:val="24"/>
        </w:rPr>
      </w:pPr>
      <w:r w:rsidRPr="007F09C3">
        <w:rPr>
          <w:rFonts w:ascii="Arial Narrow" w:hAnsi="Arial Narrow" w:cs="Arial"/>
          <w:sz w:val="24"/>
          <w:szCs w:val="24"/>
        </w:rPr>
        <w:t>Participación masiva de la base social en los diferentes proyectos sociales, culturales, deportivos y ambientales programados y realizados por la Organización.</w:t>
      </w:r>
    </w:p>
    <w:p w14:paraId="254D7CB9" w14:textId="77777777" w:rsidR="007F09C3" w:rsidRPr="007F09C3" w:rsidRDefault="007F09C3" w:rsidP="007F09C3">
      <w:pPr>
        <w:jc w:val="both"/>
        <w:rPr>
          <w:rFonts w:ascii="Arial Narrow" w:hAnsi="Arial Narrow" w:cs="Arial"/>
          <w:sz w:val="24"/>
          <w:szCs w:val="24"/>
        </w:rPr>
      </w:pPr>
    </w:p>
    <w:p w14:paraId="28B67936" w14:textId="2BEB3D7F"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Cada una de las áreas del </w:t>
      </w:r>
      <w:r w:rsidR="00096788">
        <w:rPr>
          <w:rFonts w:ascii="Arial Narrow" w:hAnsi="Arial Narrow" w:cs="Arial"/>
          <w:sz w:val="24"/>
          <w:szCs w:val="24"/>
        </w:rPr>
        <w:t>Cooperativa</w:t>
      </w:r>
      <w:r w:rsidRPr="007F09C3">
        <w:rPr>
          <w:rFonts w:ascii="Arial Narrow" w:hAnsi="Arial Narrow" w:cs="Arial"/>
          <w:sz w:val="24"/>
          <w:szCs w:val="24"/>
        </w:rPr>
        <w:t xml:space="preserve"> contribuyó de manera directa y significativa al logro de tan positivos resultados:</w:t>
      </w:r>
    </w:p>
    <w:p w14:paraId="7B54C256" w14:textId="77777777" w:rsidR="007F09C3" w:rsidRPr="007F09C3" w:rsidRDefault="007F09C3" w:rsidP="007F09C3">
      <w:pPr>
        <w:rPr>
          <w:rFonts w:ascii="Arial Narrow" w:hAnsi="Arial Narrow"/>
          <w:sz w:val="24"/>
          <w:szCs w:val="24"/>
        </w:rPr>
      </w:pPr>
    </w:p>
    <w:p w14:paraId="7DB06682" w14:textId="77777777" w:rsidR="007F09C3" w:rsidRPr="007F09C3" w:rsidRDefault="007F09C3" w:rsidP="00096788">
      <w:pPr>
        <w:pStyle w:val="Prrafodelista"/>
        <w:numPr>
          <w:ilvl w:val="2"/>
          <w:numId w:val="1"/>
        </w:numPr>
        <w:contextualSpacing/>
        <w:rPr>
          <w:rFonts w:ascii="Arial Narrow" w:hAnsi="Arial Narrow"/>
          <w:b/>
          <w:sz w:val="24"/>
          <w:szCs w:val="24"/>
        </w:rPr>
      </w:pPr>
      <w:r w:rsidRPr="007F09C3">
        <w:rPr>
          <w:rFonts w:ascii="Arial Narrow" w:hAnsi="Arial Narrow"/>
          <w:b/>
          <w:sz w:val="24"/>
          <w:szCs w:val="24"/>
        </w:rPr>
        <w:t>Capital Humano</w:t>
      </w:r>
    </w:p>
    <w:p w14:paraId="7359806F" w14:textId="77777777" w:rsidR="007F09C3" w:rsidRPr="007F09C3" w:rsidRDefault="007F09C3" w:rsidP="007F09C3">
      <w:pPr>
        <w:pStyle w:val="Prrafodelista"/>
        <w:ind w:left="1080"/>
        <w:rPr>
          <w:rFonts w:ascii="Arial Narrow" w:hAnsi="Arial Narrow"/>
          <w:sz w:val="24"/>
          <w:szCs w:val="24"/>
        </w:rPr>
      </w:pPr>
    </w:p>
    <w:p w14:paraId="4BA1223A" w14:textId="6571C2CE" w:rsidR="007F09C3" w:rsidRPr="007F09C3" w:rsidRDefault="000E7401" w:rsidP="007F09C3">
      <w:pPr>
        <w:jc w:val="both"/>
        <w:rPr>
          <w:rFonts w:ascii="Arial Narrow" w:hAnsi="Arial Narrow"/>
          <w:sz w:val="24"/>
          <w:szCs w:val="24"/>
        </w:rPr>
      </w:pPr>
      <w:r>
        <w:rPr>
          <w:rFonts w:ascii="Arial Narrow" w:hAnsi="Arial Narrow"/>
          <w:sz w:val="24"/>
          <w:szCs w:val="24"/>
        </w:rPr>
        <w:t>El Consejo de Administración</w:t>
      </w:r>
      <w:r w:rsidR="007F09C3" w:rsidRPr="007F09C3">
        <w:rPr>
          <w:rFonts w:ascii="Arial Narrow" w:hAnsi="Arial Narrow"/>
          <w:sz w:val="24"/>
          <w:szCs w:val="24"/>
        </w:rPr>
        <w:t xml:space="preserve"> nombra diferentes comités para gestionar </w:t>
      </w:r>
      <w:r w:rsidR="00FF6290">
        <w:rPr>
          <w:rFonts w:ascii="Arial Narrow" w:hAnsi="Arial Narrow"/>
          <w:sz w:val="24"/>
          <w:szCs w:val="24"/>
        </w:rPr>
        <w:t>la labor social</w:t>
      </w:r>
      <w:r w:rsidR="007F09C3" w:rsidRPr="007F09C3">
        <w:rPr>
          <w:rFonts w:ascii="Arial Narrow" w:hAnsi="Arial Narrow"/>
          <w:sz w:val="24"/>
          <w:szCs w:val="24"/>
        </w:rPr>
        <w:t xml:space="preserve">: Solidaridad y Cultura, Deportes, Adultos mayores y voluntariado juvenil. </w:t>
      </w:r>
    </w:p>
    <w:p w14:paraId="7FAAE74E" w14:textId="77777777" w:rsidR="007F09C3" w:rsidRPr="007F09C3" w:rsidRDefault="007F09C3" w:rsidP="007F09C3">
      <w:pPr>
        <w:jc w:val="both"/>
        <w:rPr>
          <w:rFonts w:ascii="Arial Narrow" w:hAnsi="Arial Narrow"/>
          <w:sz w:val="24"/>
          <w:szCs w:val="24"/>
        </w:rPr>
      </w:pPr>
    </w:p>
    <w:p w14:paraId="5A788C2D" w14:textId="2D7D8A76"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Estos comités junto con </w:t>
      </w:r>
      <w:r w:rsidR="000E7401">
        <w:rPr>
          <w:rFonts w:ascii="Arial Narrow" w:hAnsi="Arial Narrow"/>
          <w:sz w:val="24"/>
          <w:szCs w:val="24"/>
        </w:rPr>
        <w:t>el Consejo de Administración</w:t>
      </w:r>
      <w:r w:rsidRPr="007F09C3">
        <w:rPr>
          <w:rFonts w:ascii="Arial Narrow" w:hAnsi="Arial Narrow"/>
          <w:sz w:val="24"/>
          <w:szCs w:val="24"/>
        </w:rPr>
        <w:t xml:space="preserve">, </w:t>
      </w:r>
      <w:r w:rsidR="00FF6290">
        <w:rPr>
          <w:rFonts w:ascii="Arial Narrow" w:hAnsi="Arial Narrow"/>
          <w:sz w:val="24"/>
          <w:szCs w:val="24"/>
        </w:rPr>
        <w:t>la Junta de Vigilancia</w:t>
      </w:r>
      <w:r w:rsidRPr="007F09C3">
        <w:rPr>
          <w:rFonts w:ascii="Arial Narrow" w:hAnsi="Arial Narrow"/>
          <w:sz w:val="24"/>
          <w:szCs w:val="24"/>
        </w:rPr>
        <w:t xml:space="preserve"> y los Empleados </w:t>
      </w:r>
      <w:r w:rsidR="00FF6290">
        <w:rPr>
          <w:rFonts w:ascii="Arial Narrow" w:hAnsi="Arial Narrow"/>
          <w:sz w:val="24"/>
          <w:szCs w:val="24"/>
        </w:rPr>
        <w:t>de la Cooperativa</w:t>
      </w:r>
      <w:r w:rsidRPr="007F09C3">
        <w:rPr>
          <w:rFonts w:ascii="Arial Narrow" w:hAnsi="Arial Narrow"/>
          <w:sz w:val="24"/>
          <w:szCs w:val="24"/>
        </w:rPr>
        <w:t xml:space="preserve">, representan un equipo de trabajo compuesto por 150 personas, así que puede decirse que por lo menos 1 de cada 20 asociados participa en el ejercicio de algún cargo administrativo o de control al interior </w:t>
      </w:r>
      <w:r w:rsidR="00FF6290">
        <w:rPr>
          <w:rFonts w:ascii="Arial Narrow" w:hAnsi="Arial Narrow"/>
          <w:sz w:val="24"/>
          <w:szCs w:val="24"/>
        </w:rPr>
        <w:t>de la Cooperativa</w:t>
      </w:r>
      <w:r w:rsidRPr="007F09C3">
        <w:rPr>
          <w:rFonts w:ascii="Arial Narrow" w:hAnsi="Arial Narrow"/>
          <w:sz w:val="24"/>
          <w:szCs w:val="24"/>
        </w:rPr>
        <w:t xml:space="preserve"> y por lo menos la mitad de ellos ejerce el rol de “</w:t>
      </w:r>
      <w:proofErr w:type="gramStart"/>
      <w:r w:rsidRPr="007F09C3">
        <w:rPr>
          <w:rFonts w:ascii="Arial Narrow" w:hAnsi="Arial Narrow"/>
          <w:sz w:val="24"/>
          <w:szCs w:val="24"/>
        </w:rPr>
        <w:t>Delegado</w:t>
      </w:r>
      <w:proofErr w:type="gramEnd"/>
      <w:r w:rsidRPr="007F09C3">
        <w:rPr>
          <w:rFonts w:ascii="Arial Narrow" w:hAnsi="Arial Narrow"/>
          <w:sz w:val="24"/>
          <w:szCs w:val="24"/>
        </w:rPr>
        <w:t>” en la Asamblea.</w:t>
      </w:r>
    </w:p>
    <w:p w14:paraId="5DA68977" w14:textId="77777777" w:rsidR="007F09C3" w:rsidRPr="007F09C3" w:rsidRDefault="007F09C3" w:rsidP="007F09C3">
      <w:pPr>
        <w:jc w:val="both"/>
        <w:rPr>
          <w:rFonts w:ascii="Arial Narrow" w:hAnsi="Arial Narrow"/>
          <w:sz w:val="24"/>
          <w:szCs w:val="24"/>
        </w:rPr>
      </w:pPr>
    </w:p>
    <w:p w14:paraId="58F48261" w14:textId="423AB9EB"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Los empleados y órganos de administración y control integrados por asociados, velan permanentemente por el cumplimiento de los objetivos estratégicos </w:t>
      </w:r>
      <w:r w:rsidR="00FF6290">
        <w:rPr>
          <w:rFonts w:ascii="Arial Narrow" w:hAnsi="Arial Narrow"/>
          <w:sz w:val="24"/>
          <w:szCs w:val="24"/>
        </w:rPr>
        <w:t>de la Cooperativa</w:t>
      </w:r>
      <w:r w:rsidRPr="007F09C3">
        <w:rPr>
          <w:rFonts w:ascii="Arial Narrow" w:hAnsi="Arial Narrow"/>
          <w:sz w:val="24"/>
          <w:szCs w:val="24"/>
        </w:rPr>
        <w:t xml:space="preserve"> con pleno apego a la ley, los estatutos, los reglamentos y los principios y valores de la economía solidaria y su amplia trayectoria y experiencia en </w:t>
      </w:r>
      <w:r w:rsidR="00FF6290">
        <w:rPr>
          <w:rFonts w:ascii="Arial Narrow" w:hAnsi="Arial Narrow"/>
          <w:sz w:val="24"/>
          <w:szCs w:val="24"/>
        </w:rPr>
        <w:t>la Cooperativa</w:t>
      </w:r>
      <w:r w:rsidRPr="007F09C3">
        <w:rPr>
          <w:rFonts w:ascii="Arial Narrow" w:hAnsi="Arial Narrow"/>
          <w:sz w:val="24"/>
          <w:szCs w:val="24"/>
        </w:rPr>
        <w:t xml:space="preserve"> les da el conocimiento y la experiencia necesaria para ocupar en algún momento cualquier posición en estos espacios de participación democrática para la gestión y el control de </w:t>
      </w:r>
      <w:r w:rsidR="00FF6290">
        <w:rPr>
          <w:rFonts w:ascii="Arial Narrow" w:hAnsi="Arial Narrow"/>
          <w:sz w:val="24"/>
          <w:szCs w:val="24"/>
        </w:rPr>
        <w:t>nuestra cooperativa</w:t>
      </w:r>
      <w:r w:rsidRPr="007F09C3">
        <w:rPr>
          <w:rFonts w:ascii="Arial Narrow" w:hAnsi="Arial Narrow"/>
          <w:sz w:val="24"/>
          <w:szCs w:val="24"/>
        </w:rPr>
        <w:t xml:space="preserve"> o en cualquier otra organización en la que puedan participar.</w:t>
      </w:r>
    </w:p>
    <w:p w14:paraId="616BFA1F"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lastRenderedPageBreak/>
        <w:t xml:space="preserve">Será necesario sin embargo, hacer mayores esfuerzos en capacitación y actualización tanto de directivos como de empleados, dado que son muchas las modificaciones al marco legal que se han venido presentando y aún mayores los retos y desafíos que plantea el entorno del ahorro y el crédito cada vez más competido ya no solo por entidades financieras tradicionales, sino por sociedades anónimas recientemente aparecidas en el mercado de crédito de libranzas y los abusadores crediticios denominados comúnmente como prestamistas, agiotistas o gota a gota que rondan las empresas para engañar o aprovecharse de personas incautas o desesperadas.  </w:t>
      </w:r>
    </w:p>
    <w:p w14:paraId="066766AF" w14:textId="77777777" w:rsidR="007F09C3" w:rsidRPr="007F09C3" w:rsidRDefault="007F09C3" w:rsidP="007F09C3">
      <w:pPr>
        <w:jc w:val="both"/>
        <w:rPr>
          <w:rFonts w:ascii="Arial Narrow" w:hAnsi="Arial Narrow"/>
          <w:sz w:val="24"/>
          <w:szCs w:val="24"/>
        </w:rPr>
      </w:pPr>
    </w:p>
    <w:p w14:paraId="47DAFEDF" w14:textId="75708743"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Todos estos retos y cambios culturales y generacionales generan puntos de vista diferentes y tensiones al interior de los órganos de administración y control, respecto a las estrategias y acciones futuras que debería emprender </w:t>
      </w:r>
      <w:r w:rsidR="00FF6290">
        <w:rPr>
          <w:rFonts w:ascii="Arial Narrow" w:hAnsi="Arial Narrow"/>
          <w:sz w:val="24"/>
          <w:szCs w:val="24"/>
        </w:rPr>
        <w:t>la Cooperativa</w:t>
      </w:r>
      <w:r w:rsidRPr="007F09C3">
        <w:rPr>
          <w:rFonts w:ascii="Arial Narrow" w:hAnsi="Arial Narrow"/>
          <w:sz w:val="24"/>
          <w:szCs w:val="24"/>
        </w:rPr>
        <w:t xml:space="preserve"> para su crecimiento y sostenibilidad futura, por lo que próximamente será necesario actualizar la planeación estratégica que se encuentra ejecutada casi en su totalidad con el cumplimiento de la mayoría de los objetivos como se observa en este informe y en el que a pesar de los diferentes puntos de vista y formas de </w:t>
      </w:r>
      <w:proofErr w:type="spellStart"/>
      <w:r w:rsidRPr="007F09C3">
        <w:rPr>
          <w:rFonts w:ascii="Arial Narrow" w:hAnsi="Arial Narrow"/>
          <w:sz w:val="24"/>
          <w:szCs w:val="24"/>
        </w:rPr>
        <w:t>concibir</w:t>
      </w:r>
      <w:proofErr w:type="spellEnd"/>
      <w:r w:rsidRPr="007F09C3">
        <w:rPr>
          <w:rFonts w:ascii="Arial Narrow" w:hAnsi="Arial Narrow"/>
          <w:sz w:val="24"/>
          <w:szCs w:val="24"/>
        </w:rPr>
        <w:t xml:space="preserve"> el Futuro, al final todos quienes integran los órganos de administración y control, la Gerencia y los Empleados </w:t>
      </w:r>
      <w:r w:rsidR="00FF6290">
        <w:rPr>
          <w:rFonts w:ascii="Arial Narrow" w:hAnsi="Arial Narrow"/>
          <w:sz w:val="24"/>
          <w:szCs w:val="24"/>
        </w:rPr>
        <w:t>de la Cooperativa</w:t>
      </w:r>
      <w:r w:rsidRPr="007F09C3">
        <w:rPr>
          <w:rFonts w:ascii="Arial Narrow" w:hAnsi="Arial Narrow"/>
          <w:sz w:val="24"/>
          <w:szCs w:val="24"/>
        </w:rPr>
        <w:t xml:space="preserve"> los une un auténtico deseo de continuar creciendo y fortaleciendo la entidad para beneficio de todos los asociados actuales y futuros, sus familias, el sector solidario y la sociedad.  Ello debe permitirnos encontrar puntos comunes y continuar avanzando en ese propósito.</w:t>
      </w:r>
    </w:p>
    <w:p w14:paraId="37708CCD" w14:textId="77777777" w:rsidR="007F09C3" w:rsidRPr="007F09C3" w:rsidRDefault="007F09C3" w:rsidP="007F09C3">
      <w:pPr>
        <w:rPr>
          <w:rFonts w:ascii="Arial Narrow" w:hAnsi="Arial Narrow"/>
          <w:sz w:val="24"/>
          <w:szCs w:val="24"/>
        </w:rPr>
      </w:pPr>
    </w:p>
    <w:p w14:paraId="73D65B80" w14:textId="77777777" w:rsidR="007F09C3" w:rsidRPr="007F09C3" w:rsidRDefault="007F09C3" w:rsidP="00096788">
      <w:pPr>
        <w:pStyle w:val="Prrafodelista"/>
        <w:numPr>
          <w:ilvl w:val="2"/>
          <w:numId w:val="1"/>
        </w:numPr>
        <w:contextualSpacing/>
        <w:rPr>
          <w:rFonts w:ascii="Arial Narrow" w:hAnsi="Arial Narrow"/>
          <w:b/>
          <w:sz w:val="24"/>
          <w:szCs w:val="24"/>
        </w:rPr>
      </w:pPr>
      <w:r w:rsidRPr="007F09C3">
        <w:rPr>
          <w:rFonts w:ascii="Arial Narrow" w:hAnsi="Arial Narrow"/>
          <w:b/>
          <w:sz w:val="24"/>
          <w:szCs w:val="24"/>
        </w:rPr>
        <w:t>Infraestructura y Tecnología</w:t>
      </w:r>
    </w:p>
    <w:p w14:paraId="01814533" w14:textId="77777777" w:rsidR="007F09C3" w:rsidRPr="007F09C3" w:rsidRDefault="007F09C3" w:rsidP="007F09C3">
      <w:pPr>
        <w:jc w:val="both"/>
        <w:rPr>
          <w:rFonts w:ascii="Arial Narrow" w:hAnsi="Arial Narrow"/>
          <w:sz w:val="24"/>
          <w:szCs w:val="24"/>
        </w:rPr>
      </w:pPr>
    </w:p>
    <w:p w14:paraId="57486734" w14:textId="5B509158"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El </w:t>
      </w:r>
      <w:r w:rsidR="00096788">
        <w:rPr>
          <w:rFonts w:ascii="Arial Narrow" w:hAnsi="Arial Narrow"/>
          <w:sz w:val="24"/>
          <w:szCs w:val="24"/>
        </w:rPr>
        <w:t>Cooperativa</w:t>
      </w:r>
      <w:r w:rsidRPr="007F09C3">
        <w:rPr>
          <w:rFonts w:ascii="Arial Narrow" w:hAnsi="Arial Narrow"/>
          <w:sz w:val="24"/>
          <w:szCs w:val="24"/>
        </w:rPr>
        <w:t xml:space="preserve"> cuenta con una plataforma tecnológica moderna y segura, tanto en sus equipos como en su software, al cual además han venido efectuándosele actualizaciones y adecuaciones que permitan mejorar la agilidad, oportunidad y seguridad en la prestación de los servicios, así como dar cumplimiento a las nuevas exigencias legales y desarrollar nuevos productos de ahorro y crédito para los asociados.</w:t>
      </w:r>
    </w:p>
    <w:p w14:paraId="0FAC2025" w14:textId="77777777" w:rsidR="007F09C3" w:rsidRPr="007F09C3" w:rsidRDefault="007F09C3" w:rsidP="007F09C3">
      <w:pPr>
        <w:jc w:val="both"/>
        <w:rPr>
          <w:rFonts w:ascii="Arial Narrow" w:hAnsi="Arial Narrow"/>
          <w:sz w:val="24"/>
          <w:szCs w:val="24"/>
        </w:rPr>
      </w:pPr>
    </w:p>
    <w:p w14:paraId="5959D9BF" w14:textId="1C037EDC"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Para mayor comodidad y seguridad física de asociados y empleados, se efectúan permanentes remplazos y renovaciones de equipos, muebles y enseres en las instalaciones </w:t>
      </w:r>
      <w:r w:rsidR="00FF6290">
        <w:rPr>
          <w:rFonts w:ascii="Arial Narrow" w:hAnsi="Arial Narrow"/>
          <w:sz w:val="24"/>
          <w:szCs w:val="24"/>
        </w:rPr>
        <w:t>de la Cooperativa</w:t>
      </w:r>
      <w:r w:rsidRPr="007F09C3">
        <w:rPr>
          <w:rFonts w:ascii="Arial Narrow" w:hAnsi="Arial Narrow"/>
          <w:sz w:val="24"/>
          <w:szCs w:val="24"/>
        </w:rPr>
        <w:t xml:space="preserve">, dándole un aire más fresco y moderno, con mejor iluminación y seguridad, lo cual permite dar cumplimiento a los estándares nacionales sobre Seguridad en el Trabajo. </w:t>
      </w:r>
    </w:p>
    <w:p w14:paraId="670357F7" w14:textId="77777777" w:rsidR="007F09C3" w:rsidRPr="007F09C3" w:rsidRDefault="007F09C3" w:rsidP="007F09C3">
      <w:pPr>
        <w:jc w:val="both"/>
        <w:rPr>
          <w:rFonts w:ascii="Arial Narrow" w:hAnsi="Arial Narrow"/>
          <w:sz w:val="24"/>
          <w:szCs w:val="24"/>
        </w:rPr>
      </w:pPr>
    </w:p>
    <w:p w14:paraId="065287EF" w14:textId="77777777" w:rsidR="007F09C3" w:rsidRPr="007F09C3" w:rsidRDefault="007F09C3" w:rsidP="007F09C3">
      <w:pPr>
        <w:jc w:val="both"/>
        <w:rPr>
          <w:rFonts w:ascii="Arial Narrow" w:hAnsi="Arial Narrow"/>
          <w:sz w:val="24"/>
          <w:szCs w:val="24"/>
        </w:rPr>
      </w:pPr>
      <w:r w:rsidRPr="007F09C3">
        <w:rPr>
          <w:rFonts w:ascii="Arial Narrow" w:hAnsi="Arial Narrow"/>
          <w:sz w:val="24"/>
          <w:szCs w:val="24"/>
        </w:rPr>
        <w:t xml:space="preserve">Como podrá observarse, el gasto de sistematización se ha incrementado de manera significativa en los últimos años para dar cumplimiento a </w:t>
      </w:r>
      <w:proofErr w:type="gramStart"/>
      <w:r w:rsidRPr="007F09C3">
        <w:rPr>
          <w:rFonts w:ascii="Arial Narrow" w:hAnsi="Arial Narrow"/>
          <w:sz w:val="24"/>
          <w:szCs w:val="24"/>
        </w:rPr>
        <w:t>éste</w:t>
      </w:r>
      <w:proofErr w:type="gramEnd"/>
      <w:r w:rsidRPr="007F09C3">
        <w:rPr>
          <w:rFonts w:ascii="Arial Narrow" w:hAnsi="Arial Narrow"/>
          <w:sz w:val="24"/>
          <w:szCs w:val="24"/>
        </w:rPr>
        <w:t xml:space="preserve"> propósito y a los nuevos requerimientos de los órganos de administración y control respecto a la gestión de riesgos.  Seguramente en los años venideros será necesario efectuar nuevas adecuaciones tecnológicas.</w:t>
      </w:r>
    </w:p>
    <w:p w14:paraId="27359033" w14:textId="77777777" w:rsidR="007F09C3" w:rsidRPr="007F09C3" w:rsidRDefault="007F09C3" w:rsidP="007F09C3">
      <w:pPr>
        <w:rPr>
          <w:rFonts w:ascii="Arial Narrow" w:hAnsi="Arial Narrow"/>
          <w:sz w:val="24"/>
          <w:szCs w:val="24"/>
        </w:rPr>
      </w:pPr>
    </w:p>
    <w:p w14:paraId="406DE005" w14:textId="77777777" w:rsidR="007F09C3" w:rsidRPr="007F09C3" w:rsidRDefault="007F09C3" w:rsidP="00096788">
      <w:pPr>
        <w:pStyle w:val="Prrafodelista"/>
        <w:numPr>
          <w:ilvl w:val="2"/>
          <w:numId w:val="1"/>
        </w:numPr>
        <w:contextualSpacing/>
        <w:rPr>
          <w:rFonts w:ascii="Arial Narrow" w:hAnsi="Arial Narrow" w:cs="Arial"/>
          <w:b/>
          <w:sz w:val="24"/>
          <w:szCs w:val="24"/>
        </w:rPr>
      </w:pPr>
      <w:r w:rsidRPr="007F09C3">
        <w:rPr>
          <w:rFonts w:ascii="Arial Narrow" w:hAnsi="Arial Narrow" w:cs="Arial"/>
          <w:b/>
          <w:sz w:val="24"/>
          <w:szCs w:val="24"/>
        </w:rPr>
        <w:t>Servicios Financieros</w:t>
      </w:r>
    </w:p>
    <w:p w14:paraId="5237F289" w14:textId="77777777" w:rsidR="007F09C3" w:rsidRPr="007F09C3" w:rsidRDefault="007F09C3" w:rsidP="007F09C3">
      <w:pPr>
        <w:jc w:val="both"/>
        <w:rPr>
          <w:rFonts w:ascii="Arial Narrow" w:hAnsi="Arial Narrow" w:cs="Arial"/>
          <w:b/>
          <w:sz w:val="24"/>
          <w:szCs w:val="24"/>
        </w:rPr>
      </w:pPr>
    </w:p>
    <w:p w14:paraId="47605FFD" w14:textId="77777777"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El proceso de servicios financieros obtuvo un gran logro, el cual se enfocó en ofrecer a los Asociados un servicio permanente en la recepción de solicitudes de crédito tanto de consumo como de vivienda, lo que permitió satisfacer una necesidad económica con mayor prontitud no teniendo que limitar al Asociado a esperar que su solicitud de crédito fuere recibida cada quincena. </w:t>
      </w:r>
    </w:p>
    <w:p w14:paraId="574F4E2A" w14:textId="77777777" w:rsidR="007F09C3" w:rsidRPr="007F09C3" w:rsidRDefault="007F09C3" w:rsidP="007F09C3">
      <w:pPr>
        <w:jc w:val="both"/>
        <w:rPr>
          <w:rFonts w:ascii="Arial Narrow" w:hAnsi="Arial Narrow" w:cs="Arial"/>
          <w:sz w:val="24"/>
          <w:szCs w:val="24"/>
        </w:rPr>
      </w:pPr>
    </w:p>
    <w:p w14:paraId="1876989F" w14:textId="77777777"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Esto ocasionaba insatisfacción en el Asociado por los tiempos de respuesta para obtener el desembolso de su crédito y una congestión en el proceso del análisis y otorgamiento del crédito, dado que los Analistas recibían gran cantidad de créditos en un solo día, no dando abasto para el análisis, otorgamiento y desembolso.</w:t>
      </w:r>
    </w:p>
    <w:p w14:paraId="18C9CCCD" w14:textId="77777777" w:rsidR="007F09C3" w:rsidRPr="007F09C3" w:rsidRDefault="007F09C3" w:rsidP="007F09C3">
      <w:pPr>
        <w:jc w:val="both"/>
        <w:rPr>
          <w:rFonts w:ascii="Arial Narrow" w:hAnsi="Arial Narrow" w:cs="Arial"/>
          <w:sz w:val="24"/>
          <w:szCs w:val="24"/>
        </w:rPr>
      </w:pPr>
    </w:p>
    <w:p w14:paraId="10C2A16D" w14:textId="77777777"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Con la recepción de los créditos durante todos los días y horas de jornada laboral, ha permitido brindar un mejor servicio financiero a los Asociados, con la oportunidad de realizar análisis y otorgamientos efectivos para su desembolso.</w:t>
      </w:r>
    </w:p>
    <w:p w14:paraId="15B79AFB" w14:textId="77777777" w:rsidR="007F09C3" w:rsidRPr="007F09C3" w:rsidRDefault="007F09C3" w:rsidP="007F09C3">
      <w:pPr>
        <w:jc w:val="both"/>
        <w:rPr>
          <w:rFonts w:ascii="Arial Narrow" w:hAnsi="Arial Narrow" w:cs="Arial"/>
          <w:sz w:val="24"/>
          <w:szCs w:val="24"/>
        </w:rPr>
      </w:pPr>
    </w:p>
    <w:p w14:paraId="3FC1547E" w14:textId="77777777" w:rsidR="007F09C3" w:rsidRPr="007F09C3" w:rsidRDefault="007F09C3" w:rsidP="00096788">
      <w:pPr>
        <w:pStyle w:val="Prrafodelista"/>
        <w:numPr>
          <w:ilvl w:val="2"/>
          <w:numId w:val="1"/>
        </w:numPr>
        <w:contextualSpacing/>
        <w:rPr>
          <w:rFonts w:ascii="Arial Narrow" w:hAnsi="Arial Narrow" w:cs="Arial"/>
          <w:b/>
          <w:sz w:val="24"/>
          <w:szCs w:val="24"/>
        </w:rPr>
      </w:pPr>
      <w:r w:rsidRPr="007F09C3">
        <w:rPr>
          <w:rFonts w:ascii="Arial Narrow" w:hAnsi="Arial Narrow" w:cs="Arial"/>
          <w:b/>
          <w:sz w:val="24"/>
          <w:szCs w:val="24"/>
        </w:rPr>
        <w:lastRenderedPageBreak/>
        <w:t>Gestión Humana</w:t>
      </w:r>
    </w:p>
    <w:p w14:paraId="76D34049" w14:textId="77777777" w:rsidR="007F09C3" w:rsidRPr="007F09C3" w:rsidRDefault="007F09C3" w:rsidP="007F09C3">
      <w:pPr>
        <w:rPr>
          <w:rFonts w:ascii="Arial Narrow" w:hAnsi="Arial Narrow" w:cs="Arial"/>
          <w:sz w:val="24"/>
          <w:szCs w:val="24"/>
        </w:rPr>
      </w:pPr>
    </w:p>
    <w:p w14:paraId="21561A8C" w14:textId="77777777" w:rsidR="007F09C3" w:rsidRPr="007F09C3" w:rsidRDefault="007F09C3" w:rsidP="007F09C3">
      <w:pPr>
        <w:pStyle w:val="Prrafodelista"/>
        <w:numPr>
          <w:ilvl w:val="0"/>
          <w:numId w:val="11"/>
        </w:numPr>
        <w:ind w:left="360"/>
        <w:contextualSpacing/>
        <w:jc w:val="both"/>
        <w:rPr>
          <w:rFonts w:ascii="Arial Narrow" w:hAnsi="Arial Narrow" w:cs="Arial"/>
          <w:sz w:val="24"/>
          <w:szCs w:val="24"/>
        </w:rPr>
      </w:pPr>
      <w:r w:rsidRPr="007F09C3">
        <w:rPr>
          <w:rFonts w:ascii="Arial Narrow" w:hAnsi="Arial Narrow" w:cs="Arial"/>
          <w:sz w:val="24"/>
          <w:szCs w:val="24"/>
        </w:rPr>
        <w:t>Se actualizaron los perfiles de cargo incluyendo la responsabilidad en seguridad y salud en el trabajo y riesgos relativos al cargo.</w:t>
      </w:r>
    </w:p>
    <w:p w14:paraId="7F45213B" w14:textId="77777777" w:rsidR="007F09C3" w:rsidRPr="007F09C3" w:rsidRDefault="007F09C3" w:rsidP="007F09C3">
      <w:pPr>
        <w:pStyle w:val="Prrafodelista"/>
        <w:ind w:left="360"/>
        <w:jc w:val="both"/>
        <w:rPr>
          <w:rFonts w:ascii="Arial Narrow" w:hAnsi="Arial Narrow" w:cs="Arial"/>
          <w:sz w:val="24"/>
          <w:szCs w:val="24"/>
        </w:rPr>
      </w:pPr>
    </w:p>
    <w:p w14:paraId="1A18D35D" w14:textId="77777777" w:rsidR="007F09C3" w:rsidRPr="007F09C3" w:rsidRDefault="007F09C3" w:rsidP="007F09C3">
      <w:pPr>
        <w:pStyle w:val="Prrafodelista"/>
        <w:numPr>
          <w:ilvl w:val="0"/>
          <w:numId w:val="11"/>
        </w:numPr>
        <w:ind w:left="360"/>
        <w:contextualSpacing/>
        <w:jc w:val="both"/>
        <w:rPr>
          <w:rFonts w:ascii="Arial Narrow" w:hAnsi="Arial Narrow" w:cs="Arial"/>
          <w:sz w:val="24"/>
          <w:szCs w:val="24"/>
        </w:rPr>
      </w:pPr>
      <w:r w:rsidRPr="007F09C3">
        <w:rPr>
          <w:rFonts w:ascii="Arial Narrow" w:hAnsi="Arial Narrow" w:cs="Arial"/>
          <w:sz w:val="24"/>
          <w:szCs w:val="24"/>
        </w:rPr>
        <w:t xml:space="preserve">Se realizó capacitación a todo el personal en ISO 9001:2015. </w:t>
      </w:r>
    </w:p>
    <w:p w14:paraId="4571653C" w14:textId="77777777" w:rsidR="007F09C3" w:rsidRPr="007F09C3" w:rsidRDefault="007F09C3" w:rsidP="007F09C3">
      <w:pPr>
        <w:pStyle w:val="Prrafodelista"/>
        <w:rPr>
          <w:rFonts w:ascii="Arial Narrow" w:hAnsi="Arial Narrow" w:cs="Arial"/>
          <w:sz w:val="24"/>
          <w:szCs w:val="24"/>
        </w:rPr>
      </w:pPr>
    </w:p>
    <w:p w14:paraId="2A458F75" w14:textId="5FC20A16" w:rsidR="007F09C3" w:rsidRPr="007F09C3" w:rsidRDefault="007F09C3" w:rsidP="007F09C3">
      <w:pPr>
        <w:pStyle w:val="Prrafodelista"/>
        <w:numPr>
          <w:ilvl w:val="0"/>
          <w:numId w:val="11"/>
        </w:numPr>
        <w:ind w:left="360"/>
        <w:contextualSpacing/>
        <w:jc w:val="both"/>
        <w:rPr>
          <w:rFonts w:ascii="Arial Narrow" w:hAnsi="Arial Narrow" w:cs="Arial"/>
          <w:sz w:val="24"/>
          <w:szCs w:val="24"/>
        </w:rPr>
      </w:pPr>
      <w:r w:rsidRPr="007F09C3">
        <w:rPr>
          <w:rFonts w:ascii="Arial Narrow" w:hAnsi="Arial Narrow" w:cs="Arial"/>
          <w:sz w:val="24"/>
          <w:szCs w:val="24"/>
        </w:rPr>
        <w:t xml:space="preserve">Se efectuó mantenimiento al Sistema General de Salud y Seguridad en el Trabajo - SG-SST para dar cumplimiento a la resolución 1111 del </w:t>
      </w:r>
      <w:r w:rsidR="00662D26">
        <w:rPr>
          <w:rFonts w:ascii="Arial Narrow" w:hAnsi="Arial Narrow" w:cs="Arial"/>
          <w:sz w:val="24"/>
          <w:szCs w:val="24"/>
        </w:rPr>
        <w:t>2020</w:t>
      </w:r>
      <w:r w:rsidRPr="007F09C3">
        <w:rPr>
          <w:rFonts w:ascii="Arial Narrow" w:hAnsi="Arial Narrow" w:cs="Arial"/>
          <w:sz w:val="24"/>
          <w:szCs w:val="24"/>
        </w:rPr>
        <w:t xml:space="preserve"> y el decreto 1072 del 2015 minimizando los riesgos y las condiciones de seguridad de nuestro personal y subir la puntuación de la autoevaluación de estándares mínimos, logrando pasar </w:t>
      </w:r>
      <w:r w:rsidR="00FF6290">
        <w:rPr>
          <w:rFonts w:ascii="Arial Narrow" w:hAnsi="Arial Narrow" w:cs="Arial"/>
          <w:sz w:val="24"/>
          <w:szCs w:val="24"/>
        </w:rPr>
        <w:t>la Cooperativa</w:t>
      </w:r>
      <w:r w:rsidRPr="007F09C3">
        <w:rPr>
          <w:rFonts w:ascii="Arial Narrow" w:hAnsi="Arial Narrow" w:cs="Arial"/>
          <w:sz w:val="24"/>
          <w:szCs w:val="24"/>
        </w:rPr>
        <w:t xml:space="preserve"> de una etapa moderada a aceptable.  Dando cumplimiento a la normatividad legal vigente en materia de riesgos laborales se mantuvo una accidentalidad de cero en el desarrollo de las actividades </w:t>
      </w:r>
      <w:r w:rsidR="00FF6290">
        <w:rPr>
          <w:rFonts w:ascii="Arial Narrow" w:hAnsi="Arial Narrow" w:cs="Arial"/>
          <w:sz w:val="24"/>
          <w:szCs w:val="24"/>
        </w:rPr>
        <w:t>de la Cooperativa</w:t>
      </w:r>
      <w:r w:rsidRPr="007F09C3">
        <w:rPr>
          <w:rFonts w:ascii="Arial Narrow" w:hAnsi="Arial Narrow" w:cs="Arial"/>
          <w:sz w:val="24"/>
          <w:szCs w:val="24"/>
        </w:rPr>
        <w:t>.</w:t>
      </w:r>
    </w:p>
    <w:p w14:paraId="499D3B1E" w14:textId="77777777" w:rsidR="007F09C3" w:rsidRPr="007F09C3" w:rsidRDefault="007F09C3" w:rsidP="007F09C3">
      <w:pPr>
        <w:pStyle w:val="Prrafodelista"/>
        <w:ind w:left="360"/>
        <w:jc w:val="both"/>
        <w:rPr>
          <w:rFonts w:ascii="Arial Narrow" w:hAnsi="Arial Narrow" w:cs="Arial"/>
          <w:sz w:val="24"/>
          <w:szCs w:val="24"/>
        </w:rPr>
      </w:pPr>
    </w:p>
    <w:p w14:paraId="2FF1CFE8" w14:textId="77777777" w:rsidR="007F09C3" w:rsidRPr="007F09C3" w:rsidRDefault="007F09C3" w:rsidP="007F09C3">
      <w:pPr>
        <w:pStyle w:val="Prrafodelista"/>
        <w:numPr>
          <w:ilvl w:val="0"/>
          <w:numId w:val="11"/>
        </w:numPr>
        <w:ind w:left="360"/>
        <w:contextualSpacing/>
        <w:jc w:val="both"/>
        <w:rPr>
          <w:rFonts w:ascii="Arial Narrow" w:hAnsi="Arial Narrow" w:cs="Arial"/>
          <w:sz w:val="24"/>
          <w:szCs w:val="24"/>
        </w:rPr>
      </w:pPr>
      <w:r w:rsidRPr="007F09C3">
        <w:rPr>
          <w:rFonts w:ascii="Arial Narrow" w:hAnsi="Arial Narrow" w:cs="Arial"/>
          <w:sz w:val="24"/>
          <w:szCs w:val="24"/>
        </w:rPr>
        <w:t>Se revisó y ajusto la Matriz de riesgos que permite identificar los riesgos y oportunidades de los diferentes procesos, permitiendo monitorear los que están controlados.</w:t>
      </w:r>
    </w:p>
    <w:p w14:paraId="6AC1C13C" w14:textId="77777777" w:rsidR="007F09C3" w:rsidRPr="007F09C3" w:rsidRDefault="007F09C3" w:rsidP="007F09C3">
      <w:pPr>
        <w:pStyle w:val="Prrafodelista"/>
        <w:ind w:left="360"/>
        <w:jc w:val="both"/>
        <w:rPr>
          <w:rFonts w:ascii="Arial Narrow" w:hAnsi="Arial Narrow" w:cs="Arial"/>
          <w:sz w:val="24"/>
          <w:szCs w:val="24"/>
        </w:rPr>
      </w:pPr>
    </w:p>
    <w:p w14:paraId="261EFF5A" w14:textId="77777777" w:rsidR="007F09C3" w:rsidRPr="007F09C3" w:rsidRDefault="007F09C3" w:rsidP="007F09C3">
      <w:pPr>
        <w:pStyle w:val="Prrafodelista"/>
        <w:numPr>
          <w:ilvl w:val="0"/>
          <w:numId w:val="11"/>
        </w:numPr>
        <w:ind w:left="360"/>
        <w:contextualSpacing/>
        <w:jc w:val="both"/>
        <w:rPr>
          <w:rFonts w:ascii="Arial Narrow" w:hAnsi="Arial Narrow" w:cs="Arial"/>
          <w:sz w:val="24"/>
          <w:szCs w:val="24"/>
        </w:rPr>
      </w:pPr>
      <w:r w:rsidRPr="007F09C3">
        <w:rPr>
          <w:rFonts w:ascii="Arial Narrow" w:hAnsi="Arial Narrow" w:cs="Arial"/>
          <w:sz w:val="24"/>
          <w:szCs w:val="24"/>
        </w:rPr>
        <w:t>Se mejoraron los procesos de Evaluación de la Eficacia de la Información, al igual que en el proceso de Evaluación del Desempeño y se diseñó una herramienta para identificar los cargos críticos y conocimientos críticos, a través de un formato para planificar y hacer seguimiento a la transferencia del conocimiento; identificando los cargos críticos y los conocimientos de cada cargo.</w:t>
      </w:r>
    </w:p>
    <w:p w14:paraId="0E36F065" w14:textId="77777777" w:rsidR="007F09C3" w:rsidRPr="007F09C3" w:rsidRDefault="007F09C3" w:rsidP="007F09C3">
      <w:pPr>
        <w:jc w:val="center"/>
        <w:rPr>
          <w:rFonts w:ascii="Arial Narrow" w:hAnsi="Arial Narrow" w:cs="Arial"/>
          <w:b/>
          <w:sz w:val="24"/>
          <w:szCs w:val="24"/>
        </w:rPr>
      </w:pPr>
    </w:p>
    <w:p w14:paraId="6CB11E37" w14:textId="77777777" w:rsidR="007F09C3" w:rsidRPr="007F09C3" w:rsidRDefault="007F09C3" w:rsidP="00096788">
      <w:pPr>
        <w:pStyle w:val="Prrafodelista"/>
        <w:numPr>
          <w:ilvl w:val="2"/>
          <w:numId w:val="1"/>
        </w:numPr>
        <w:contextualSpacing/>
        <w:rPr>
          <w:rFonts w:ascii="Arial Narrow" w:hAnsi="Arial Narrow" w:cs="Arial"/>
          <w:b/>
          <w:sz w:val="24"/>
          <w:szCs w:val="24"/>
        </w:rPr>
      </w:pPr>
      <w:r w:rsidRPr="007F09C3">
        <w:rPr>
          <w:rFonts w:ascii="Arial Narrow" w:hAnsi="Arial Narrow" w:cs="Arial"/>
          <w:b/>
          <w:sz w:val="24"/>
          <w:szCs w:val="24"/>
        </w:rPr>
        <w:t>Proceso Gestión De Revisión Y Control</w:t>
      </w:r>
    </w:p>
    <w:p w14:paraId="61E127C7" w14:textId="77777777" w:rsidR="007F09C3" w:rsidRPr="007F09C3" w:rsidRDefault="007F09C3" w:rsidP="007F09C3">
      <w:pPr>
        <w:rPr>
          <w:rFonts w:ascii="Arial Narrow" w:hAnsi="Arial Narrow" w:cs="Arial"/>
          <w:b/>
          <w:sz w:val="24"/>
          <w:szCs w:val="24"/>
        </w:rPr>
      </w:pPr>
    </w:p>
    <w:p w14:paraId="15BFEA9E" w14:textId="3134079C" w:rsidR="007F09C3" w:rsidRPr="007F09C3" w:rsidRDefault="007F09C3" w:rsidP="007F09C3">
      <w:pPr>
        <w:pStyle w:val="Prrafodelista"/>
        <w:numPr>
          <w:ilvl w:val="0"/>
          <w:numId w:val="12"/>
        </w:numPr>
        <w:ind w:left="360"/>
        <w:contextualSpacing/>
        <w:jc w:val="both"/>
        <w:rPr>
          <w:rFonts w:ascii="Arial Narrow" w:hAnsi="Arial Narrow" w:cs="Arial"/>
          <w:sz w:val="24"/>
          <w:szCs w:val="24"/>
        </w:rPr>
      </w:pPr>
      <w:r w:rsidRPr="007F09C3">
        <w:rPr>
          <w:rFonts w:ascii="Arial Narrow" w:hAnsi="Arial Narrow" w:cs="Arial"/>
          <w:sz w:val="24"/>
          <w:szCs w:val="24"/>
        </w:rPr>
        <w:t xml:space="preserve">Se lideró el proceso de reclamación de Auxilios Funerarios ante los Fondos de Pensiones a los cuales los asociados fallecidos se encontraban afiliados, logrando el reconocimiento y pago de sumas de dineros que directamente las entidades no hubieren pagado a los familiares o herederos; con esta actuación el </w:t>
      </w:r>
      <w:r w:rsidR="00096788">
        <w:rPr>
          <w:rFonts w:ascii="Arial Narrow" w:hAnsi="Arial Narrow" w:cs="Arial"/>
          <w:sz w:val="24"/>
          <w:szCs w:val="24"/>
        </w:rPr>
        <w:t>Cooperativa</w:t>
      </w:r>
      <w:r w:rsidRPr="007F09C3">
        <w:rPr>
          <w:rFonts w:ascii="Arial Narrow" w:hAnsi="Arial Narrow" w:cs="Arial"/>
          <w:sz w:val="24"/>
          <w:szCs w:val="24"/>
        </w:rPr>
        <w:t xml:space="preserve"> transfirió a beneficiarios, más de $50 millones que le fueron reconocidos por reclamaciones realizadas </w:t>
      </w:r>
    </w:p>
    <w:p w14:paraId="7E986365" w14:textId="77777777" w:rsidR="007F09C3" w:rsidRPr="007F09C3" w:rsidRDefault="007F09C3" w:rsidP="007F09C3">
      <w:pPr>
        <w:pStyle w:val="Prrafodelista"/>
        <w:ind w:left="-360"/>
        <w:jc w:val="both"/>
        <w:rPr>
          <w:rFonts w:ascii="Arial Narrow" w:hAnsi="Arial Narrow" w:cs="Arial"/>
          <w:sz w:val="24"/>
          <w:szCs w:val="24"/>
        </w:rPr>
      </w:pPr>
    </w:p>
    <w:p w14:paraId="372A1C24" w14:textId="77777777" w:rsidR="007F09C3" w:rsidRPr="007F09C3" w:rsidRDefault="007F09C3" w:rsidP="007F09C3">
      <w:pPr>
        <w:pStyle w:val="Prrafodelista"/>
        <w:numPr>
          <w:ilvl w:val="0"/>
          <w:numId w:val="12"/>
        </w:numPr>
        <w:ind w:left="360"/>
        <w:contextualSpacing/>
        <w:jc w:val="both"/>
        <w:rPr>
          <w:rFonts w:ascii="Arial Narrow" w:hAnsi="Arial Narrow" w:cs="Arial"/>
          <w:sz w:val="24"/>
          <w:szCs w:val="24"/>
        </w:rPr>
      </w:pPr>
      <w:r w:rsidRPr="007F09C3">
        <w:rPr>
          <w:rFonts w:ascii="Arial Narrow" w:hAnsi="Arial Narrow" w:cs="Arial"/>
          <w:sz w:val="24"/>
          <w:szCs w:val="24"/>
        </w:rPr>
        <w:t>La auditoría a los diferentes procesos ha generado un ambiente proactivo y de confianza que se refleja en una mayor aceptabilidad a la tarea de auditoría y una disposición de mejoramiento continuo en la organización, identificando las causas y controles para generar planes de mejoramiento que identifiquen los compromisos y acciones.</w:t>
      </w:r>
    </w:p>
    <w:p w14:paraId="6586740E" w14:textId="77777777" w:rsidR="007F09C3" w:rsidRPr="007F09C3" w:rsidRDefault="007F09C3" w:rsidP="007F09C3">
      <w:pPr>
        <w:pStyle w:val="Prrafodelista"/>
        <w:ind w:left="-360"/>
        <w:rPr>
          <w:rFonts w:ascii="Arial Narrow" w:hAnsi="Arial Narrow" w:cs="Arial"/>
          <w:sz w:val="24"/>
          <w:szCs w:val="24"/>
        </w:rPr>
      </w:pPr>
    </w:p>
    <w:p w14:paraId="721F3B43" w14:textId="37EF345E" w:rsidR="007F09C3" w:rsidRPr="007F09C3" w:rsidRDefault="007F09C3" w:rsidP="007F09C3">
      <w:pPr>
        <w:pStyle w:val="Prrafodelista"/>
        <w:numPr>
          <w:ilvl w:val="0"/>
          <w:numId w:val="12"/>
        </w:numPr>
        <w:ind w:left="360"/>
        <w:contextualSpacing/>
        <w:jc w:val="both"/>
        <w:rPr>
          <w:rFonts w:ascii="Arial Narrow" w:hAnsi="Arial Narrow" w:cs="Arial"/>
          <w:sz w:val="24"/>
          <w:szCs w:val="24"/>
        </w:rPr>
      </w:pPr>
      <w:r w:rsidRPr="007F09C3">
        <w:rPr>
          <w:rFonts w:ascii="Arial Narrow" w:hAnsi="Arial Narrow" w:cs="Arial"/>
          <w:sz w:val="24"/>
          <w:szCs w:val="24"/>
        </w:rPr>
        <w:t xml:space="preserve">Se informaron eventos en el programa SARO, para identificar los riesgos y tomar los planes de acción y mejoras y en la vigencia </w:t>
      </w:r>
      <w:r w:rsidR="00662D26">
        <w:rPr>
          <w:rFonts w:ascii="Arial Narrow" w:hAnsi="Arial Narrow" w:cs="Arial"/>
          <w:sz w:val="24"/>
          <w:szCs w:val="24"/>
        </w:rPr>
        <w:t>2021</w:t>
      </w:r>
      <w:r w:rsidRPr="007F09C3">
        <w:rPr>
          <w:rFonts w:ascii="Arial Narrow" w:hAnsi="Arial Narrow" w:cs="Arial"/>
          <w:sz w:val="24"/>
          <w:szCs w:val="24"/>
        </w:rPr>
        <w:t xml:space="preserve"> se realizó la implementación de los programas de Riesgos: SARC, SARO Y SARLAFT.</w:t>
      </w:r>
    </w:p>
    <w:p w14:paraId="3331750C" w14:textId="77777777" w:rsidR="007F09C3" w:rsidRPr="007F09C3" w:rsidRDefault="007F09C3" w:rsidP="007F09C3">
      <w:pPr>
        <w:pStyle w:val="Prrafodelista"/>
        <w:jc w:val="both"/>
        <w:rPr>
          <w:rFonts w:ascii="Arial Narrow" w:hAnsi="Arial Narrow" w:cs="Arial"/>
          <w:sz w:val="24"/>
          <w:szCs w:val="24"/>
        </w:rPr>
      </w:pPr>
    </w:p>
    <w:p w14:paraId="0B642302" w14:textId="18692C9D" w:rsidR="007F09C3" w:rsidRPr="007F09C3" w:rsidRDefault="007F09C3" w:rsidP="007F09C3">
      <w:pPr>
        <w:pStyle w:val="Prrafodelista"/>
        <w:numPr>
          <w:ilvl w:val="0"/>
          <w:numId w:val="12"/>
        </w:numPr>
        <w:ind w:left="360"/>
        <w:contextualSpacing/>
        <w:jc w:val="both"/>
        <w:rPr>
          <w:rFonts w:ascii="Arial Narrow" w:hAnsi="Arial Narrow" w:cs="Arial"/>
          <w:sz w:val="24"/>
          <w:szCs w:val="24"/>
        </w:rPr>
      </w:pPr>
      <w:r w:rsidRPr="007F09C3">
        <w:rPr>
          <w:rFonts w:ascii="Arial Narrow" w:hAnsi="Arial Narrow" w:cs="Arial"/>
          <w:sz w:val="24"/>
          <w:szCs w:val="24"/>
        </w:rPr>
        <w:t xml:space="preserve">Con la entrada en funcionamiento de los programas de Riesgos se ha logrado que la operación del </w:t>
      </w:r>
      <w:r w:rsidR="00096788">
        <w:rPr>
          <w:rFonts w:ascii="Arial Narrow" w:hAnsi="Arial Narrow" w:cs="Arial"/>
          <w:sz w:val="24"/>
          <w:szCs w:val="24"/>
        </w:rPr>
        <w:t>Cooperativa</w:t>
      </w:r>
      <w:r w:rsidRPr="007F09C3">
        <w:rPr>
          <w:rFonts w:ascii="Arial Narrow" w:hAnsi="Arial Narrow" w:cs="Arial"/>
          <w:sz w:val="24"/>
          <w:szCs w:val="24"/>
        </w:rPr>
        <w:t xml:space="preserve"> sea dinámica y oportuna en cuanto a la oportunidad de respuesta de los asociados y partes interesadas, a la vez que se ha reducido la materialización de riesgos identificados. </w:t>
      </w:r>
    </w:p>
    <w:p w14:paraId="1B9FA872" w14:textId="77777777" w:rsidR="007F09C3" w:rsidRPr="007F09C3" w:rsidRDefault="007F09C3" w:rsidP="007F09C3">
      <w:pPr>
        <w:jc w:val="both"/>
        <w:rPr>
          <w:rFonts w:ascii="Arial Narrow" w:hAnsi="Arial Narrow" w:cs="Arial"/>
          <w:sz w:val="24"/>
          <w:szCs w:val="24"/>
        </w:rPr>
      </w:pPr>
    </w:p>
    <w:p w14:paraId="570DD10A" w14:textId="77777777" w:rsidR="007F09C3" w:rsidRPr="007F09C3" w:rsidRDefault="007F09C3" w:rsidP="007F09C3">
      <w:pPr>
        <w:pStyle w:val="Prrafodelista"/>
        <w:numPr>
          <w:ilvl w:val="0"/>
          <w:numId w:val="12"/>
        </w:numPr>
        <w:ind w:left="360"/>
        <w:contextualSpacing/>
        <w:jc w:val="both"/>
        <w:rPr>
          <w:rFonts w:ascii="Arial Narrow" w:hAnsi="Arial Narrow" w:cs="Arial"/>
          <w:sz w:val="24"/>
          <w:szCs w:val="24"/>
        </w:rPr>
      </w:pPr>
      <w:r w:rsidRPr="007F09C3">
        <w:rPr>
          <w:rFonts w:ascii="Arial Narrow" w:hAnsi="Arial Narrow" w:cs="Arial"/>
          <w:sz w:val="24"/>
          <w:szCs w:val="24"/>
        </w:rPr>
        <w:t xml:space="preserve">Se logró realizar una calificación adecuada de los Asociados y obtener una confiabilidad en el proceso de otorgamiento, con la implantación de este sistema, la cartera vencida no presentó incremento. Se ha velado porque se cumplan con los procedimientos, manuales y políticas vigentes del proceso de crédito dentro de la organización. </w:t>
      </w:r>
    </w:p>
    <w:p w14:paraId="48194C3E" w14:textId="77777777" w:rsidR="007F09C3" w:rsidRPr="007F09C3" w:rsidRDefault="007F09C3" w:rsidP="007F09C3">
      <w:pPr>
        <w:jc w:val="both"/>
        <w:rPr>
          <w:rFonts w:ascii="Arial Narrow" w:hAnsi="Arial Narrow" w:cs="Arial"/>
          <w:sz w:val="24"/>
          <w:szCs w:val="24"/>
        </w:rPr>
      </w:pPr>
    </w:p>
    <w:p w14:paraId="0D8EB7AD" w14:textId="77777777" w:rsidR="007F09C3" w:rsidRPr="007F09C3" w:rsidRDefault="007F09C3" w:rsidP="007F09C3">
      <w:pPr>
        <w:pStyle w:val="Prrafodelista"/>
        <w:numPr>
          <w:ilvl w:val="0"/>
          <w:numId w:val="12"/>
        </w:numPr>
        <w:ind w:left="360"/>
        <w:contextualSpacing/>
        <w:jc w:val="both"/>
        <w:rPr>
          <w:rFonts w:ascii="Arial Narrow" w:eastAsia="MS Mincho" w:hAnsi="Arial Narrow" w:cs="Arial"/>
          <w:sz w:val="24"/>
          <w:szCs w:val="24"/>
          <w:lang w:val="es-MX" w:eastAsia="es-CO"/>
        </w:rPr>
      </w:pPr>
      <w:r w:rsidRPr="007F09C3">
        <w:rPr>
          <w:rFonts w:ascii="Arial Narrow" w:eastAsia="MS Mincho" w:hAnsi="Arial Narrow" w:cs="Arial"/>
          <w:sz w:val="24"/>
          <w:szCs w:val="24"/>
          <w:lang w:val="es-MX" w:eastAsia="es-CO"/>
        </w:rPr>
        <w:lastRenderedPageBreak/>
        <w:t>Mediante la implementación del software de gestión documental DGNET estamos siendo más agiles y eficientes en la consulta de información, al igual que se logra la salvaguarda de la información de interés digitalmente.</w:t>
      </w:r>
    </w:p>
    <w:p w14:paraId="37291076" w14:textId="77777777" w:rsidR="007F09C3" w:rsidRPr="007F09C3" w:rsidRDefault="007F09C3" w:rsidP="007F09C3">
      <w:pPr>
        <w:pStyle w:val="Prrafodelista"/>
        <w:rPr>
          <w:rFonts w:ascii="Arial Narrow" w:hAnsi="Arial Narrow" w:cs="Arial"/>
          <w:sz w:val="24"/>
          <w:szCs w:val="24"/>
        </w:rPr>
      </w:pPr>
    </w:p>
    <w:p w14:paraId="3D694394" w14:textId="77777777" w:rsidR="007F09C3" w:rsidRPr="007F09C3" w:rsidRDefault="007F09C3" w:rsidP="007F09C3">
      <w:pPr>
        <w:pStyle w:val="Prrafodelista"/>
        <w:numPr>
          <w:ilvl w:val="0"/>
          <w:numId w:val="12"/>
        </w:numPr>
        <w:ind w:left="360"/>
        <w:contextualSpacing/>
        <w:jc w:val="both"/>
        <w:rPr>
          <w:rFonts w:ascii="Arial Narrow" w:eastAsia="MS Mincho" w:hAnsi="Arial Narrow" w:cs="Arial"/>
          <w:sz w:val="24"/>
          <w:szCs w:val="24"/>
          <w:lang w:val="es-MX" w:eastAsia="es-CO"/>
        </w:rPr>
      </w:pPr>
      <w:r w:rsidRPr="007F09C3">
        <w:rPr>
          <w:rFonts w:ascii="Arial Narrow" w:hAnsi="Arial Narrow" w:cs="Arial"/>
          <w:sz w:val="24"/>
          <w:szCs w:val="24"/>
        </w:rPr>
        <w:t>Mediante la implementación del sistema de seguridad perimetral se ha logrado mantener la seguridad de la información y garantizar la continuidad del negocio para la Organización actualizando permanentemente toda la plataforma tecnológica implementada, logrando así contar con canales de comunicación eficaces que permiten una interacción permanente con la base social y se avanza en la integración de los diferentes sistemas de gestión implementados por la entidad además de realizar desarrollos internos que permiten dinamizar los diferentes procesos y documentar los procedimientos.</w:t>
      </w:r>
    </w:p>
    <w:p w14:paraId="0A524DE6" w14:textId="77777777" w:rsidR="007F09C3" w:rsidRPr="007F09C3" w:rsidRDefault="007F09C3" w:rsidP="007F09C3">
      <w:pPr>
        <w:rPr>
          <w:rFonts w:ascii="Arial Narrow" w:hAnsi="Arial Narrow" w:cs="Arial"/>
          <w:b/>
          <w:sz w:val="24"/>
          <w:szCs w:val="24"/>
        </w:rPr>
      </w:pPr>
    </w:p>
    <w:p w14:paraId="12832ED3" w14:textId="1D57E20F" w:rsidR="007F09C3" w:rsidRPr="007F09C3" w:rsidRDefault="007F09C3" w:rsidP="00096788">
      <w:pPr>
        <w:pStyle w:val="Prrafodelista"/>
        <w:numPr>
          <w:ilvl w:val="2"/>
          <w:numId w:val="1"/>
        </w:numPr>
        <w:contextualSpacing/>
        <w:rPr>
          <w:rFonts w:ascii="Arial Narrow" w:hAnsi="Arial Narrow" w:cs="Arial"/>
          <w:b/>
          <w:sz w:val="24"/>
          <w:szCs w:val="24"/>
        </w:rPr>
      </w:pPr>
      <w:r w:rsidRPr="007F09C3">
        <w:rPr>
          <w:rFonts w:ascii="Arial Narrow" w:hAnsi="Arial Narrow" w:cs="Arial"/>
          <w:b/>
          <w:sz w:val="24"/>
          <w:szCs w:val="24"/>
        </w:rPr>
        <w:t xml:space="preserve">Mercadeo Y Comunicaciones y Centro </w:t>
      </w:r>
      <w:r w:rsidR="005F3A46">
        <w:rPr>
          <w:rFonts w:ascii="Arial Narrow" w:hAnsi="Arial Narrow" w:cs="Arial"/>
          <w:b/>
          <w:sz w:val="24"/>
          <w:szCs w:val="24"/>
        </w:rPr>
        <w:t>Social</w:t>
      </w:r>
    </w:p>
    <w:p w14:paraId="4DA805F4" w14:textId="77777777" w:rsidR="007F09C3" w:rsidRPr="007F09C3" w:rsidRDefault="007F09C3" w:rsidP="007F09C3">
      <w:pPr>
        <w:jc w:val="center"/>
        <w:rPr>
          <w:rFonts w:ascii="Arial Narrow" w:hAnsi="Arial Narrow" w:cs="Arial"/>
          <w:b/>
          <w:sz w:val="24"/>
          <w:szCs w:val="24"/>
          <w:u w:val="single"/>
        </w:rPr>
      </w:pPr>
    </w:p>
    <w:p w14:paraId="41F94F69" w14:textId="7EDAAFE4" w:rsidR="007F09C3" w:rsidRPr="007F09C3" w:rsidRDefault="007F09C3" w:rsidP="007F09C3">
      <w:pPr>
        <w:pStyle w:val="Prrafodelista"/>
        <w:numPr>
          <w:ilvl w:val="0"/>
          <w:numId w:val="9"/>
        </w:numPr>
        <w:ind w:left="360"/>
        <w:contextualSpacing/>
        <w:jc w:val="both"/>
        <w:rPr>
          <w:rFonts w:ascii="Arial Narrow" w:hAnsi="Arial Narrow" w:cs="Arial"/>
          <w:sz w:val="24"/>
          <w:szCs w:val="24"/>
        </w:rPr>
      </w:pPr>
      <w:r w:rsidRPr="007F09C3">
        <w:rPr>
          <w:rFonts w:ascii="Arial Narrow" w:hAnsi="Arial Narrow" w:cs="Arial"/>
          <w:sz w:val="24"/>
          <w:szCs w:val="24"/>
        </w:rPr>
        <w:t xml:space="preserve">Además de la reducción de retiros y el incremento de los ingresos que permitió el crecimiento de la base social, se fortaleció la Red de Convenios, logrando la vinculación de importantes aliados estratégicos a través de los cuales el </w:t>
      </w:r>
      <w:r w:rsidR="00096788">
        <w:rPr>
          <w:rFonts w:ascii="Arial Narrow" w:hAnsi="Arial Narrow" w:cs="Arial"/>
          <w:sz w:val="24"/>
          <w:szCs w:val="24"/>
        </w:rPr>
        <w:t>Cooperativa</w:t>
      </w:r>
      <w:r w:rsidRPr="007F09C3">
        <w:rPr>
          <w:rFonts w:ascii="Arial Narrow" w:hAnsi="Arial Narrow" w:cs="Arial"/>
          <w:sz w:val="24"/>
          <w:szCs w:val="24"/>
        </w:rPr>
        <w:t xml:space="preserve"> trasladó recursos económicos significativos a los asociados y beneficiarios vía descuento directo o utilización de líneas de crédito con condiciones especiales. </w:t>
      </w:r>
    </w:p>
    <w:p w14:paraId="14684CF5" w14:textId="77777777" w:rsidR="007F09C3" w:rsidRPr="007F09C3" w:rsidRDefault="007F09C3" w:rsidP="007F09C3">
      <w:pPr>
        <w:pStyle w:val="Prrafodelista"/>
        <w:ind w:left="360"/>
        <w:jc w:val="both"/>
        <w:rPr>
          <w:rFonts w:ascii="Arial Narrow" w:hAnsi="Arial Narrow" w:cs="Arial"/>
          <w:sz w:val="24"/>
          <w:szCs w:val="24"/>
        </w:rPr>
      </w:pPr>
    </w:p>
    <w:p w14:paraId="005D165E" w14:textId="77777777" w:rsidR="007F09C3" w:rsidRPr="007F09C3" w:rsidRDefault="007F09C3" w:rsidP="007F09C3">
      <w:pPr>
        <w:pStyle w:val="Prrafodelista"/>
        <w:numPr>
          <w:ilvl w:val="0"/>
          <w:numId w:val="9"/>
        </w:numPr>
        <w:ind w:left="360"/>
        <w:contextualSpacing/>
        <w:jc w:val="both"/>
        <w:rPr>
          <w:rFonts w:ascii="Arial Narrow" w:hAnsi="Arial Narrow" w:cs="Arial"/>
          <w:sz w:val="24"/>
          <w:szCs w:val="24"/>
        </w:rPr>
      </w:pPr>
      <w:r w:rsidRPr="007F09C3">
        <w:rPr>
          <w:rFonts w:ascii="Arial Narrow" w:hAnsi="Arial Narrow" w:cs="Arial"/>
          <w:sz w:val="24"/>
          <w:szCs w:val="24"/>
        </w:rPr>
        <w:t>Se Realizaron diversas actividades y programas de fidelización, obteniendo la satisfacción de los asociados participantes. Igualmente se hizo presencia en las sedes de la empresa patronal logrando cubrir el 90% de las plantas.</w:t>
      </w:r>
    </w:p>
    <w:p w14:paraId="0E2FD2F1" w14:textId="77777777" w:rsidR="007F09C3" w:rsidRPr="007F09C3" w:rsidRDefault="007F09C3" w:rsidP="007F09C3">
      <w:pPr>
        <w:pStyle w:val="Prrafodelista"/>
        <w:rPr>
          <w:rFonts w:ascii="Arial Narrow" w:hAnsi="Arial Narrow" w:cs="Arial"/>
          <w:sz w:val="24"/>
          <w:szCs w:val="24"/>
          <w:lang w:val="es-MX"/>
        </w:rPr>
      </w:pPr>
    </w:p>
    <w:p w14:paraId="5BBC2345" w14:textId="5F5C6ABC" w:rsidR="007F09C3" w:rsidRPr="007F09C3" w:rsidRDefault="007F09C3" w:rsidP="007F09C3">
      <w:pPr>
        <w:pStyle w:val="Prrafodelista"/>
        <w:numPr>
          <w:ilvl w:val="0"/>
          <w:numId w:val="9"/>
        </w:numPr>
        <w:ind w:left="360"/>
        <w:contextualSpacing/>
        <w:jc w:val="both"/>
        <w:rPr>
          <w:rFonts w:ascii="Arial Narrow" w:hAnsi="Arial Narrow" w:cs="Arial"/>
          <w:sz w:val="24"/>
          <w:szCs w:val="24"/>
        </w:rPr>
      </w:pPr>
      <w:r w:rsidRPr="007F09C3">
        <w:rPr>
          <w:rFonts w:ascii="Arial Narrow" w:hAnsi="Arial Narrow" w:cs="Arial"/>
          <w:sz w:val="24"/>
          <w:szCs w:val="24"/>
          <w:lang w:val="es-MX"/>
        </w:rPr>
        <w:t xml:space="preserve">En el año </w:t>
      </w:r>
      <w:r w:rsidR="00662D26">
        <w:rPr>
          <w:rFonts w:ascii="Arial Narrow" w:hAnsi="Arial Narrow" w:cs="Arial"/>
          <w:sz w:val="24"/>
          <w:szCs w:val="24"/>
          <w:lang w:val="es-MX"/>
        </w:rPr>
        <w:t>2021</w:t>
      </w:r>
      <w:r w:rsidRPr="007F09C3">
        <w:rPr>
          <w:rFonts w:ascii="Arial Narrow" w:hAnsi="Arial Narrow" w:cs="Arial"/>
          <w:sz w:val="24"/>
          <w:szCs w:val="24"/>
          <w:lang w:val="es-MX"/>
        </w:rPr>
        <w:t xml:space="preserve"> se contó con asignación de recursos por parte de la Asamblea General de </w:t>
      </w:r>
      <w:proofErr w:type="gramStart"/>
      <w:r w:rsidRPr="007F09C3">
        <w:rPr>
          <w:rFonts w:ascii="Arial Narrow" w:hAnsi="Arial Narrow" w:cs="Arial"/>
          <w:sz w:val="24"/>
          <w:szCs w:val="24"/>
          <w:lang w:val="es-MX"/>
        </w:rPr>
        <w:t>Delegados</w:t>
      </w:r>
      <w:proofErr w:type="gramEnd"/>
      <w:r w:rsidRPr="007F09C3">
        <w:rPr>
          <w:rFonts w:ascii="Arial Narrow" w:hAnsi="Arial Narrow" w:cs="Arial"/>
          <w:sz w:val="24"/>
          <w:szCs w:val="24"/>
          <w:lang w:val="es-MX"/>
        </w:rPr>
        <w:t xml:space="preserve">, con los cuales se logró avanzar en proyecto de consolidación del Centro Recreacional </w:t>
      </w:r>
      <w:r w:rsidR="005F3A46">
        <w:rPr>
          <w:rFonts w:ascii="Arial Narrow" w:hAnsi="Arial Narrow" w:cs="Arial"/>
          <w:sz w:val="24"/>
          <w:szCs w:val="24"/>
          <w:lang w:val="es-MX"/>
        </w:rPr>
        <w:t>Social</w:t>
      </w:r>
      <w:r w:rsidRPr="007F09C3">
        <w:rPr>
          <w:rFonts w:ascii="Arial Narrow" w:hAnsi="Arial Narrow" w:cs="Arial"/>
          <w:sz w:val="24"/>
          <w:szCs w:val="24"/>
          <w:lang w:val="es-MX"/>
        </w:rPr>
        <w:t xml:space="preserve">, destacándose la construcción de la Planta de Tratamiento de Aguas Residuales PTAR del Centro </w:t>
      </w:r>
      <w:r w:rsidR="005F3A46">
        <w:rPr>
          <w:rFonts w:ascii="Arial Narrow" w:hAnsi="Arial Narrow" w:cs="Arial"/>
          <w:sz w:val="24"/>
          <w:szCs w:val="24"/>
          <w:lang w:val="es-MX"/>
        </w:rPr>
        <w:t>Social</w:t>
      </w:r>
      <w:r w:rsidRPr="007F09C3">
        <w:rPr>
          <w:rFonts w:ascii="Arial Narrow" w:hAnsi="Arial Narrow" w:cs="Arial"/>
          <w:sz w:val="24"/>
          <w:szCs w:val="24"/>
          <w:lang w:val="es-MX"/>
        </w:rPr>
        <w:t xml:space="preserve">, con la cual </w:t>
      </w:r>
      <w:r w:rsidR="00832291">
        <w:rPr>
          <w:rFonts w:ascii="Arial Narrow" w:hAnsi="Arial Narrow" w:cs="Arial"/>
          <w:sz w:val="24"/>
          <w:szCs w:val="24"/>
          <w:lang w:val="es-MX"/>
        </w:rPr>
        <w:t>COOPEJEMPLO</w:t>
      </w:r>
      <w:r w:rsidRPr="007F09C3">
        <w:rPr>
          <w:rFonts w:ascii="Arial Narrow" w:hAnsi="Arial Narrow" w:cs="Arial"/>
          <w:sz w:val="24"/>
          <w:szCs w:val="24"/>
          <w:lang w:val="es-MX"/>
        </w:rPr>
        <w:t xml:space="preserve"> cumple requerimiento de la autoridad ambiental y reafirma su compromiso con el medio ambiente, lo cual genero reconocimiento por parte de la CVC.</w:t>
      </w:r>
    </w:p>
    <w:p w14:paraId="5BA1ED5B" w14:textId="77777777" w:rsidR="007F09C3" w:rsidRPr="007F09C3" w:rsidRDefault="007F09C3" w:rsidP="007F09C3">
      <w:pPr>
        <w:pStyle w:val="Prrafodelista"/>
        <w:rPr>
          <w:rFonts w:ascii="Arial Narrow" w:hAnsi="Arial Narrow" w:cs="Arial"/>
          <w:sz w:val="24"/>
          <w:szCs w:val="24"/>
          <w:lang w:val="es-MX"/>
        </w:rPr>
      </w:pPr>
    </w:p>
    <w:p w14:paraId="6E1B9F90" w14:textId="77777777" w:rsidR="007F09C3" w:rsidRPr="007F09C3" w:rsidRDefault="007F09C3" w:rsidP="007F09C3">
      <w:pPr>
        <w:pStyle w:val="Prrafodelista"/>
        <w:numPr>
          <w:ilvl w:val="0"/>
          <w:numId w:val="9"/>
        </w:numPr>
        <w:ind w:left="360"/>
        <w:contextualSpacing/>
        <w:jc w:val="both"/>
        <w:rPr>
          <w:rFonts w:ascii="Arial Narrow" w:hAnsi="Arial Narrow" w:cs="Arial"/>
          <w:sz w:val="24"/>
          <w:szCs w:val="24"/>
        </w:rPr>
      </w:pPr>
      <w:r w:rsidRPr="007F09C3">
        <w:rPr>
          <w:rFonts w:ascii="Arial Narrow" w:hAnsi="Arial Narrow" w:cs="Arial"/>
          <w:sz w:val="24"/>
          <w:szCs w:val="24"/>
          <w:lang w:val="es-MX"/>
        </w:rPr>
        <w:t>Igualmente se realizó la construcción de una subestación eléctrica propia de 112.5 KWA, obras que permitirán mejorar la calidad del servicio recibido por EPSA, disminuyendo los inconvenientes presentados como la falta de fluido eléctrico y garantizando el normal funcionamiento del complejo recreacional.</w:t>
      </w:r>
    </w:p>
    <w:p w14:paraId="34C5398B" w14:textId="77777777" w:rsidR="007F09C3" w:rsidRPr="007F09C3" w:rsidRDefault="007F09C3" w:rsidP="007F09C3">
      <w:pPr>
        <w:rPr>
          <w:rFonts w:ascii="Arial Narrow" w:hAnsi="Arial Narrow" w:cs="Arial"/>
          <w:sz w:val="24"/>
          <w:szCs w:val="24"/>
        </w:rPr>
      </w:pPr>
    </w:p>
    <w:p w14:paraId="0D3D686F" w14:textId="77777777" w:rsidR="007F09C3" w:rsidRPr="007F09C3" w:rsidRDefault="007F09C3" w:rsidP="00096788">
      <w:pPr>
        <w:pStyle w:val="Prrafodelista"/>
        <w:numPr>
          <w:ilvl w:val="2"/>
          <w:numId w:val="1"/>
        </w:numPr>
        <w:contextualSpacing/>
        <w:rPr>
          <w:rFonts w:ascii="Arial Narrow" w:hAnsi="Arial Narrow" w:cs="Arial"/>
          <w:b/>
          <w:sz w:val="24"/>
          <w:szCs w:val="24"/>
        </w:rPr>
      </w:pPr>
      <w:r w:rsidRPr="007F09C3">
        <w:rPr>
          <w:rFonts w:ascii="Arial Narrow" w:hAnsi="Arial Narrow" w:cs="Arial"/>
          <w:b/>
          <w:sz w:val="24"/>
          <w:szCs w:val="24"/>
        </w:rPr>
        <w:t>Integración Gremial</w:t>
      </w:r>
    </w:p>
    <w:p w14:paraId="07DC2320" w14:textId="77777777" w:rsidR="007F09C3" w:rsidRPr="007F09C3" w:rsidRDefault="007F09C3" w:rsidP="007F09C3">
      <w:pPr>
        <w:pStyle w:val="Prrafodelista"/>
        <w:ind w:left="1080"/>
        <w:rPr>
          <w:rFonts w:ascii="Arial Narrow" w:hAnsi="Arial Narrow" w:cs="Arial"/>
          <w:b/>
          <w:sz w:val="24"/>
          <w:szCs w:val="24"/>
        </w:rPr>
      </w:pPr>
    </w:p>
    <w:p w14:paraId="233C29F7" w14:textId="7B6C2979" w:rsidR="007F09C3" w:rsidRPr="007F09C3" w:rsidRDefault="00832291" w:rsidP="007F09C3">
      <w:pPr>
        <w:jc w:val="both"/>
        <w:rPr>
          <w:rFonts w:ascii="Arial Narrow" w:hAnsi="Arial Narrow" w:cs="Arial"/>
          <w:sz w:val="24"/>
          <w:szCs w:val="24"/>
        </w:rPr>
      </w:pPr>
      <w:r>
        <w:rPr>
          <w:rFonts w:ascii="Arial Narrow" w:hAnsi="Arial Narrow" w:cs="Arial"/>
          <w:sz w:val="24"/>
          <w:szCs w:val="24"/>
        </w:rPr>
        <w:t>COOPEJEMPLO</w:t>
      </w:r>
      <w:r w:rsidR="007F09C3" w:rsidRPr="007F09C3">
        <w:rPr>
          <w:rFonts w:ascii="Arial Narrow" w:hAnsi="Arial Narrow" w:cs="Arial"/>
          <w:sz w:val="24"/>
          <w:szCs w:val="24"/>
        </w:rPr>
        <w:t xml:space="preserve"> hace parte de las siguientes Agremiaciones pertenecientes al Sector de la Economía Solidaria:</w:t>
      </w:r>
    </w:p>
    <w:p w14:paraId="5622AA11" w14:textId="77777777" w:rsidR="007F09C3" w:rsidRPr="007F09C3" w:rsidRDefault="007F09C3" w:rsidP="007F09C3">
      <w:pPr>
        <w:jc w:val="both"/>
        <w:rPr>
          <w:rFonts w:ascii="Arial Narrow" w:hAnsi="Arial Narrow" w:cs="Arial"/>
          <w:sz w:val="24"/>
          <w:szCs w:val="24"/>
        </w:rPr>
      </w:pPr>
    </w:p>
    <w:p w14:paraId="0AE33701" w14:textId="77777777" w:rsidR="007F09C3" w:rsidRPr="007F09C3" w:rsidRDefault="007F09C3" w:rsidP="007F09C3">
      <w:pPr>
        <w:pStyle w:val="Prrafodelista"/>
        <w:numPr>
          <w:ilvl w:val="0"/>
          <w:numId w:val="14"/>
        </w:numPr>
        <w:contextualSpacing/>
        <w:jc w:val="both"/>
        <w:rPr>
          <w:rFonts w:ascii="Arial Narrow" w:hAnsi="Arial Narrow" w:cs="Arial"/>
          <w:sz w:val="24"/>
          <w:szCs w:val="24"/>
        </w:rPr>
      </w:pPr>
      <w:r w:rsidRPr="007F09C3">
        <w:rPr>
          <w:rFonts w:ascii="Arial Narrow" w:hAnsi="Arial Narrow" w:cs="Arial"/>
          <w:sz w:val="24"/>
          <w:szCs w:val="24"/>
        </w:rPr>
        <w:t>ANALFE</w:t>
      </w:r>
    </w:p>
    <w:p w14:paraId="49C1D942" w14:textId="77777777" w:rsidR="007F09C3" w:rsidRPr="007F09C3" w:rsidRDefault="007F09C3" w:rsidP="007F09C3">
      <w:pPr>
        <w:pStyle w:val="Prrafodelista"/>
        <w:numPr>
          <w:ilvl w:val="0"/>
          <w:numId w:val="14"/>
        </w:numPr>
        <w:contextualSpacing/>
        <w:jc w:val="both"/>
        <w:rPr>
          <w:rFonts w:ascii="Arial Narrow" w:hAnsi="Arial Narrow" w:cs="Arial"/>
          <w:sz w:val="24"/>
          <w:szCs w:val="24"/>
        </w:rPr>
      </w:pPr>
      <w:r w:rsidRPr="007F09C3">
        <w:rPr>
          <w:rFonts w:ascii="Arial Narrow" w:hAnsi="Arial Narrow" w:cs="Arial"/>
          <w:sz w:val="24"/>
          <w:szCs w:val="24"/>
        </w:rPr>
        <w:t>FINANCIAFONDOS</w:t>
      </w:r>
    </w:p>
    <w:p w14:paraId="2CB8A626" w14:textId="77777777" w:rsidR="007F09C3" w:rsidRPr="007F09C3" w:rsidRDefault="007F09C3" w:rsidP="007F09C3">
      <w:pPr>
        <w:pStyle w:val="Prrafodelista"/>
        <w:numPr>
          <w:ilvl w:val="0"/>
          <w:numId w:val="14"/>
        </w:numPr>
        <w:contextualSpacing/>
        <w:jc w:val="both"/>
        <w:rPr>
          <w:rFonts w:ascii="Arial Narrow" w:hAnsi="Arial Narrow" w:cs="Arial"/>
          <w:sz w:val="24"/>
          <w:szCs w:val="24"/>
        </w:rPr>
      </w:pPr>
      <w:r w:rsidRPr="007F09C3">
        <w:rPr>
          <w:rFonts w:ascii="Arial Narrow" w:hAnsi="Arial Narrow" w:cs="Arial"/>
          <w:sz w:val="24"/>
          <w:szCs w:val="24"/>
        </w:rPr>
        <w:t>EQUIDAD SEGUROS</w:t>
      </w:r>
    </w:p>
    <w:p w14:paraId="42CACC3B" w14:textId="77777777" w:rsidR="007F09C3" w:rsidRPr="007F09C3" w:rsidRDefault="007F09C3" w:rsidP="007F09C3">
      <w:pPr>
        <w:pStyle w:val="Prrafodelista"/>
        <w:numPr>
          <w:ilvl w:val="0"/>
          <w:numId w:val="14"/>
        </w:numPr>
        <w:contextualSpacing/>
        <w:jc w:val="both"/>
        <w:rPr>
          <w:rFonts w:ascii="Arial Narrow" w:hAnsi="Arial Narrow" w:cs="Arial"/>
          <w:sz w:val="24"/>
          <w:szCs w:val="24"/>
        </w:rPr>
      </w:pPr>
      <w:r w:rsidRPr="007F09C3">
        <w:rPr>
          <w:rFonts w:ascii="Arial Narrow" w:hAnsi="Arial Narrow" w:cs="Arial"/>
          <w:sz w:val="24"/>
          <w:szCs w:val="24"/>
        </w:rPr>
        <w:t>ASEGURADORA SOLIDARIA DE COLOMBIA</w:t>
      </w:r>
    </w:p>
    <w:p w14:paraId="7909D7C2" w14:textId="77777777" w:rsidR="007F09C3" w:rsidRPr="007F09C3" w:rsidRDefault="007F09C3" w:rsidP="007F09C3">
      <w:pPr>
        <w:pStyle w:val="Prrafodelista"/>
        <w:numPr>
          <w:ilvl w:val="0"/>
          <w:numId w:val="14"/>
        </w:numPr>
        <w:contextualSpacing/>
        <w:jc w:val="both"/>
        <w:rPr>
          <w:rFonts w:ascii="Arial Narrow" w:hAnsi="Arial Narrow" w:cs="Arial"/>
          <w:sz w:val="24"/>
          <w:szCs w:val="24"/>
        </w:rPr>
      </w:pPr>
      <w:r w:rsidRPr="007F09C3">
        <w:rPr>
          <w:rFonts w:ascii="Arial Narrow" w:hAnsi="Arial Narrow" w:cs="Arial"/>
          <w:sz w:val="24"/>
          <w:szCs w:val="24"/>
        </w:rPr>
        <w:t>BANCO COOPERATIVO COOPCENTRAL.</w:t>
      </w:r>
    </w:p>
    <w:p w14:paraId="09A73600" w14:textId="77777777" w:rsidR="007F09C3" w:rsidRPr="007F09C3" w:rsidRDefault="007F09C3" w:rsidP="007F09C3">
      <w:pPr>
        <w:jc w:val="both"/>
        <w:rPr>
          <w:rFonts w:ascii="Arial Narrow" w:hAnsi="Arial Narrow" w:cs="Arial"/>
          <w:sz w:val="24"/>
          <w:szCs w:val="24"/>
        </w:rPr>
      </w:pPr>
    </w:p>
    <w:p w14:paraId="6ECF4FAD" w14:textId="77777777" w:rsidR="007F09C3" w:rsidRPr="007F09C3" w:rsidRDefault="007F09C3" w:rsidP="007F09C3">
      <w:pPr>
        <w:jc w:val="both"/>
        <w:rPr>
          <w:rFonts w:ascii="Arial Narrow" w:hAnsi="Arial Narrow" w:cs="Arial"/>
          <w:sz w:val="24"/>
          <w:szCs w:val="24"/>
        </w:rPr>
      </w:pPr>
      <w:r w:rsidRPr="007F09C3">
        <w:rPr>
          <w:rFonts w:ascii="Arial Narrow" w:hAnsi="Arial Narrow" w:cs="Arial"/>
          <w:sz w:val="24"/>
          <w:szCs w:val="24"/>
        </w:rPr>
        <w:t xml:space="preserve">En la actualidad tenemos participación como </w:t>
      </w:r>
      <w:proofErr w:type="gramStart"/>
      <w:r w:rsidRPr="007F09C3">
        <w:rPr>
          <w:rFonts w:ascii="Arial Narrow" w:hAnsi="Arial Narrow" w:cs="Arial"/>
          <w:sz w:val="24"/>
          <w:szCs w:val="24"/>
        </w:rPr>
        <w:t>Delegados</w:t>
      </w:r>
      <w:proofErr w:type="gramEnd"/>
      <w:r w:rsidRPr="007F09C3">
        <w:rPr>
          <w:rFonts w:ascii="Arial Narrow" w:hAnsi="Arial Narrow" w:cs="Arial"/>
          <w:sz w:val="24"/>
          <w:szCs w:val="24"/>
        </w:rPr>
        <w:t xml:space="preserve"> ante la Asamblea General en la Equidad Seguros y como representantes de los Fondos de Empleados por el Distrito 3 (Cauca, Valle y Nariño).</w:t>
      </w:r>
    </w:p>
    <w:p w14:paraId="22308A19" w14:textId="77777777" w:rsidR="007F09C3" w:rsidRPr="007F09C3" w:rsidRDefault="007F09C3" w:rsidP="007F09C3">
      <w:pPr>
        <w:jc w:val="both"/>
        <w:rPr>
          <w:rFonts w:ascii="Arial Narrow" w:hAnsi="Arial Narrow" w:cs="Arial"/>
          <w:sz w:val="24"/>
          <w:szCs w:val="24"/>
        </w:rPr>
      </w:pPr>
    </w:p>
    <w:p w14:paraId="3B2EAA70" w14:textId="77777777" w:rsidR="007F09C3" w:rsidRPr="007F09C3" w:rsidRDefault="007F09C3" w:rsidP="007F09C3">
      <w:pPr>
        <w:rPr>
          <w:rFonts w:ascii="Arial Narrow" w:hAnsi="Arial Narrow"/>
          <w:sz w:val="24"/>
          <w:szCs w:val="24"/>
        </w:rPr>
      </w:pPr>
      <w:r w:rsidRPr="007F09C3">
        <w:rPr>
          <w:rFonts w:ascii="Arial Narrow" w:hAnsi="Arial Narrow"/>
          <w:sz w:val="24"/>
          <w:szCs w:val="24"/>
        </w:rPr>
        <w:br w:type="page"/>
      </w:r>
    </w:p>
    <w:p w14:paraId="433A06A0" w14:textId="7EC25387" w:rsidR="007E21BD" w:rsidRPr="007E21BD" w:rsidRDefault="007E21BD" w:rsidP="007E21BD">
      <w:pPr>
        <w:pStyle w:val="Prrafodelista"/>
        <w:numPr>
          <w:ilvl w:val="0"/>
          <w:numId w:val="1"/>
        </w:numPr>
        <w:shd w:val="clear" w:color="auto" w:fill="385623" w:themeFill="accent6" w:themeFillShade="80"/>
        <w:ind w:right="48"/>
        <w:contextualSpacing/>
        <w:rPr>
          <w:rFonts w:ascii="Arial Narrow" w:hAnsi="Arial Narrow" w:cs="Calibri"/>
          <w:b/>
          <w:color w:val="FFFFFF" w:themeColor="background1"/>
          <w:sz w:val="24"/>
          <w:szCs w:val="24"/>
          <w:lang w:val="es-CO"/>
        </w:rPr>
      </w:pPr>
      <w:r>
        <w:rPr>
          <w:rFonts w:ascii="Arial Narrow" w:hAnsi="Arial Narrow" w:cs="Calibri"/>
          <w:b/>
          <w:color w:val="FFFFFF" w:themeColor="background1"/>
          <w:sz w:val="24"/>
          <w:szCs w:val="24"/>
          <w:lang w:val="es-CO"/>
        </w:rPr>
        <w:lastRenderedPageBreak/>
        <w:t>BALANCE SOCIAL REPORTADO A LA SUPERSOLIDARIA</w:t>
      </w:r>
    </w:p>
    <w:p w14:paraId="671B3E06" w14:textId="77777777" w:rsidR="007E21BD" w:rsidRDefault="007E21BD" w:rsidP="007E21BD">
      <w:pPr>
        <w:jc w:val="both"/>
        <w:rPr>
          <w:rFonts w:ascii="Arial Narrow" w:hAnsi="Arial Narrow" w:cstheme="minorHAnsi"/>
          <w:bCs/>
          <w:sz w:val="26"/>
          <w:szCs w:val="26"/>
          <w:lang w:val="es-CO"/>
        </w:rPr>
      </w:pPr>
    </w:p>
    <w:tbl>
      <w:tblPr>
        <w:tblW w:w="5379" w:type="pct"/>
        <w:tblInd w:w="-157" w:type="dxa"/>
        <w:tblCellMar>
          <w:left w:w="70" w:type="dxa"/>
          <w:right w:w="70" w:type="dxa"/>
        </w:tblCellMar>
        <w:tblLook w:val="04A0" w:firstRow="1" w:lastRow="0" w:firstColumn="1" w:lastColumn="0" w:noHBand="0" w:noVBand="1"/>
      </w:tblPr>
      <w:tblGrid>
        <w:gridCol w:w="3522"/>
        <w:gridCol w:w="725"/>
        <w:gridCol w:w="724"/>
        <w:gridCol w:w="724"/>
        <w:gridCol w:w="741"/>
        <w:gridCol w:w="815"/>
        <w:gridCol w:w="839"/>
        <w:gridCol w:w="724"/>
        <w:gridCol w:w="724"/>
        <w:gridCol w:w="722"/>
      </w:tblGrid>
      <w:tr w:rsidR="007E21BD" w:rsidRPr="007E21BD" w14:paraId="69E8D6CC" w14:textId="77777777" w:rsidTr="00975F7F">
        <w:trPr>
          <w:trHeight w:val="113"/>
          <w:tblHeader/>
        </w:trPr>
        <w:tc>
          <w:tcPr>
            <w:tcW w:w="1716" w:type="pct"/>
            <w:tcBorders>
              <w:top w:val="single" w:sz="12" w:space="0" w:color="FFFFFF"/>
              <w:left w:val="single" w:sz="12" w:space="0" w:color="FFFFFF"/>
              <w:bottom w:val="single" w:sz="12" w:space="0" w:color="FFFFFF"/>
              <w:right w:val="single" w:sz="12" w:space="0" w:color="FFFFFF"/>
            </w:tcBorders>
            <w:shd w:val="clear" w:color="000000" w:fill="002060"/>
            <w:vAlign w:val="center"/>
            <w:hideMark/>
          </w:tcPr>
          <w:p w14:paraId="1B27661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Entidad</w:t>
            </w:r>
          </w:p>
        </w:tc>
        <w:tc>
          <w:tcPr>
            <w:tcW w:w="353" w:type="pct"/>
            <w:tcBorders>
              <w:top w:val="single" w:sz="12" w:space="0" w:color="FFFFFF"/>
              <w:left w:val="nil"/>
              <w:bottom w:val="nil"/>
              <w:right w:val="nil"/>
            </w:tcBorders>
            <w:shd w:val="clear" w:color="000000" w:fill="002060"/>
            <w:noWrap/>
            <w:vAlign w:val="center"/>
            <w:hideMark/>
          </w:tcPr>
          <w:p w14:paraId="51844823" w14:textId="77777777" w:rsidR="007E21BD" w:rsidRPr="007E21BD" w:rsidRDefault="007E21BD" w:rsidP="00DA4A09">
            <w:pP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Sector</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5AD04101"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Top 4</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025A987C"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Megas</w:t>
            </w:r>
          </w:p>
        </w:tc>
        <w:tc>
          <w:tcPr>
            <w:tcW w:w="361" w:type="pct"/>
            <w:tcBorders>
              <w:top w:val="single" w:sz="8" w:space="0" w:color="002060"/>
              <w:left w:val="single" w:sz="8" w:space="0" w:color="002060"/>
              <w:bottom w:val="single" w:sz="8" w:space="0" w:color="002060"/>
              <w:right w:val="nil"/>
            </w:tcBorders>
            <w:shd w:val="clear" w:color="000000" w:fill="00B0F0"/>
            <w:noWrap/>
            <w:vAlign w:val="center"/>
            <w:hideMark/>
          </w:tcPr>
          <w:p w14:paraId="68988DB5"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Grandes</w:t>
            </w:r>
          </w:p>
        </w:tc>
        <w:tc>
          <w:tcPr>
            <w:tcW w:w="397" w:type="pct"/>
            <w:tcBorders>
              <w:top w:val="single" w:sz="8" w:space="0" w:color="002060"/>
              <w:left w:val="single" w:sz="8" w:space="0" w:color="002060"/>
              <w:bottom w:val="single" w:sz="8" w:space="0" w:color="002060"/>
              <w:right w:val="nil"/>
            </w:tcBorders>
            <w:shd w:val="clear" w:color="000000" w:fill="00B0F0"/>
            <w:noWrap/>
            <w:vAlign w:val="center"/>
            <w:hideMark/>
          </w:tcPr>
          <w:p w14:paraId="3F814F98"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Medianas</w:t>
            </w:r>
          </w:p>
        </w:tc>
        <w:tc>
          <w:tcPr>
            <w:tcW w:w="409" w:type="pct"/>
            <w:tcBorders>
              <w:top w:val="single" w:sz="8" w:space="0" w:color="002060"/>
              <w:left w:val="single" w:sz="8" w:space="0" w:color="002060"/>
              <w:bottom w:val="single" w:sz="8" w:space="0" w:color="002060"/>
              <w:right w:val="nil"/>
            </w:tcBorders>
            <w:shd w:val="clear" w:color="000000" w:fill="00B0F0"/>
            <w:noWrap/>
            <w:vAlign w:val="center"/>
            <w:hideMark/>
          </w:tcPr>
          <w:p w14:paraId="5ED747D8"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Pequeñas</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03EC0A35"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Micro 1</w:t>
            </w:r>
          </w:p>
        </w:tc>
        <w:tc>
          <w:tcPr>
            <w:tcW w:w="353" w:type="pct"/>
            <w:tcBorders>
              <w:top w:val="single" w:sz="8" w:space="0" w:color="002060"/>
              <w:left w:val="single" w:sz="8" w:space="0" w:color="002060"/>
              <w:bottom w:val="single" w:sz="8" w:space="0" w:color="002060"/>
              <w:right w:val="nil"/>
            </w:tcBorders>
            <w:shd w:val="clear" w:color="000000" w:fill="00B0F0"/>
            <w:noWrap/>
            <w:vAlign w:val="center"/>
            <w:hideMark/>
          </w:tcPr>
          <w:p w14:paraId="1150337A" w14:textId="77777777" w:rsidR="007E21BD" w:rsidRPr="007E21BD" w:rsidRDefault="007E21BD" w:rsidP="00DA4A09">
            <w:pPr>
              <w:rPr>
                <w:rFonts w:ascii="Arial Narrow" w:hAnsi="Arial Narrow" w:cs="Calibri"/>
                <w:b/>
                <w:bCs/>
                <w:color w:val="002060"/>
                <w:sz w:val="16"/>
                <w:szCs w:val="16"/>
                <w:lang w:val="es-CO" w:eastAsia="es-CO"/>
              </w:rPr>
            </w:pPr>
            <w:proofErr w:type="spellStart"/>
            <w:r w:rsidRPr="007E21BD">
              <w:rPr>
                <w:rFonts w:ascii="Arial Narrow" w:hAnsi="Arial Narrow" w:cs="Calibri"/>
                <w:b/>
                <w:bCs/>
                <w:color w:val="FF0000"/>
                <w:sz w:val="16"/>
                <w:szCs w:val="16"/>
                <w:lang w:val="es-CO" w:eastAsia="es-CO"/>
              </w:rPr>
              <w:t>Coop</w:t>
            </w:r>
            <w:proofErr w:type="spellEnd"/>
          </w:p>
        </w:tc>
        <w:tc>
          <w:tcPr>
            <w:tcW w:w="352" w:type="pct"/>
            <w:tcBorders>
              <w:top w:val="single" w:sz="8" w:space="0" w:color="002060"/>
              <w:left w:val="single" w:sz="8" w:space="0" w:color="002060"/>
              <w:bottom w:val="single" w:sz="8" w:space="0" w:color="002060"/>
              <w:right w:val="nil"/>
            </w:tcBorders>
            <w:shd w:val="clear" w:color="000000" w:fill="00B0F0"/>
            <w:noWrap/>
            <w:vAlign w:val="center"/>
            <w:hideMark/>
          </w:tcPr>
          <w:p w14:paraId="4CD386D7" w14:textId="77777777" w:rsidR="007E21BD" w:rsidRPr="007E21BD" w:rsidRDefault="007E21BD" w:rsidP="00DA4A09">
            <w:pP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Micro 2</w:t>
            </w:r>
          </w:p>
        </w:tc>
      </w:tr>
      <w:tr w:rsidR="007E21BD" w:rsidRPr="007E21BD" w14:paraId="0738781F" w14:textId="77777777" w:rsidTr="00975F7F">
        <w:trPr>
          <w:trHeight w:val="113"/>
        </w:trPr>
        <w:tc>
          <w:tcPr>
            <w:tcW w:w="1716" w:type="pct"/>
            <w:tcBorders>
              <w:top w:val="nil"/>
              <w:left w:val="nil"/>
              <w:bottom w:val="nil"/>
              <w:right w:val="nil"/>
            </w:tcBorders>
            <w:shd w:val="clear" w:color="auto" w:fill="auto"/>
            <w:vAlign w:val="center"/>
            <w:hideMark/>
          </w:tcPr>
          <w:p w14:paraId="24853125" w14:textId="77777777" w:rsidR="007E21BD" w:rsidRPr="007E21BD" w:rsidRDefault="007E21BD" w:rsidP="00DA4A09">
            <w:pPr>
              <w:jc w:val="center"/>
              <w:rPr>
                <w:rFonts w:ascii="Arial Narrow" w:hAnsi="Arial Narrow" w:cs="Calibri"/>
                <w:b/>
                <w:bCs/>
                <w:color w:val="70AD47"/>
                <w:sz w:val="16"/>
                <w:szCs w:val="16"/>
                <w:lang w:val="es-CO" w:eastAsia="es-CO"/>
              </w:rPr>
            </w:pPr>
            <w:r w:rsidRPr="007E21BD">
              <w:rPr>
                <w:rFonts w:ascii="Arial Narrow" w:hAnsi="Arial Narrow" w:cs="Calibri"/>
                <w:b/>
                <w:bCs/>
                <w:color w:val="70AD47"/>
                <w:sz w:val="16"/>
                <w:szCs w:val="16"/>
                <w:lang w:val="es-CO" w:eastAsia="es-CO"/>
              </w:rPr>
              <w:t>Satisfactorio (&gt;60)</w:t>
            </w:r>
          </w:p>
        </w:tc>
        <w:tc>
          <w:tcPr>
            <w:tcW w:w="353" w:type="pct"/>
            <w:tcBorders>
              <w:top w:val="nil"/>
              <w:left w:val="single" w:sz="12" w:space="0" w:color="002060"/>
              <w:bottom w:val="single" w:sz="12" w:space="0" w:color="002060"/>
              <w:right w:val="single" w:sz="12" w:space="0" w:color="002060"/>
            </w:tcBorders>
            <w:shd w:val="clear" w:color="auto" w:fill="auto"/>
            <w:noWrap/>
            <w:vAlign w:val="center"/>
            <w:hideMark/>
          </w:tcPr>
          <w:p w14:paraId="24BB1489"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380F992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19</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4973F8D0"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20</w:t>
            </w:r>
          </w:p>
        </w:tc>
        <w:tc>
          <w:tcPr>
            <w:tcW w:w="361" w:type="pct"/>
            <w:tcBorders>
              <w:top w:val="nil"/>
              <w:left w:val="single" w:sz="8" w:space="0" w:color="002060"/>
              <w:bottom w:val="single" w:sz="8" w:space="0" w:color="002060"/>
              <w:right w:val="single" w:sz="8" w:space="0" w:color="002060"/>
            </w:tcBorders>
            <w:shd w:val="clear" w:color="auto" w:fill="auto"/>
            <w:noWrap/>
            <w:vAlign w:val="center"/>
            <w:hideMark/>
          </w:tcPr>
          <w:p w14:paraId="011D168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24</w:t>
            </w:r>
          </w:p>
        </w:tc>
        <w:tc>
          <w:tcPr>
            <w:tcW w:w="397" w:type="pct"/>
            <w:tcBorders>
              <w:top w:val="nil"/>
              <w:left w:val="single" w:sz="8" w:space="0" w:color="002060"/>
              <w:bottom w:val="single" w:sz="8" w:space="0" w:color="002060"/>
              <w:right w:val="single" w:sz="8" w:space="0" w:color="002060"/>
            </w:tcBorders>
            <w:shd w:val="clear" w:color="auto" w:fill="auto"/>
            <w:noWrap/>
            <w:vAlign w:val="center"/>
            <w:hideMark/>
          </w:tcPr>
          <w:p w14:paraId="53F555F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20</w:t>
            </w:r>
          </w:p>
        </w:tc>
        <w:tc>
          <w:tcPr>
            <w:tcW w:w="409" w:type="pct"/>
            <w:tcBorders>
              <w:top w:val="nil"/>
              <w:left w:val="single" w:sz="8" w:space="0" w:color="002060"/>
              <w:bottom w:val="single" w:sz="8" w:space="0" w:color="002060"/>
              <w:right w:val="single" w:sz="8" w:space="0" w:color="002060"/>
            </w:tcBorders>
            <w:shd w:val="clear" w:color="auto" w:fill="auto"/>
            <w:noWrap/>
            <w:vAlign w:val="center"/>
            <w:hideMark/>
          </w:tcPr>
          <w:p w14:paraId="05F09FC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7B2F7F6B"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17</w:t>
            </w:r>
          </w:p>
        </w:tc>
        <w:tc>
          <w:tcPr>
            <w:tcW w:w="353" w:type="pct"/>
            <w:tcBorders>
              <w:top w:val="nil"/>
              <w:left w:val="nil"/>
              <w:bottom w:val="single" w:sz="8" w:space="0" w:color="FFFFFF"/>
              <w:right w:val="single" w:sz="8" w:space="0" w:color="FFFFFF"/>
            </w:tcBorders>
            <w:shd w:val="clear" w:color="000000" w:fill="002060"/>
            <w:noWrap/>
            <w:vAlign w:val="center"/>
            <w:hideMark/>
          </w:tcPr>
          <w:p w14:paraId="6838270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10</w:t>
            </w:r>
          </w:p>
        </w:tc>
        <w:tc>
          <w:tcPr>
            <w:tcW w:w="352" w:type="pct"/>
            <w:tcBorders>
              <w:top w:val="nil"/>
              <w:left w:val="single" w:sz="8" w:space="0" w:color="002060"/>
              <w:bottom w:val="single" w:sz="8" w:space="0" w:color="002060"/>
              <w:right w:val="single" w:sz="8" w:space="0" w:color="002060"/>
            </w:tcBorders>
            <w:shd w:val="clear" w:color="auto" w:fill="auto"/>
            <w:noWrap/>
            <w:vAlign w:val="center"/>
            <w:hideMark/>
          </w:tcPr>
          <w:p w14:paraId="4D3F0F3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22</w:t>
            </w:r>
          </w:p>
        </w:tc>
      </w:tr>
      <w:tr w:rsidR="007E21BD" w:rsidRPr="007E21BD" w14:paraId="325B75AC" w14:textId="77777777" w:rsidTr="00975F7F">
        <w:trPr>
          <w:trHeight w:val="113"/>
        </w:trPr>
        <w:tc>
          <w:tcPr>
            <w:tcW w:w="1716" w:type="pct"/>
            <w:tcBorders>
              <w:top w:val="nil"/>
              <w:left w:val="nil"/>
              <w:bottom w:val="nil"/>
              <w:right w:val="nil"/>
            </w:tcBorders>
            <w:shd w:val="clear" w:color="auto" w:fill="auto"/>
            <w:vAlign w:val="center"/>
            <w:hideMark/>
          </w:tcPr>
          <w:p w14:paraId="1C64F263" w14:textId="77777777" w:rsidR="007E21BD" w:rsidRPr="007E21BD" w:rsidRDefault="007E21BD" w:rsidP="00DA4A09">
            <w:pPr>
              <w:jc w:val="center"/>
              <w:rPr>
                <w:rFonts w:ascii="Arial Narrow" w:hAnsi="Arial Narrow" w:cs="Calibri"/>
                <w:b/>
                <w:bCs/>
                <w:color w:val="FFC000"/>
                <w:sz w:val="16"/>
                <w:szCs w:val="16"/>
                <w:lang w:val="es-CO" w:eastAsia="es-CO"/>
              </w:rPr>
            </w:pPr>
            <w:r w:rsidRPr="007E21BD">
              <w:rPr>
                <w:rFonts w:ascii="Arial Narrow" w:hAnsi="Arial Narrow" w:cs="Calibri"/>
                <w:b/>
                <w:bCs/>
                <w:color w:val="FFC000"/>
                <w:sz w:val="16"/>
                <w:szCs w:val="16"/>
                <w:lang w:val="es-CO" w:eastAsia="es-CO"/>
              </w:rPr>
              <w:t>Aceptable (40-60)</w:t>
            </w:r>
          </w:p>
        </w:tc>
        <w:tc>
          <w:tcPr>
            <w:tcW w:w="353" w:type="pct"/>
            <w:tcBorders>
              <w:top w:val="nil"/>
              <w:left w:val="single" w:sz="12" w:space="0" w:color="002060"/>
              <w:bottom w:val="single" w:sz="12" w:space="0" w:color="002060"/>
              <w:right w:val="single" w:sz="12" w:space="0" w:color="002060"/>
            </w:tcBorders>
            <w:shd w:val="clear" w:color="auto" w:fill="auto"/>
            <w:noWrap/>
            <w:vAlign w:val="center"/>
            <w:hideMark/>
          </w:tcPr>
          <w:p w14:paraId="67B3917C"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6EE133D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4</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508F7BC0"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8</w:t>
            </w:r>
          </w:p>
        </w:tc>
        <w:tc>
          <w:tcPr>
            <w:tcW w:w="361" w:type="pct"/>
            <w:tcBorders>
              <w:top w:val="nil"/>
              <w:left w:val="single" w:sz="8" w:space="0" w:color="002060"/>
              <w:bottom w:val="single" w:sz="8" w:space="0" w:color="002060"/>
              <w:right w:val="single" w:sz="8" w:space="0" w:color="002060"/>
            </w:tcBorders>
            <w:shd w:val="clear" w:color="auto" w:fill="auto"/>
            <w:noWrap/>
            <w:vAlign w:val="center"/>
            <w:hideMark/>
          </w:tcPr>
          <w:p w14:paraId="2B8B664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6</w:t>
            </w:r>
          </w:p>
        </w:tc>
        <w:tc>
          <w:tcPr>
            <w:tcW w:w="397" w:type="pct"/>
            <w:tcBorders>
              <w:top w:val="nil"/>
              <w:left w:val="single" w:sz="8" w:space="0" w:color="002060"/>
              <w:bottom w:val="single" w:sz="8" w:space="0" w:color="002060"/>
              <w:right w:val="single" w:sz="8" w:space="0" w:color="002060"/>
            </w:tcBorders>
            <w:shd w:val="clear" w:color="auto" w:fill="auto"/>
            <w:noWrap/>
            <w:vAlign w:val="center"/>
            <w:hideMark/>
          </w:tcPr>
          <w:p w14:paraId="1DDF1FAA"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10</w:t>
            </w:r>
          </w:p>
        </w:tc>
        <w:tc>
          <w:tcPr>
            <w:tcW w:w="409" w:type="pct"/>
            <w:tcBorders>
              <w:top w:val="nil"/>
              <w:left w:val="single" w:sz="8" w:space="0" w:color="002060"/>
              <w:bottom w:val="single" w:sz="8" w:space="0" w:color="002060"/>
              <w:right w:val="single" w:sz="8" w:space="0" w:color="002060"/>
            </w:tcBorders>
            <w:shd w:val="clear" w:color="auto" w:fill="auto"/>
            <w:noWrap/>
            <w:vAlign w:val="center"/>
            <w:hideMark/>
          </w:tcPr>
          <w:p w14:paraId="13CE71E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71F3BC9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12</w:t>
            </w:r>
          </w:p>
        </w:tc>
        <w:tc>
          <w:tcPr>
            <w:tcW w:w="353" w:type="pct"/>
            <w:tcBorders>
              <w:top w:val="nil"/>
              <w:left w:val="nil"/>
              <w:bottom w:val="single" w:sz="8" w:space="0" w:color="FFFFFF"/>
              <w:right w:val="single" w:sz="8" w:space="0" w:color="FFFFFF"/>
            </w:tcBorders>
            <w:shd w:val="clear" w:color="000000" w:fill="002060"/>
            <w:noWrap/>
            <w:vAlign w:val="center"/>
            <w:hideMark/>
          </w:tcPr>
          <w:p w14:paraId="2E98119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w:t>
            </w:r>
          </w:p>
        </w:tc>
        <w:tc>
          <w:tcPr>
            <w:tcW w:w="352" w:type="pct"/>
            <w:tcBorders>
              <w:top w:val="nil"/>
              <w:left w:val="single" w:sz="8" w:space="0" w:color="002060"/>
              <w:bottom w:val="single" w:sz="8" w:space="0" w:color="002060"/>
              <w:right w:val="single" w:sz="8" w:space="0" w:color="002060"/>
            </w:tcBorders>
            <w:shd w:val="clear" w:color="auto" w:fill="auto"/>
            <w:noWrap/>
            <w:vAlign w:val="center"/>
            <w:hideMark/>
          </w:tcPr>
          <w:p w14:paraId="1AE7314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6</w:t>
            </w:r>
          </w:p>
        </w:tc>
      </w:tr>
      <w:tr w:rsidR="007E21BD" w:rsidRPr="007E21BD" w14:paraId="083FFBFD" w14:textId="77777777" w:rsidTr="00975F7F">
        <w:trPr>
          <w:trHeight w:val="113"/>
        </w:trPr>
        <w:tc>
          <w:tcPr>
            <w:tcW w:w="1716" w:type="pct"/>
            <w:tcBorders>
              <w:top w:val="nil"/>
              <w:left w:val="nil"/>
              <w:bottom w:val="nil"/>
              <w:right w:val="nil"/>
            </w:tcBorders>
            <w:shd w:val="clear" w:color="auto" w:fill="auto"/>
            <w:vAlign w:val="center"/>
            <w:hideMark/>
          </w:tcPr>
          <w:p w14:paraId="79BE1661" w14:textId="77777777" w:rsidR="007E21BD" w:rsidRPr="007E21BD" w:rsidRDefault="007E21BD" w:rsidP="00DA4A09">
            <w:pPr>
              <w:jc w:val="center"/>
              <w:rPr>
                <w:rFonts w:ascii="Arial Narrow" w:hAnsi="Arial Narrow" w:cs="Calibri"/>
                <w:b/>
                <w:bCs/>
                <w:color w:val="FF0000"/>
                <w:sz w:val="16"/>
                <w:szCs w:val="16"/>
                <w:lang w:val="es-CO" w:eastAsia="es-CO"/>
              </w:rPr>
            </w:pPr>
            <w:r w:rsidRPr="007E21BD">
              <w:rPr>
                <w:rFonts w:ascii="Arial Narrow" w:hAnsi="Arial Narrow" w:cs="Calibri"/>
                <w:b/>
                <w:bCs/>
                <w:color w:val="FF0000"/>
                <w:sz w:val="16"/>
                <w:szCs w:val="16"/>
                <w:lang w:val="es-CO" w:eastAsia="es-CO"/>
              </w:rPr>
              <w:t>Oportunidad de Mejora ( Hasta 39)</w:t>
            </w:r>
          </w:p>
        </w:tc>
        <w:tc>
          <w:tcPr>
            <w:tcW w:w="353" w:type="pct"/>
            <w:tcBorders>
              <w:top w:val="nil"/>
              <w:left w:val="single" w:sz="12" w:space="0" w:color="002060"/>
              <w:bottom w:val="single" w:sz="12" w:space="0" w:color="002060"/>
              <w:right w:val="single" w:sz="12" w:space="0" w:color="002060"/>
            </w:tcBorders>
            <w:shd w:val="clear" w:color="auto" w:fill="auto"/>
            <w:noWrap/>
            <w:vAlign w:val="center"/>
            <w:hideMark/>
          </w:tcPr>
          <w:p w14:paraId="0C6D91B6"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627B9A0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19</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3ACFFC9E"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14</w:t>
            </w:r>
          </w:p>
        </w:tc>
        <w:tc>
          <w:tcPr>
            <w:tcW w:w="361" w:type="pct"/>
            <w:tcBorders>
              <w:top w:val="nil"/>
              <w:left w:val="single" w:sz="8" w:space="0" w:color="002060"/>
              <w:bottom w:val="single" w:sz="8" w:space="0" w:color="002060"/>
              <w:right w:val="single" w:sz="8" w:space="0" w:color="002060"/>
            </w:tcBorders>
            <w:shd w:val="clear" w:color="auto" w:fill="auto"/>
            <w:noWrap/>
            <w:vAlign w:val="center"/>
            <w:hideMark/>
          </w:tcPr>
          <w:p w14:paraId="581B1496"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12</w:t>
            </w:r>
          </w:p>
        </w:tc>
        <w:tc>
          <w:tcPr>
            <w:tcW w:w="397" w:type="pct"/>
            <w:tcBorders>
              <w:top w:val="nil"/>
              <w:left w:val="single" w:sz="8" w:space="0" w:color="002060"/>
              <w:bottom w:val="single" w:sz="8" w:space="0" w:color="002060"/>
              <w:right w:val="single" w:sz="8" w:space="0" w:color="002060"/>
            </w:tcBorders>
            <w:shd w:val="clear" w:color="auto" w:fill="auto"/>
            <w:noWrap/>
            <w:vAlign w:val="center"/>
            <w:hideMark/>
          </w:tcPr>
          <w:p w14:paraId="21F19A82"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12</w:t>
            </w:r>
          </w:p>
        </w:tc>
        <w:tc>
          <w:tcPr>
            <w:tcW w:w="409" w:type="pct"/>
            <w:tcBorders>
              <w:top w:val="nil"/>
              <w:left w:val="single" w:sz="8" w:space="0" w:color="002060"/>
              <w:bottom w:val="single" w:sz="8" w:space="0" w:color="002060"/>
              <w:right w:val="single" w:sz="8" w:space="0" w:color="002060"/>
            </w:tcBorders>
            <w:shd w:val="clear" w:color="auto" w:fill="auto"/>
            <w:noWrap/>
            <w:vAlign w:val="center"/>
            <w:hideMark/>
          </w:tcPr>
          <w:p w14:paraId="4CC122C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20</w:t>
            </w:r>
          </w:p>
        </w:tc>
        <w:tc>
          <w:tcPr>
            <w:tcW w:w="353" w:type="pct"/>
            <w:tcBorders>
              <w:top w:val="nil"/>
              <w:left w:val="single" w:sz="8" w:space="0" w:color="002060"/>
              <w:bottom w:val="single" w:sz="8" w:space="0" w:color="002060"/>
              <w:right w:val="single" w:sz="8" w:space="0" w:color="002060"/>
            </w:tcBorders>
            <w:shd w:val="clear" w:color="auto" w:fill="auto"/>
            <w:noWrap/>
            <w:vAlign w:val="center"/>
            <w:hideMark/>
          </w:tcPr>
          <w:p w14:paraId="2860E77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13</w:t>
            </w:r>
          </w:p>
        </w:tc>
        <w:tc>
          <w:tcPr>
            <w:tcW w:w="353" w:type="pct"/>
            <w:tcBorders>
              <w:top w:val="nil"/>
              <w:left w:val="nil"/>
              <w:bottom w:val="single" w:sz="8" w:space="0" w:color="FFFFFF"/>
              <w:right w:val="single" w:sz="8" w:space="0" w:color="FFFFFF"/>
            </w:tcBorders>
            <w:shd w:val="clear" w:color="000000" w:fill="002060"/>
            <w:noWrap/>
            <w:vAlign w:val="center"/>
            <w:hideMark/>
          </w:tcPr>
          <w:p w14:paraId="289BB32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26</w:t>
            </w:r>
          </w:p>
        </w:tc>
        <w:tc>
          <w:tcPr>
            <w:tcW w:w="352" w:type="pct"/>
            <w:tcBorders>
              <w:top w:val="nil"/>
              <w:left w:val="single" w:sz="8" w:space="0" w:color="002060"/>
              <w:bottom w:val="single" w:sz="8" w:space="0" w:color="002060"/>
              <w:right w:val="single" w:sz="8" w:space="0" w:color="002060"/>
            </w:tcBorders>
            <w:shd w:val="clear" w:color="auto" w:fill="auto"/>
            <w:noWrap/>
            <w:vAlign w:val="center"/>
            <w:hideMark/>
          </w:tcPr>
          <w:p w14:paraId="783444CA"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14</w:t>
            </w:r>
          </w:p>
        </w:tc>
      </w:tr>
      <w:tr w:rsidR="007E21BD" w:rsidRPr="007E21BD" w14:paraId="3B2E4201" w14:textId="77777777" w:rsidTr="00975F7F">
        <w:trPr>
          <w:trHeight w:val="113"/>
        </w:trPr>
        <w:tc>
          <w:tcPr>
            <w:tcW w:w="1716" w:type="pct"/>
            <w:tcBorders>
              <w:top w:val="nil"/>
              <w:left w:val="nil"/>
              <w:bottom w:val="nil"/>
              <w:right w:val="nil"/>
            </w:tcBorders>
            <w:shd w:val="clear" w:color="auto" w:fill="auto"/>
            <w:noWrap/>
            <w:vAlign w:val="center"/>
            <w:hideMark/>
          </w:tcPr>
          <w:p w14:paraId="19B2BD1A" w14:textId="77777777" w:rsidR="007E21BD" w:rsidRPr="007E21BD" w:rsidRDefault="007E21BD" w:rsidP="00DA4A09">
            <w:pPr>
              <w:jc w:val="center"/>
              <w:rPr>
                <w:rFonts w:ascii="Arial Narrow" w:hAnsi="Arial Narrow" w:cs="Calibri"/>
                <w:b/>
                <w:bCs/>
                <w:color w:val="002060"/>
                <w:sz w:val="16"/>
                <w:szCs w:val="16"/>
                <w:lang w:val="es-CO" w:eastAsia="es-CO"/>
              </w:rPr>
            </w:pPr>
          </w:p>
        </w:tc>
        <w:tc>
          <w:tcPr>
            <w:tcW w:w="353" w:type="pct"/>
            <w:tcBorders>
              <w:top w:val="nil"/>
              <w:left w:val="nil"/>
              <w:bottom w:val="nil"/>
              <w:right w:val="nil"/>
            </w:tcBorders>
            <w:shd w:val="clear" w:color="auto" w:fill="auto"/>
            <w:noWrap/>
            <w:vAlign w:val="bottom"/>
            <w:hideMark/>
          </w:tcPr>
          <w:p w14:paraId="790D5E04"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10DCBBEA"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7F21A83E" w14:textId="77777777" w:rsidR="007E21BD" w:rsidRPr="007E21BD" w:rsidRDefault="007E21BD" w:rsidP="00DA4A09">
            <w:pPr>
              <w:rPr>
                <w:sz w:val="16"/>
                <w:szCs w:val="16"/>
                <w:lang w:val="es-CO" w:eastAsia="es-CO"/>
              </w:rPr>
            </w:pPr>
          </w:p>
        </w:tc>
        <w:tc>
          <w:tcPr>
            <w:tcW w:w="361" w:type="pct"/>
            <w:tcBorders>
              <w:top w:val="nil"/>
              <w:left w:val="nil"/>
              <w:bottom w:val="nil"/>
              <w:right w:val="nil"/>
            </w:tcBorders>
            <w:shd w:val="clear" w:color="auto" w:fill="auto"/>
            <w:noWrap/>
            <w:vAlign w:val="center"/>
            <w:hideMark/>
          </w:tcPr>
          <w:p w14:paraId="4940411E" w14:textId="77777777" w:rsidR="007E21BD" w:rsidRPr="007E21BD" w:rsidRDefault="007E21BD" w:rsidP="00DA4A09">
            <w:pPr>
              <w:rPr>
                <w:sz w:val="16"/>
                <w:szCs w:val="16"/>
                <w:lang w:val="es-CO" w:eastAsia="es-CO"/>
              </w:rPr>
            </w:pPr>
          </w:p>
        </w:tc>
        <w:tc>
          <w:tcPr>
            <w:tcW w:w="397" w:type="pct"/>
            <w:tcBorders>
              <w:top w:val="nil"/>
              <w:left w:val="nil"/>
              <w:bottom w:val="nil"/>
              <w:right w:val="nil"/>
            </w:tcBorders>
            <w:shd w:val="clear" w:color="auto" w:fill="auto"/>
            <w:noWrap/>
            <w:vAlign w:val="center"/>
            <w:hideMark/>
          </w:tcPr>
          <w:p w14:paraId="410EF9A2" w14:textId="77777777" w:rsidR="007E21BD" w:rsidRPr="007E21BD" w:rsidRDefault="007E21BD" w:rsidP="00DA4A09">
            <w:pPr>
              <w:rPr>
                <w:sz w:val="16"/>
                <w:szCs w:val="16"/>
                <w:lang w:val="es-CO" w:eastAsia="es-CO"/>
              </w:rPr>
            </w:pPr>
          </w:p>
        </w:tc>
        <w:tc>
          <w:tcPr>
            <w:tcW w:w="409" w:type="pct"/>
            <w:tcBorders>
              <w:top w:val="nil"/>
              <w:left w:val="nil"/>
              <w:bottom w:val="nil"/>
              <w:right w:val="nil"/>
            </w:tcBorders>
            <w:shd w:val="clear" w:color="auto" w:fill="auto"/>
            <w:noWrap/>
            <w:vAlign w:val="center"/>
            <w:hideMark/>
          </w:tcPr>
          <w:p w14:paraId="768B9E9B"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65508995"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5DBAFAE9" w14:textId="77777777" w:rsidR="007E21BD" w:rsidRPr="007E21BD" w:rsidRDefault="007E21BD" w:rsidP="00DA4A09">
            <w:pPr>
              <w:rPr>
                <w:sz w:val="16"/>
                <w:szCs w:val="16"/>
                <w:lang w:val="es-CO" w:eastAsia="es-CO"/>
              </w:rPr>
            </w:pPr>
          </w:p>
        </w:tc>
        <w:tc>
          <w:tcPr>
            <w:tcW w:w="352" w:type="pct"/>
            <w:tcBorders>
              <w:top w:val="nil"/>
              <w:left w:val="nil"/>
              <w:bottom w:val="nil"/>
              <w:right w:val="nil"/>
            </w:tcBorders>
            <w:shd w:val="clear" w:color="auto" w:fill="auto"/>
            <w:noWrap/>
            <w:vAlign w:val="center"/>
            <w:hideMark/>
          </w:tcPr>
          <w:p w14:paraId="6938980E" w14:textId="77777777" w:rsidR="007E21BD" w:rsidRPr="007E21BD" w:rsidRDefault="007E21BD" w:rsidP="00DA4A09">
            <w:pPr>
              <w:rPr>
                <w:sz w:val="16"/>
                <w:szCs w:val="16"/>
                <w:lang w:val="es-CO" w:eastAsia="es-CO"/>
              </w:rPr>
            </w:pPr>
          </w:p>
        </w:tc>
      </w:tr>
      <w:tr w:rsidR="007E21BD" w:rsidRPr="007E21BD" w14:paraId="3EA338DC" w14:textId="77777777" w:rsidTr="00975F7F">
        <w:trPr>
          <w:trHeight w:val="113"/>
        </w:trPr>
        <w:tc>
          <w:tcPr>
            <w:tcW w:w="1716" w:type="pct"/>
            <w:tcBorders>
              <w:top w:val="nil"/>
              <w:left w:val="nil"/>
              <w:bottom w:val="nil"/>
              <w:right w:val="nil"/>
            </w:tcBorders>
            <w:shd w:val="clear" w:color="000000" w:fill="002060"/>
            <w:vAlign w:val="center"/>
            <w:hideMark/>
          </w:tcPr>
          <w:p w14:paraId="78A6EFE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Nivel General Balance Social</w:t>
            </w:r>
          </w:p>
        </w:tc>
        <w:tc>
          <w:tcPr>
            <w:tcW w:w="353" w:type="pct"/>
            <w:tcBorders>
              <w:top w:val="nil"/>
              <w:left w:val="nil"/>
              <w:bottom w:val="nil"/>
              <w:right w:val="nil"/>
            </w:tcBorders>
            <w:shd w:val="clear" w:color="auto" w:fill="auto"/>
            <w:noWrap/>
            <w:vAlign w:val="bottom"/>
            <w:hideMark/>
          </w:tcPr>
          <w:p w14:paraId="374FA048"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04C4B8C3"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55%</w:t>
            </w:r>
          </w:p>
        </w:tc>
        <w:tc>
          <w:tcPr>
            <w:tcW w:w="353" w:type="pct"/>
            <w:tcBorders>
              <w:top w:val="single" w:sz="8" w:space="0" w:color="FFFFFF"/>
              <w:left w:val="nil"/>
              <w:bottom w:val="single" w:sz="8" w:space="0" w:color="FFFFFF"/>
              <w:right w:val="nil"/>
            </w:tcBorders>
            <w:shd w:val="clear" w:color="000000" w:fill="002060"/>
            <w:noWrap/>
            <w:vAlign w:val="center"/>
            <w:hideMark/>
          </w:tcPr>
          <w:p w14:paraId="09F0B2B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67%</w:t>
            </w:r>
          </w:p>
        </w:tc>
        <w:tc>
          <w:tcPr>
            <w:tcW w:w="361" w:type="pct"/>
            <w:tcBorders>
              <w:top w:val="single" w:sz="8" w:space="0" w:color="FFFFFF"/>
              <w:left w:val="nil"/>
              <w:bottom w:val="single" w:sz="8" w:space="0" w:color="FFFFFF"/>
              <w:right w:val="nil"/>
            </w:tcBorders>
            <w:shd w:val="clear" w:color="000000" w:fill="002060"/>
            <w:noWrap/>
            <w:vAlign w:val="center"/>
            <w:hideMark/>
          </w:tcPr>
          <w:p w14:paraId="7204A77D"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71%</w:t>
            </w:r>
          </w:p>
        </w:tc>
        <w:tc>
          <w:tcPr>
            <w:tcW w:w="397" w:type="pct"/>
            <w:tcBorders>
              <w:top w:val="single" w:sz="8" w:space="0" w:color="FFFFFF"/>
              <w:left w:val="nil"/>
              <w:bottom w:val="single" w:sz="8" w:space="0" w:color="FFFFFF"/>
              <w:right w:val="nil"/>
            </w:tcBorders>
            <w:shd w:val="clear" w:color="000000" w:fill="002060"/>
            <w:noWrap/>
            <w:vAlign w:val="center"/>
            <w:hideMark/>
          </w:tcPr>
          <w:p w14:paraId="379A492B"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71%</w:t>
            </w:r>
          </w:p>
        </w:tc>
        <w:tc>
          <w:tcPr>
            <w:tcW w:w="409" w:type="pct"/>
            <w:tcBorders>
              <w:top w:val="single" w:sz="8" w:space="0" w:color="FFFFFF"/>
              <w:left w:val="nil"/>
              <w:bottom w:val="single" w:sz="8" w:space="0" w:color="FFFFFF"/>
              <w:right w:val="nil"/>
            </w:tcBorders>
            <w:shd w:val="clear" w:color="000000" w:fill="002060"/>
            <w:noWrap/>
            <w:vAlign w:val="center"/>
            <w:hideMark/>
          </w:tcPr>
          <w:p w14:paraId="34F5B9A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52%</w:t>
            </w:r>
          </w:p>
        </w:tc>
        <w:tc>
          <w:tcPr>
            <w:tcW w:w="353" w:type="pct"/>
            <w:tcBorders>
              <w:top w:val="single" w:sz="8" w:space="0" w:color="FFFFFF"/>
              <w:left w:val="nil"/>
              <w:bottom w:val="single" w:sz="8" w:space="0" w:color="FFFFFF"/>
              <w:right w:val="nil"/>
            </w:tcBorders>
            <w:shd w:val="clear" w:color="000000" w:fill="002060"/>
            <w:noWrap/>
            <w:vAlign w:val="center"/>
            <w:hideMark/>
          </w:tcPr>
          <w:p w14:paraId="51E137DA"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69%</w:t>
            </w:r>
          </w:p>
        </w:tc>
        <w:tc>
          <w:tcPr>
            <w:tcW w:w="353" w:type="pct"/>
            <w:tcBorders>
              <w:top w:val="nil"/>
              <w:left w:val="nil"/>
              <w:bottom w:val="nil"/>
              <w:right w:val="nil"/>
            </w:tcBorders>
            <w:shd w:val="clear" w:color="000000" w:fill="002060"/>
            <w:noWrap/>
            <w:vAlign w:val="center"/>
            <w:hideMark/>
          </w:tcPr>
          <w:p w14:paraId="482898C3"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38%</w:t>
            </w:r>
          </w:p>
        </w:tc>
        <w:tc>
          <w:tcPr>
            <w:tcW w:w="352" w:type="pct"/>
            <w:tcBorders>
              <w:top w:val="single" w:sz="8" w:space="0" w:color="FFFFFF"/>
              <w:left w:val="nil"/>
              <w:bottom w:val="single" w:sz="8" w:space="0" w:color="FFFFFF"/>
              <w:right w:val="nil"/>
            </w:tcBorders>
            <w:shd w:val="clear" w:color="000000" w:fill="002060"/>
            <w:noWrap/>
            <w:vAlign w:val="center"/>
            <w:hideMark/>
          </w:tcPr>
          <w:p w14:paraId="58794043"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67%</w:t>
            </w:r>
          </w:p>
        </w:tc>
      </w:tr>
      <w:tr w:rsidR="007E21BD" w:rsidRPr="007E21BD" w14:paraId="2C11F0F4" w14:textId="77777777" w:rsidTr="00975F7F">
        <w:trPr>
          <w:trHeight w:val="113"/>
        </w:trPr>
        <w:tc>
          <w:tcPr>
            <w:tcW w:w="1716" w:type="pct"/>
            <w:tcBorders>
              <w:top w:val="nil"/>
              <w:left w:val="nil"/>
              <w:bottom w:val="nil"/>
              <w:right w:val="nil"/>
            </w:tcBorders>
            <w:shd w:val="clear" w:color="auto" w:fill="auto"/>
            <w:noWrap/>
            <w:vAlign w:val="center"/>
            <w:hideMark/>
          </w:tcPr>
          <w:p w14:paraId="16C926B1" w14:textId="77777777" w:rsidR="007E21BD" w:rsidRPr="007E21BD" w:rsidRDefault="007E21BD" w:rsidP="00DA4A09">
            <w:pPr>
              <w:jc w:val="right"/>
              <w:rPr>
                <w:rFonts w:ascii="Arial Narrow" w:hAnsi="Arial Narrow" w:cs="Calibri"/>
                <w:color w:val="FFFFFF"/>
                <w:sz w:val="16"/>
                <w:szCs w:val="16"/>
                <w:lang w:val="es-CO" w:eastAsia="es-CO"/>
              </w:rPr>
            </w:pPr>
          </w:p>
        </w:tc>
        <w:tc>
          <w:tcPr>
            <w:tcW w:w="353" w:type="pct"/>
            <w:tcBorders>
              <w:top w:val="nil"/>
              <w:left w:val="nil"/>
              <w:bottom w:val="nil"/>
              <w:right w:val="nil"/>
            </w:tcBorders>
            <w:shd w:val="clear" w:color="auto" w:fill="auto"/>
            <w:noWrap/>
            <w:vAlign w:val="bottom"/>
            <w:hideMark/>
          </w:tcPr>
          <w:p w14:paraId="3DDE14D1"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0BD15877"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793B8C18" w14:textId="77777777" w:rsidR="007E21BD" w:rsidRPr="007E21BD" w:rsidRDefault="007E21BD" w:rsidP="00DA4A09">
            <w:pPr>
              <w:rPr>
                <w:sz w:val="16"/>
                <w:szCs w:val="16"/>
                <w:lang w:val="es-CO" w:eastAsia="es-CO"/>
              </w:rPr>
            </w:pPr>
          </w:p>
        </w:tc>
        <w:tc>
          <w:tcPr>
            <w:tcW w:w="361" w:type="pct"/>
            <w:tcBorders>
              <w:top w:val="nil"/>
              <w:left w:val="nil"/>
              <w:bottom w:val="nil"/>
              <w:right w:val="nil"/>
            </w:tcBorders>
            <w:shd w:val="clear" w:color="auto" w:fill="auto"/>
            <w:noWrap/>
            <w:vAlign w:val="center"/>
            <w:hideMark/>
          </w:tcPr>
          <w:p w14:paraId="7C7A5DC4" w14:textId="77777777" w:rsidR="007E21BD" w:rsidRPr="007E21BD" w:rsidRDefault="007E21BD" w:rsidP="00DA4A09">
            <w:pPr>
              <w:rPr>
                <w:sz w:val="16"/>
                <w:szCs w:val="16"/>
                <w:lang w:val="es-CO" w:eastAsia="es-CO"/>
              </w:rPr>
            </w:pPr>
          </w:p>
        </w:tc>
        <w:tc>
          <w:tcPr>
            <w:tcW w:w="397" w:type="pct"/>
            <w:tcBorders>
              <w:top w:val="nil"/>
              <w:left w:val="nil"/>
              <w:bottom w:val="nil"/>
              <w:right w:val="nil"/>
            </w:tcBorders>
            <w:shd w:val="clear" w:color="auto" w:fill="auto"/>
            <w:noWrap/>
            <w:vAlign w:val="center"/>
            <w:hideMark/>
          </w:tcPr>
          <w:p w14:paraId="7D6C1B84" w14:textId="77777777" w:rsidR="007E21BD" w:rsidRPr="007E21BD" w:rsidRDefault="007E21BD" w:rsidP="00DA4A09">
            <w:pPr>
              <w:rPr>
                <w:sz w:val="16"/>
                <w:szCs w:val="16"/>
                <w:lang w:val="es-CO" w:eastAsia="es-CO"/>
              </w:rPr>
            </w:pPr>
          </w:p>
        </w:tc>
        <w:tc>
          <w:tcPr>
            <w:tcW w:w="409" w:type="pct"/>
            <w:tcBorders>
              <w:top w:val="nil"/>
              <w:left w:val="nil"/>
              <w:bottom w:val="nil"/>
              <w:right w:val="nil"/>
            </w:tcBorders>
            <w:shd w:val="clear" w:color="auto" w:fill="auto"/>
            <w:noWrap/>
            <w:vAlign w:val="center"/>
            <w:hideMark/>
          </w:tcPr>
          <w:p w14:paraId="376885C6"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3FE0C948" w14:textId="77777777" w:rsidR="007E21BD" w:rsidRPr="007E21BD" w:rsidRDefault="007E21BD" w:rsidP="00DA4A09">
            <w:pPr>
              <w:rPr>
                <w:sz w:val="16"/>
                <w:szCs w:val="16"/>
                <w:lang w:val="es-CO" w:eastAsia="es-CO"/>
              </w:rPr>
            </w:pPr>
          </w:p>
        </w:tc>
        <w:tc>
          <w:tcPr>
            <w:tcW w:w="353" w:type="pct"/>
            <w:tcBorders>
              <w:top w:val="nil"/>
              <w:left w:val="nil"/>
              <w:bottom w:val="nil"/>
              <w:right w:val="nil"/>
            </w:tcBorders>
            <w:shd w:val="clear" w:color="auto" w:fill="auto"/>
            <w:noWrap/>
            <w:vAlign w:val="center"/>
            <w:hideMark/>
          </w:tcPr>
          <w:p w14:paraId="2D96AC85" w14:textId="77777777" w:rsidR="007E21BD" w:rsidRPr="007E21BD" w:rsidRDefault="007E21BD" w:rsidP="00DA4A09">
            <w:pPr>
              <w:rPr>
                <w:sz w:val="16"/>
                <w:szCs w:val="16"/>
                <w:lang w:val="es-CO" w:eastAsia="es-CO"/>
              </w:rPr>
            </w:pPr>
          </w:p>
        </w:tc>
        <w:tc>
          <w:tcPr>
            <w:tcW w:w="352" w:type="pct"/>
            <w:tcBorders>
              <w:top w:val="nil"/>
              <w:left w:val="nil"/>
              <w:bottom w:val="nil"/>
              <w:right w:val="nil"/>
            </w:tcBorders>
            <w:shd w:val="clear" w:color="auto" w:fill="auto"/>
            <w:noWrap/>
            <w:vAlign w:val="center"/>
            <w:hideMark/>
          </w:tcPr>
          <w:p w14:paraId="08652A3C" w14:textId="77777777" w:rsidR="007E21BD" w:rsidRPr="007E21BD" w:rsidRDefault="007E21BD" w:rsidP="00DA4A09">
            <w:pPr>
              <w:rPr>
                <w:sz w:val="16"/>
                <w:szCs w:val="16"/>
                <w:lang w:val="es-CO" w:eastAsia="es-CO"/>
              </w:rPr>
            </w:pPr>
          </w:p>
        </w:tc>
      </w:tr>
      <w:tr w:rsidR="007E21BD" w:rsidRPr="007E21BD" w14:paraId="5FC435A2" w14:textId="77777777" w:rsidTr="00975F7F">
        <w:trPr>
          <w:trHeight w:val="113"/>
        </w:trPr>
        <w:tc>
          <w:tcPr>
            <w:tcW w:w="1716" w:type="pct"/>
            <w:tcBorders>
              <w:top w:val="nil"/>
              <w:left w:val="nil"/>
              <w:bottom w:val="nil"/>
              <w:right w:val="nil"/>
            </w:tcBorders>
            <w:shd w:val="clear" w:color="000000" w:fill="002060"/>
            <w:vAlign w:val="center"/>
            <w:hideMark/>
          </w:tcPr>
          <w:p w14:paraId="47557A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Principio 1 - Administración Democrática, participativa, autogestionaria</w:t>
            </w:r>
          </w:p>
        </w:tc>
        <w:tc>
          <w:tcPr>
            <w:tcW w:w="353" w:type="pct"/>
            <w:tcBorders>
              <w:top w:val="nil"/>
              <w:left w:val="nil"/>
              <w:bottom w:val="nil"/>
              <w:right w:val="nil"/>
            </w:tcBorders>
            <w:shd w:val="clear" w:color="auto" w:fill="auto"/>
            <w:noWrap/>
            <w:vAlign w:val="bottom"/>
            <w:hideMark/>
          </w:tcPr>
          <w:p w14:paraId="353A6A3A"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1D09F5A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56%</w:t>
            </w:r>
          </w:p>
        </w:tc>
        <w:tc>
          <w:tcPr>
            <w:tcW w:w="353" w:type="pct"/>
            <w:tcBorders>
              <w:top w:val="single" w:sz="8" w:space="0" w:color="FFFFFF"/>
              <w:left w:val="nil"/>
              <w:bottom w:val="single" w:sz="8" w:space="0" w:color="FFFFFF"/>
              <w:right w:val="nil"/>
            </w:tcBorders>
            <w:shd w:val="clear" w:color="000000" w:fill="002060"/>
            <w:noWrap/>
            <w:vAlign w:val="center"/>
            <w:hideMark/>
          </w:tcPr>
          <w:p w14:paraId="22230069"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56%</w:t>
            </w:r>
          </w:p>
        </w:tc>
        <w:tc>
          <w:tcPr>
            <w:tcW w:w="361" w:type="pct"/>
            <w:tcBorders>
              <w:top w:val="single" w:sz="8" w:space="0" w:color="FFFFFF"/>
              <w:left w:val="nil"/>
              <w:bottom w:val="single" w:sz="8" w:space="0" w:color="FFFFFF"/>
              <w:right w:val="nil"/>
            </w:tcBorders>
            <w:shd w:val="clear" w:color="000000" w:fill="002060"/>
            <w:noWrap/>
            <w:vAlign w:val="center"/>
            <w:hideMark/>
          </w:tcPr>
          <w:p w14:paraId="33D37AB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78%</w:t>
            </w:r>
          </w:p>
        </w:tc>
        <w:tc>
          <w:tcPr>
            <w:tcW w:w="397" w:type="pct"/>
            <w:tcBorders>
              <w:top w:val="single" w:sz="8" w:space="0" w:color="FFFFFF"/>
              <w:left w:val="nil"/>
              <w:bottom w:val="single" w:sz="8" w:space="0" w:color="FFFFFF"/>
              <w:right w:val="nil"/>
            </w:tcBorders>
            <w:shd w:val="clear" w:color="000000" w:fill="002060"/>
            <w:noWrap/>
            <w:vAlign w:val="center"/>
            <w:hideMark/>
          </w:tcPr>
          <w:p w14:paraId="5317654B"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89%</w:t>
            </w:r>
          </w:p>
        </w:tc>
        <w:tc>
          <w:tcPr>
            <w:tcW w:w="409" w:type="pct"/>
            <w:tcBorders>
              <w:top w:val="single" w:sz="8" w:space="0" w:color="FFFFFF"/>
              <w:left w:val="nil"/>
              <w:bottom w:val="single" w:sz="8" w:space="0" w:color="FFFFFF"/>
              <w:right w:val="nil"/>
            </w:tcBorders>
            <w:shd w:val="clear" w:color="000000" w:fill="002060"/>
            <w:noWrap/>
            <w:vAlign w:val="center"/>
            <w:hideMark/>
          </w:tcPr>
          <w:p w14:paraId="4395CB88"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78%</w:t>
            </w:r>
          </w:p>
        </w:tc>
        <w:tc>
          <w:tcPr>
            <w:tcW w:w="353" w:type="pct"/>
            <w:tcBorders>
              <w:top w:val="single" w:sz="8" w:space="0" w:color="FFFFFF"/>
              <w:left w:val="nil"/>
              <w:bottom w:val="single" w:sz="8" w:space="0" w:color="FFFFFF"/>
              <w:right w:val="nil"/>
            </w:tcBorders>
            <w:shd w:val="clear" w:color="000000" w:fill="002060"/>
            <w:noWrap/>
            <w:vAlign w:val="center"/>
            <w:hideMark/>
          </w:tcPr>
          <w:p w14:paraId="64ADFFB7"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89%</w:t>
            </w:r>
          </w:p>
        </w:tc>
        <w:tc>
          <w:tcPr>
            <w:tcW w:w="353" w:type="pct"/>
            <w:tcBorders>
              <w:top w:val="nil"/>
              <w:left w:val="nil"/>
              <w:bottom w:val="nil"/>
              <w:right w:val="nil"/>
            </w:tcBorders>
            <w:shd w:val="clear" w:color="000000" w:fill="002060"/>
            <w:noWrap/>
            <w:vAlign w:val="center"/>
            <w:hideMark/>
          </w:tcPr>
          <w:p w14:paraId="0237EB1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44%</w:t>
            </w:r>
          </w:p>
        </w:tc>
        <w:tc>
          <w:tcPr>
            <w:tcW w:w="352" w:type="pct"/>
            <w:tcBorders>
              <w:top w:val="single" w:sz="8" w:space="0" w:color="FFFFFF"/>
              <w:left w:val="nil"/>
              <w:bottom w:val="single" w:sz="8" w:space="0" w:color="FFFFFF"/>
              <w:right w:val="nil"/>
            </w:tcBorders>
            <w:shd w:val="clear" w:color="000000" w:fill="002060"/>
            <w:noWrap/>
            <w:vAlign w:val="center"/>
            <w:hideMark/>
          </w:tcPr>
          <w:p w14:paraId="3643BD5C"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89%</w:t>
            </w:r>
          </w:p>
        </w:tc>
      </w:tr>
      <w:tr w:rsidR="007E21BD" w:rsidRPr="007E21BD" w14:paraId="5186F11B"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054A761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Asociados activos</w:t>
            </w:r>
          </w:p>
        </w:tc>
        <w:tc>
          <w:tcPr>
            <w:tcW w:w="353" w:type="pct"/>
            <w:tcBorders>
              <w:top w:val="single" w:sz="12" w:space="0" w:color="FFFFFF"/>
              <w:left w:val="nil"/>
              <w:bottom w:val="nil"/>
              <w:right w:val="nil"/>
            </w:tcBorders>
            <w:shd w:val="clear" w:color="000000" w:fill="002060"/>
            <w:noWrap/>
            <w:vAlign w:val="center"/>
            <w:hideMark/>
          </w:tcPr>
          <w:p w14:paraId="14A071C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70,71%</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A3A701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49,14%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EEBA33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83,34%</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10E11B9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74,27%</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26EB786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75,44%</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32778C8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77,98%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2F578B0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93,58%</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4C7CB5C0"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93,80%</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6755616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91,83%</w:t>
            </w:r>
          </w:p>
        </w:tc>
      </w:tr>
      <w:tr w:rsidR="007E21BD" w:rsidRPr="007E21BD" w14:paraId="52374EAF"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0DC6B3B"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30A88C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62E2C0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45C24C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DFB68B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60EC20F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DB8CB3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559CF8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17A7ABB"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42C31CD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70B9D82E"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ED267D7"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Participación democrática asistencia delegados o asociados</w:t>
            </w:r>
          </w:p>
        </w:tc>
        <w:tc>
          <w:tcPr>
            <w:tcW w:w="353" w:type="pct"/>
            <w:tcBorders>
              <w:top w:val="single" w:sz="12" w:space="0" w:color="FFFFFF"/>
              <w:left w:val="nil"/>
              <w:bottom w:val="nil"/>
              <w:right w:val="nil"/>
            </w:tcBorders>
            <w:shd w:val="clear" w:color="000000" w:fill="002060"/>
            <w:noWrap/>
            <w:vAlign w:val="center"/>
            <w:hideMark/>
          </w:tcPr>
          <w:p w14:paraId="58E67BE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20,12%</w:t>
            </w:r>
          </w:p>
        </w:tc>
        <w:tc>
          <w:tcPr>
            <w:tcW w:w="353" w:type="pct"/>
            <w:tcBorders>
              <w:top w:val="nil"/>
              <w:left w:val="single" w:sz="8" w:space="0" w:color="002060"/>
              <w:bottom w:val="single" w:sz="8" w:space="0" w:color="002060"/>
              <w:right w:val="nil"/>
            </w:tcBorders>
            <w:shd w:val="clear" w:color="000000" w:fill="2F75B5"/>
            <w:noWrap/>
            <w:vAlign w:val="center"/>
            <w:hideMark/>
          </w:tcPr>
          <w:p w14:paraId="1D2BE36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7,03%</w:t>
            </w:r>
          </w:p>
        </w:tc>
        <w:tc>
          <w:tcPr>
            <w:tcW w:w="353" w:type="pct"/>
            <w:tcBorders>
              <w:top w:val="nil"/>
              <w:left w:val="single" w:sz="8" w:space="0" w:color="002060"/>
              <w:bottom w:val="single" w:sz="8" w:space="0" w:color="002060"/>
              <w:right w:val="nil"/>
            </w:tcBorders>
            <w:shd w:val="clear" w:color="000000" w:fill="2F75B5"/>
            <w:noWrap/>
            <w:vAlign w:val="center"/>
            <w:hideMark/>
          </w:tcPr>
          <w:p w14:paraId="37BF866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25,70%</w:t>
            </w:r>
          </w:p>
        </w:tc>
        <w:tc>
          <w:tcPr>
            <w:tcW w:w="361" w:type="pct"/>
            <w:tcBorders>
              <w:top w:val="nil"/>
              <w:left w:val="single" w:sz="8" w:space="0" w:color="002060"/>
              <w:bottom w:val="single" w:sz="8" w:space="0" w:color="002060"/>
              <w:right w:val="nil"/>
            </w:tcBorders>
            <w:shd w:val="clear" w:color="000000" w:fill="2F75B5"/>
            <w:noWrap/>
            <w:vAlign w:val="center"/>
            <w:hideMark/>
          </w:tcPr>
          <w:p w14:paraId="4994597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26,75%</w:t>
            </w:r>
          </w:p>
        </w:tc>
        <w:tc>
          <w:tcPr>
            <w:tcW w:w="397" w:type="pct"/>
            <w:tcBorders>
              <w:top w:val="nil"/>
              <w:left w:val="single" w:sz="8" w:space="0" w:color="002060"/>
              <w:bottom w:val="single" w:sz="8" w:space="0" w:color="002060"/>
              <w:right w:val="nil"/>
            </w:tcBorders>
            <w:shd w:val="clear" w:color="000000" w:fill="2F75B5"/>
            <w:noWrap/>
            <w:vAlign w:val="center"/>
            <w:hideMark/>
          </w:tcPr>
          <w:p w14:paraId="5B39E71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21,78%</w:t>
            </w:r>
          </w:p>
        </w:tc>
        <w:tc>
          <w:tcPr>
            <w:tcW w:w="409" w:type="pct"/>
            <w:tcBorders>
              <w:top w:val="nil"/>
              <w:left w:val="single" w:sz="8" w:space="0" w:color="002060"/>
              <w:bottom w:val="single" w:sz="8" w:space="0" w:color="002060"/>
              <w:right w:val="nil"/>
            </w:tcBorders>
            <w:shd w:val="clear" w:color="000000" w:fill="2F75B5"/>
            <w:noWrap/>
            <w:vAlign w:val="center"/>
            <w:hideMark/>
          </w:tcPr>
          <w:p w14:paraId="5763B05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42,88%</w:t>
            </w:r>
          </w:p>
        </w:tc>
        <w:tc>
          <w:tcPr>
            <w:tcW w:w="353" w:type="pct"/>
            <w:tcBorders>
              <w:top w:val="nil"/>
              <w:left w:val="single" w:sz="8" w:space="0" w:color="002060"/>
              <w:bottom w:val="single" w:sz="8" w:space="0" w:color="002060"/>
              <w:right w:val="nil"/>
            </w:tcBorders>
            <w:shd w:val="clear" w:color="000000" w:fill="2F75B5"/>
            <w:noWrap/>
            <w:vAlign w:val="center"/>
            <w:hideMark/>
          </w:tcPr>
          <w:p w14:paraId="267159B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31,00%</w:t>
            </w:r>
          </w:p>
        </w:tc>
        <w:tc>
          <w:tcPr>
            <w:tcW w:w="353" w:type="pct"/>
            <w:tcBorders>
              <w:top w:val="nil"/>
              <w:left w:val="single" w:sz="8" w:space="0" w:color="002060"/>
              <w:bottom w:val="single" w:sz="8" w:space="0" w:color="002060"/>
              <w:right w:val="nil"/>
            </w:tcBorders>
            <w:shd w:val="clear" w:color="auto" w:fill="auto"/>
            <w:noWrap/>
            <w:vAlign w:val="center"/>
            <w:hideMark/>
          </w:tcPr>
          <w:p w14:paraId="658BA65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24,58%</w:t>
            </w:r>
          </w:p>
        </w:tc>
        <w:tc>
          <w:tcPr>
            <w:tcW w:w="352" w:type="pct"/>
            <w:tcBorders>
              <w:top w:val="nil"/>
              <w:left w:val="single" w:sz="8" w:space="0" w:color="002060"/>
              <w:bottom w:val="single" w:sz="8" w:space="0" w:color="002060"/>
              <w:right w:val="nil"/>
            </w:tcBorders>
            <w:shd w:val="clear" w:color="000000" w:fill="2F75B5"/>
            <w:noWrap/>
            <w:vAlign w:val="center"/>
            <w:hideMark/>
          </w:tcPr>
          <w:p w14:paraId="3978F77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29,63%</w:t>
            </w:r>
          </w:p>
        </w:tc>
      </w:tr>
      <w:tr w:rsidR="007E21BD" w:rsidRPr="007E21BD" w14:paraId="2F305F99"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4A7620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467C5F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C22430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97293D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2B9ED50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075F6EA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7324888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B95B18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8C85AD7"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5951B8E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4C88F13D"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6DD041F4"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Participación democrática votación delegados</w:t>
            </w:r>
          </w:p>
        </w:tc>
        <w:tc>
          <w:tcPr>
            <w:tcW w:w="353" w:type="pct"/>
            <w:tcBorders>
              <w:top w:val="single" w:sz="12" w:space="0" w:color="FFFFFF"/>
              <w:left w:val="nil"/>
              <w:bottom w:val="nil"/>
              <w:right w:val="nil"/>
            </w:tcBorders>
            <w:shd w:val="clear" w:color="000000" w:fill="002060"/>
            <w:noWrap/>
            <w:vAlign w:val="center"/>
            <w:hideMark/>
          </w:tcPr>
          <w:p w14:paraId="697F118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20,12%</w:t>
            </w:r>
          </w:p>
        </w:tc>
        <w:tc>
          <w:tcPr>
            <w:tcW w:w="353" w:type="pct"/>
            <w:tcBorders>
              <w:top w:val="nil"/>
              <w:left w:val="single" w:sz="8" w:space="0" w:color="002060"/>
              <w:bottom w:val="single" w:sz="8" w:space="0" w:color="002060"/>
              <w:right w:val="nil"/>
            </w:tcBorders>
            <w:shd w:val="clear" w:color="000000" w:fill="2F75B5"/>
            <w:noWrap/>
            <w:vAlign w:val="center"/>
            <w:hideMark/>
          </w:tcPr>
          <w:p w14:paraId="4ACFFA1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7,03%</w:t>
            </w:r>
          </w:p>
        </w:tc>
        <w:tc>
          <w:tcPr>
            <w:tcW w:w="353" w:type="pct"/>
            <w:tcBorders>
              <w:top w:val="nil"/>
              <w:left w:val="single" w:sz="8" w:space="0" w:color="002060"/>
              <w:bottom w:val="single" w:sz="8" w:space="0" w:color="002060"/>
              <w:right w:val="nil"/>
            </w:tcBorders>
            <w:shd w:val="clear" w:color="000000" w:fill="2F75B5"/>
            <w:noWrap/>
            <w:vAlign w:val="center"/>
            <w:hideMark/>
          </w:tcPr>
          <w:p w14:paraId="27BA88A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25,70%</w:t>
            </w:r>
          </w:p>
        </w:tc>
        <w:tc>
          <w:tcPr>
            <w:tcW w:w="361" w:type="pct"/>
            <w:tcBorders>
              <w:top w:val="nil"/>
              <w:left w:val="single" w:sz="8" w:space="0" w:color="002060"/>
              <w:bottom w:val="single" w:sz="8" w:space="0" w:color="002060"/>
              <w:right w:val="nil"/>
            </w:tcBorders>
            <w:shd w:val="clear" w:color="000000" w:fill="2F75B5"/>
            <w:noWrap/>
            <w:vAlign w:val="center"/>
            <w:hideMark/>
          </w:tcPr>
          <w:p w14:paraId="3A19DE1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26,75%</w:t>
            </w:r>
          </w:p>
        </w:tc>
        <w:tc>
          <w:tcPr>
            <w:tcW w:w="397" w:type="pct"/>
            <w:tcBorders>
              <w:top w:val="nil"/>
              <w:left w:val="single" w:sz="8" w:space="0" w:color="002060"/>
              <w:bottom w:val="single" w:sz="8" w:space="0" w:color="002060"/>
              <w:right w:val="nil"/>
            </w:tcBorders>
            <w:shd w:val="clear" w:color="000000" w:fill="2F75B5"/>
            <w:noWrap/>
            <w:vAlign w:val="center"/>
            <w:hideMark/>
          </w:tcPr>
          <w:p w14:paraId="0D68F2C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21,78%</w:t>
            </w:r>
          </w:p>
        </w:tc>
        <w:tc>
          <w:tcPr>
            <w:tcW w:w="409" w:type="pct"/>
            <w:tcBorders>
              <w:top w:val="nil"/>
              <w:left w:val="single" w:sz="8" w:space="0" w:color="002060"/>
              <w:bottom w:val="single" w:sz="8" w:space="0" w:color="002060"/>
              <w:right w:val="nil"/>
            </w:tcBorders>
            <w:shd w:val="clear" w:color="000000" w:fill="2F75B5"/>
            <w:noWrap/>
            <w:vAlign w:val="center"/>
            <w:hideMark/>
          </w:tcPr>
          <w:p w14:paraId="0E3612B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42,88%</w:t>
            </w:r>
          </w:p>
        </w:tc>
        <w:tc>
          <w:tcPr>
            <w:tcW w:w="353" w:type="pct"/>
            <w:tcBorders>
              <w:top w:val="nil"/>
              <w:left w:val="single" w:sz="8" w:space="0" w:color="002060"/>
              <w:bottom w:val="single" w:sz="8" w:space="0" w:color="002060"/>
              <w:right w:val="nil"/>
            </w:tcBorders>
            <w:shd w:val="clear" w:color="000000" w:fill="2F75B5"/>
            <w:noWrap/>
            <w:vAlign w:val="center"/>
            <w:hideMark/>
          </w:tcPr>
          <w:p w14:paraId="4B788AD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31,00%</w:t>
            </w:r>
          </w:p>
        </w:tc>
        <w:tc>
          <w:tcPr>
            <w:tcW w:w="353" w:type="pct"/>
            <w:tcBorders>
              <w:top w:val="nil"/>
              <w:left w:val="single" w:sz="8" w:space="0" w:color="002060"/>
              <w:bottom w:val="single" w:sz="8" w:space="0" w:color="002060"/>
              <w:right w:val="nil"/>
            </w:tcBorders>
            <w:shd w:val="clear" w:color="auto" w:fill="auto"/>
            <w:noWrap/>
            <w:vAlign w:val="center"/>
            <w:hideMark/>
          </w:tcPr>
          <w:p w14:paraId="6A740358"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24,58%</w:t>
            </w:r>
          </w:p>
        </w:tc>
        <w:tc>
          <w:tcPr>
            <w:tcW w:w="352" w:type="pct"/>
            <w:tcBorders>
              <w:top w:val="nil"/>
              <w:left w:val="single" w:sz="8" w:space="0" w:color="002060"/>
              <w:bottom w:val="single" w:sz="8" w:space="0" w:color="002060"/>
              <w:right w:val="nil"/>
            </w:tcBorders>
            <w:shd w:val="clear" w:color="000000" w:fill="2F75B5"/>
            <w:noWrap/>
            <w:vAlign w:val="center"/>
            <w:hideMark/>
          </w:tcPr>
          <w:p w14:paraId="7FB1369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29,63%</w:t>
            </w:r>
          </w:p>
        </w:tc>
      </w:tr>
      <w:tr w:rsidR="007E21BD" w:rsidRPr="007E21BD" w14:paraId="43B252FD"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C9B80A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4A3A28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49E9AF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3ABB69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D89B0C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64F92E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5C405E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C245D0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A114F52"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051CFA1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1E7011C5"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B269492"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Diversidad democrática</w:t>
            </w:r>
          </w:p>
        </w:tc>
        <w:tc>
          <w:tcPr>
            <w:tcW w:w="353" w:type="pct"/>
            <w:tcBorders>
              <w:top w:val="single" w:sz="12" w:space="0" w:color="FFFFFF"/>
              <w:left w:val="nil"/>
              <w:bottom w:val="nil"/>
              <w:right w:val="nil"/>
            </w:tcBorders>
            <w:shd w:val="clear" w:color="000000" w:fill="002060"/>
            <w:noWrap/>
            <w:vAlign w:val="center"/>
            <w:hideMark/>
          </w:tcPr>
          <w:p w14:paraId="021E64A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67,07%</w:t>
            </w:r>
          </w:p>
        </w:tc>
        <w:tc>
          <w:tcPr>
            <w:tcW w:w="353" w:type="pct"/>
            <w:tcBorders>
              <w:top w:val="nil"/>
              <w:left w:val="single" w:sz="8" w:space="0" w:color="002060"/>
              <w:bottom w:val="single" w:sz="8" w:space="0" w:color="002060"/>
              <w:right w:val="nil"/>
            </w:tcBorders>
            <w:shd w:val="clear" w:color="000000" w:fill="2F75B5"/>
            <w:noWrap/>
            <w:vAlign w:val="center"/>
            <w:hideMark/>
          </w:tcPr>
          <w:p w14:paraId="63083CA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4E0C82C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66,80%</w:t>
            </w:r>
          </w:p>
        </w:tc>
        <w:tc>
          <w:tcPr>
            <w:tcW w:w="361" w:type="pct"/>
            <w:tcBorders>
              <w:top w:val="nil"/>
              <w:left w:val="single" w:sz="8" w:space="0" w:color="002060"/>
              <w:bottom w:val="single" w:sz="8" w:space="0" w:color="002060"/>
              <w:right w:val="nil"/>
            </w:tcBorders>
            <w:shd w:val="clear" w:color="000000" w:fill="2F75B5"/>
            <w:noWrap/>
            <w:vAlign w:val="center"/>
            <w:hideMark/>
          </w:tcPr>
          <w:p w14:paraId="5102EE0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70,29%</w:t>
            </w:r>
          </w:p>
        </w:tc>
        <w:tc>
          <w:tcPr>
            <w:tcW w:w="397" w:type="pct"/>
            <w:tcBorders>
              <w:top w:val="nil"/>
              <w:left w:val="single" w:sz="8" w:space="0" w:color="002060"/>
              <w:bottom w:val="single" w:sz="8" w:space="0" w:color="002060"/>
              <w:right w:val="nil"/>
            </w:tcBorders>
            <w:shd w:val="clear" w:color="000000" w:fill="2F75B5"/>
            <w:noWrap/>
            <w:vAlign w:val="center"/>
            <w:hideMark/>
          </w:tcPr>
          <w:p w14:paraId="7872708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409" w:type="pct"/>
            <w:tcBorders>
              <w:top w:val="nil"/>
              <w:left w:val="single" w:sz="8" w:space="0" w:color="002060"/>
              <w:bottom w:val="single" w:sz="8" w:space="0" w:color="002060"/>
              <w:right w:val="nil"/>
            </w:tcBorders>
            <w:shd w:val="clear" w:color="000000" w:fill="2F75B5"/>
            <w:noWrap/>
            <w:vAlign w:val="center"/>
            <w:hideMark/>
          </w:tcPr>
          <w:p w14:paraId="59542A7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76,45%</w:t>
            </w:r>
          </w:p>
        </w:tc>
        <w:tc>
          <w:tcPr>
            <w:tcW w:w="353" w:type="pct"/>
            <w:tcBorders>
              <w:top w:val="nil"/>
              <w:left w:val="single" w:sz="8" w:space="0" w:color="002060"/>
              <w:bottom w:val="single" w:sz="8" w:space="0" w:color="002060"/>
              <w:right w:val="nil"/>
            </w:tcBorders>
            <w:shd w:val="clear" w:color="000000" w:fill="2F75B5"/>
            <w:noWrap/>
            <w:vAlign w:val="center"/>
            <w:hideMark/>
          </w:tcPr>
          <w:p w14:paraId="0CEEB47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61,04%</w:t>
            </w:r>
          </w:p>
        </w:tc>
        <w:tc>
          <w:tcPr>
            <w:tcW w:w="353" w:type="pct"/>
            <w:tcBorders>
              <w:top w:val="nil"/>
              <w:left w:val="single" w:sz="8" w:space="0" w:color="002060"/>
              <w:bottom w:val="single" w:sz="8" w:space="0" w:color="002060"/>
              <w:right w:val="nil"/>
            </w:tcBorders>
            <w:shd w:val="clear" w:color="auto" w:fill="auto"/>
            <w:noWrap/>
            <w:vAlign w:val="center"/>
            <w:hideMark/>
          </w:tcPr>
          <w:p w14:paraId="3C8EBFEE"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100,00%</w:t>
            </w:r>
          </w:p>
        </w:tc>
        <w:tc>
          <w:tcPr>
            <w:tcW w:w="352" w:type="pct"/>
            <w:tcBorders>
              <w:top w:val="nil"/>
              <w:left w:val="single" w:sz="8" w:space="0" w:color="002060"/>
              <w:bottom w:val="single" w:sz="8" w:space="0" w:color="002060"/>
              <w:right w:val="nil"/>
            </w:tcBorders>
            <w:shd w:val="clear" w:color="000000" w:fill="2F75B5"/>
            <w:noWrap/>
            <w:vAlign w:val="center"/>
            <w:hideMark/>
          </w:tcPr>
          <w:p w14:paraId="4B65E0D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r>
      <w:tr w:rsidR="007E21BD" w:rsidRPr="007E21BD" w14:paraId="59393C16"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C666EB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0B2F6A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CADC5D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718B295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2BDA17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3FE8D26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61DCE1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71B4CD4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034226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2B182B1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7B607E11"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3C2FD1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Diversidad de participantes en órganos de dirección, administración y control</w:t>
            </w:r>
          </w:p>
        </w:tc>
        <w:tc>
          <w:tcPr>
            <w:tcW w:w="353" w:type="pct"/>
            <w:tcBorders>
              <w:top w:val="single" w:sz="12" w:space="0" w:color="FFFFFF"/>
              <w:left w:val="nil"/>
              <w:bottom w:val="nil"/>
              <w:right w:val="nil"/>
            </w:tcBorders>
            <w:shd w:val="clear" w:color="000000" w:fill="002060"/>
            <w:noWrap/>
            <w:vAlign w:val="center"/>
            <w:hideMark/>
          </w:tcPr>
          <w:p w14:paraId="6A7376A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68,39%</w:t>
            </w:r>
          </w:p>
        </w:tc>
        <w:tc>
          <w:tcPr>
            <w:tcW w:w="353" w:type="pct"/>
            <w:tcBorders>
              <w:top w:val="nil"/>
              <w:left w:val="single" w:sz="8" w:space="0" w:color="002060"/>
              <w:bottom w:val="single" w:sz="8" w:space="0" w:color="002060"/>
              <w:right w:val="nil"/>
            </w:tcBorders>
            <w:shd w:val="clear" w:color="000000" w:fill="2F75B5"/>
            <w:noWrap/>
            <w:vAlign w:val="center"/>
            <w:hideMark/>
          </w:tcPr>
          <w:p w14:paraId="6A9BB9B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72,13%</w:t>
            </w:r>
          </w:p>
        </w:tc>
        <w:tc>
          <w:tcPr>
            <w:tcW w:w="353" w:type="pct"/>
            <w:tcBorders>
              <w:top w:val="nil"/>
              <w:left w:val="single" w:sz="8" w:space="0" w:color="002060"/>
              <w:bottom w:val="single" w:sz="8" w:space="0" w:color="002060"/>
              <w:right w:val="nil"/>
            </w:tcBorders>
            <w:shd w:val="clear" w:color="000000" w:fill="2F75B5"/>
            <w:noWrap/>
            <w:vAlign w:val="center"/>
            <w:hideMark/>
          </w:tcPr>
          <w:p w14:paraId="73305B2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75,22%</w:t>
            </w:r>
          </w:p>
        </w:tc>
        <w:tc>
          <w:tcPr>
            <w:tcW w:w="361" w:type="pct"/>
            <w:tcBorders>
              <w:top w:val="nil"/>
              <w:left w:val="single" w:sz="8" w:space="0" w:color="002060"/>
              <w:bottom w:val="single" w:sz="8" w:space="0" w:color="002060"/>
              <w:right w:val="nil"/>
            </w:tcBorders>
            <w:shd w:val="clear" w:color="000000" w:fill="2F75B5"/>
            <w:noWrap/>
            <w:vAlign w:val="center"/>
            <w:hideMark/>
          </w:tcPr>
          <w:p w14:paraId="2126A1F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69,65%</w:t>
            </w:r>
          </w:p>
        </w:tc>
        <w:tc>
          <w:tcPr>
            <w:tcW w:w="397" w:type="pct"/>
            <w:tcBorders>
              <w:top w:val="nil"/>
              <w:left w:val="single" w:sz="8" w:space="0" w:color="002060"/>
              <w:bottom w:val="single" w:sz="8" w:space="0" w:color="002060"/>
              <w:right w:val="nil"/>
            </w:tcBorders>
            <w:shd w:val="clear" w:color="000000" w:fill="2F75B5"/>
            <w:noWrap/>
            <w:vAlign w:val="center"/>
            <w:hideMark/>
          </w:tcPr>
          <w:p w14:paraId="621F773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63,94%</w:t>
            </w:r>
          </w:p>
        </w:tc>
        <w:tc>
          <w:tcPr>
            <w:tcW w:w="409" w:type="pct"/>
            <w:tcBorders>
              <w:top w:val="nil"/>
              <w:left w:val="single" w:sz="8" w:space="0" w:color="002060"/>
              <w:bottom w:val="single" w:sz="8" w:space="0" w:color="002060"/>
              <w:right w:val="nil"/>
            </w:tcBorders>
            <w:shd w:val="clear" w:color="000000" w:fill="2F75B5"/>
            <w:noWrap/>
            <w:vAlign w:val="center"/>
            <w:hideMark/>
          </w:tcPr>
          <w:p w14:paraId="6C2E2D1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69,34%</w:t>
            </w:r>
          </w:p>
        </w:tc>
        <w:tc>
          <w:tcPr>
            <w:tcW w:w="353" w:type="pct"/>
            <w:tcBorders>
              <w:top w:val="nil"/>
              <w:left w:val="single" w:sz="8" w:space="0" w:color="002060"/>
              <w:bottom w:val="single" w:sz="8" w:space="0" w:color="002060"/>
              <w:right w:val="nil"/>
            </w:tcBorders>
            <w:shd w:val="clear" w:color="000000" w:fill="2F75B5"/>
            <w:noWrap/>
            <w:vAlign w:val="center"/>
            <w:hideMark/>
          </w:tcPr>
          <w:p w14:paraId="42847B3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68,18%</w:t>
            </w:r>
          </w:p>
        </w:tc>
        <w:tc>
          <w:tcPr>
            <w:tcW w:w="353" w:type="pct"/>
            <w:tcBorders>
              <w:top w:val="nil"/>
              <w:left w:val="single" w:sz="8" w:space="0" w:color="002060"/>
              <w:bottom w:val="single" w:sz="8" w:space="0" w:color="002060"/>
              <w:right w:val="nil"/>
            </w:tcBorders>
            <w:shd w:val="clear" w:color="auto" w:fill="auto"/>
            <w:noWrap/>
            <w:vAlign w:val="center"/>
            <w:hideMark/>
          </w:tcPr>
          <w:p w14:paraId="6F78895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61,54%</w:t>
            </w:r>
          </w:p>
        </w:tc>
        <w:tc>
          <w:tcPr>
            <w:tcW w:w="352" w:type="pct"/>
            <w:tcBorders>
              <w:top w:val="nil"/>
              <w:left w:val="single" w:sz="8" w:space="0" w:color="002060"/>
              <w:bottom w:val="single" w:sz="8" w:space="0" w:color="002060"/>
              <w:right w:val="nil"/>
            </w:tcBorders>
            <w:shd w:val="clear" w:color="000000" w:fill="2F75B5"/>
            <w:noWrap/>
            <w:vAlign w:val="center"/>
            <w:hideMark/>
          </w:tcPr>
          <w:p w14:paraId="7E39683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68,49%</w:t>
            </w:r>
          </w:p>
        </w:tc>
      </w:tr>
      <w:tr w:rsidR="007E21BD" w:rsidRPr="007E21BD" w14:paraId="35960667"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FD13BE6"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8F3CBC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BDDA0B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06B0C8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45CD846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FEB84"/>
            <w:noWrap/>
            <w:vAlign w:val="center"/>
            <w:hideMark/>
          </w:tcPr>
          <w:p w14:paraId="785CE43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1EACF84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6CBDF9B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4F228CBE"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7B7E412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53509737"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7806ED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Equidad de género en asamblea</w:t>
            </w:r>
          </w:p>
        </w:tc>
        <w:tc>
          <w:tcPr>
            <w:tcW w:w="353" w:type="pct"/>
            <w:tcBorders>
              <w:top w:val="single" w:sz="12" w:space="0" w:color="FFFFFF"/>
              <w:left w:val="nil"/>
              <w:bottom w:val="nil"/>
              <w:right w:val="nil"/>
            </w:tcBorders>
            <w:shd w:val="clear" w:color="000000" w:fill="002060"/>
            <w:noWrap/>
            <w:vAlign w:val="center"/>
            <w:hideMark/>
          </w:tcPr>
          <w:p w14:paraId="7529FF2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45,88%</w:t>
            </w:r>
          </w:p>
        </w:tc>
        <w:tc>
          <w:tcPr>
            <w:tcW w:w="353" w:type="pct"/>
            <w:tcBorders>
              <w:top w:val="nil"/>
              <w:left w:val="single" w:sz="8" w:space="0" w:color="002060"/>
              <w:bottom w:val="single" w:sz="8" w:space="0" w:color="002060"/>
              <w:right w:val="nil"/>
            </w:tcBorders>
            <w:shd w:val="clear" w:color="000000" w:fill="2F75B5"/>
            <w:noWrap/>
            <w:vAlign w:val="center"/>
            <w:hideMark/>
          </w:tcPr>
          <w:p w14:paraId="672D95F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43,94%</w:t>
            </w:r>
          </w:p>
        </w:tc>
        <w:tc>
          <w:tcPr>
            <w:tcW w:w="353" w:type="pct"/>
            <w:tcBorders>
              <w:top w:val="nil"/>
              <w:left w:val="single" w:sz="8" w:space="0" w:color="002060"/>
              <w:bottom w:val="single" w:sz="8" w:space="0" w:color="002060"/>
              <w:right w:val="nil"/>
            </w:tcBorders>
            <w:shd w:val="clear" w:color="000000" w:fill="2F75B5"/>
            <w:noWrap/>
            <w:vAlign w:val="center"/>
            <w:hideMark/>
          </w:tcPr>
          <w:p w14:paraId="5ADE094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38,94%</w:t>
            </w:r>
          </w:p>
        </w:tc>
        <w:tc>
          <w:tcPr>
            <w:tcW w:w="361" w:type="pct"/>
            <w:tcBorders>
              <w:top w:val="nil"/>
              <w:left w:val="single" w:sz="8" w:space="0" w:color="002060"/>
              <w:bottom w:val="single" w:sz="8" w:space="0" w:color="002060"/>
              <w:right w:val="nil"/>
            </w:tcBorders>
            <w:shd w:val="clear" w:color="000000" w:fill="2F75B5"/>
            <w:noWrap/>
            <w:vAlign w:val="center"/>
            <w:hideMark/>
          </w:tcPr>
          <w:p w14:paraId="1315E02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42,15%</w:t>
            </w:r>
          </w:p>
        </w:tc>
        <w:tc>
          <w:tcPr>
            <w:tcW w:w="397" w:type="pct"/>
            <w:tcBorders>
              <w:top w:val="nil"/>
              <w:left w:val="single" w:sz="8" w:space="0" w:color="002060"/>
              <w:bottom w:val="single" w:sz="8" w:space="0" w:color="002060"/>
              <w:right w:val="nil"/>
            </w:tcBorders>
            <w:shd w:val="clear" w:color="000000" w:fill="2F75B5"/>
            <w:noWrap/>
            <w:vAlign w:val="center"/>
            <w:hideMark/>
          </w:tcPr>
          <w:p w14:paraId="4943F97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45,71%</w:t>
            </w:r>
          </w:p>
        </w:tc>
        <w:tc>
          <w:tcPr>
            <w:tcW w:w="409" w:type="pct"/>
            <w:tcBorders>
              <w:top w:val="nil"/>
              <w:left w:val="single" w:sz="8" w:space="0" w:color="002060"/>
              <w:bottom w:val="single" w:sz="8" w:space="0" w:color="002060"/>
              <w:right w:val="nil"/>
            </w:tcBorders>
            <w:shd w:val="clear" w:color="000000" w:fill="2F75B5"/>
            <w:noWrap/>
            <w:vAlign w:val="center"/>
            <w:hideMark/>
          </w:tcPr>
          <w:p w14:paraId="4FC68C9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47,21%</w:t>
            </w:r>
          </w:p>
        </w:tc>
        <w:tc>
          <w:tcPr>
            <w:tcW w:w="353" w:type="pct"/>
            <w:tcBorders>
              <w:top w:val="nil"/>
              <w:left w:val="single" w:sz="8" w:space="0" w:color="002060"/>
              <w:bottom w:val="single" w:sz="8" w:space="0" w:color="002060"/>
              <w:right w:val="nil"/>
            </w:tcBorders>
            <w:shd w:val="clear" w:color="000000" w:fill="2F75B5"/>
            <w:noWrap/>
            <w:vAlign w:val="center"/>
            <w:hideMark/>
          </w:tcPr>
          <w:p w14:paraId="0F0C83C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42,84%</w:t>
            </w:r>
          </w:p>
        </w:tc>
        <w:tc>
          <w:tcPr>
            <w:tcW w:w="353" w:type="pct"/>
            <w:tcBorders>
              <w:top w:val="nil"/>
              <w:left w:val="single" w:sz="8" w:space="0" w:color="002060"/>
              <w:bottom w:val="single" w:sz="8" w:space="0" w:color="002060"/>
              <w:right w:val="nil"/>
            </w:tcBorders>
            <w:shd w:val="clear" w:color="auto" w:fill="auto"/>
            <w:noWrap/>
            <w:vAlign w:val="center"/>
            <w:hideMark/>
          </w:tcPr>
          <w:p w14:paraId="6E292E7B"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42,31%</w:t>
            </w:r>
          </w:p>
        </w:tc>
        <w:tc>
          <w:tcPr>
            <w:tcW w:w="352" w:type="pct"/>
            <w:tcBorders>
              <w:top w:val="nil"/>
              <w:left w:val="single" w:sz="8" w:space="0" w:color="002060"/>
              <w:bottom w:val="single" w:sz="8" w:space="0" w:color="002060"/>
              <w:right w:val="nil"/>
            </w:tcBorders>
            <w:shd w:val="clear" w:color="000000" w:fill="2F75B5"/>
            <w:noWrap/>
            <w:vAlign w:val="center"/>
            <w:hideMark/>
          </w:tcPr>
          <w:p w14:paraId="3CE90AD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56,42%</w:t>
            </w:r>
          </w:p>
        </w:tc>
      </w:tr>
      <w:tr w:rsidR="007E21BD" w:rsidRPr="007E21BD" w14:paraId="0BD974DE"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5C60806"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92EAF5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7F0A4CD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931B31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FEB84"/>
            <w:noWrap/>
            <w:vAlign w:val="center"/>
            <w:hideMark/>
          </w:tcPr>
          <w:p w14:paraId="12B01FA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FFEB84"/>
            <w:noWrap/>
            <w:vAlign w:val="center"/>
            <w:hideMark/>
          </w:tcPr>
          <w:p w14:paraId="09BACFD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EC3345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01BC601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32BE8AA6"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52D9E2A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1FD2D572"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0652BB6"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Equidad de género en órganos de dirección, administración y control</w:t>
            </w:r>
          </w:p>
        </w:tc>
        <w:tc>
          <w:tcPr>
            <w:tcW w:w="353" w:type="pct"/>
            <w:tcBorders>
              <w:top w:val="single" w:sz="12" w:space="0" w:color="FFFFFF"/>
              <w:left w:val="nil"/>
              <w:bottom w:val="nil"/>
              <w:right w:val="nil"/>
            </w:tcBorders>
            <w:shd w:val="clear" w:color="000000" w:fill="002060"/>
            <w:noWrap/>
            <w:vAlign w:val="center"/>
            <w:hideMark/>
          </w:tcPr>
          <w:p w14:paraId="344AAE6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34,61%</w:t>
            </w:r>
          </w:p>
        </w:tc>
        <w:tc>
          <w:tcPr>
            <w:tcW w:w="353" w:type="pct"/>
            <w:tcBorders>
              <w:top w:val="nil"/>
              <w:left w:val="single" w:sz="8" w:space="0" w:color="002060"/>
              <w:bottom w:val="single" w:sz="8" w:space="0" w:color="002060"/>
              <w:right w:val="nil"/>
            </w:tcBorders>
            <w:shd w:val="clear" w:color="000000" w:fill="2F75B5"/>
            <w:noWrap/>
            <w:vAlign w:val="center"/>
            <w:hideMark/>
          </w:tcPr>
          <w:p w14:paraId="30114B4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47,83%</w:t>
            </w:r>
          </w:p>
        </w:tc>
        <w:tc>
          <w:tcPr>
            <w:tcW w:w="353" w:type="pct"/>
            <w:tcBorders>
              <w:top w:val="nil"/>
              <w:left w:val="single" w:sz="8" w:space="0" w:color="002060"/>
              <w:bottom w:val="single" w:sz="8" w:space="0" w:color="002060"/>
              <w:right w:val="nil"/>
            </w:tcBorders>
            <w:shd w:val="clear" w:color="000000" w:fill="2F75B5"/>
            <w:noWrap/>
            <w:vAlign w:val="center"/>
            <w:hideMark/>
          </w:tcPr>
          <w:p w14:paraId="2280F26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28,83%</w:t>
            </w:r>
          </w:p>
        </w:tc>
        <w:tc>
          <w:tcPr>
            <w:tcW w:w="361" w:type="pct"/>
            <w:tcBorders>
              <w:top w:val="nil"/>
              <w:left w:val="single" w:sz="8" w:space="0" w:color="002060"/>
              <w:bottom w:val="single" w:sz="8" w:space="0" w:color="002060"/>
              <w:right w:val="nil"/>
            </w:tcBorders>
            <w:shd w:val="clear" w:color="000000" w:fill="2F75B5"/>
            <w:noWrap/>
            <w:vAlign w:val="center"/>
            <w:hideMark/>
          </w:tcPr>
          <w:p w14:paraId="47E0219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31,48%</w:t>
            </w:r>
          </w:p>
        </w:tc>
        <w:tc>
          <w:tcPr>
            <w:tcW w:w="397" w:type="pct"/>
            <w:tcBorders>
              <w:top w:val="nil"/>
              <w:left w:val="single" w:sz="8" w:space="0" w:color="002060"/>
              <w:bottom w:val="single" w:sz="8" w:space="0" w:color="002060"/>
              <w:right w:val="nil"/>
            </w:tcBorders>
            <w:shd w:val="clear" w:color="000000" w:fill="2F75B5"/>
            <w:noWrap/>
            <w:vAlign w:val="center"/>
            <w:hideMark/>
          </w:tcPr>
          <w:p w14:paraId="7C74DB2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36,38%</w:t>
            </w:r>
          </w:p>
        </w:tc>
        <w:tc>
          <w:tcPr>
            <w:tcW w:w="409" w:type="pct"/>
            <w:tcBorders>
              <w:top w:val="nil"/>
              <w:left w:val="single" w:sz="8" w:space="0" w:color="002060"/>
              <w:bottom w:val="single" w:sz="8" w:space="0" w:color="002060"/>
              <w:right w:val="nil"/>
            </w:tcBorders>
            <w:shd w:val="clear" w:color="000000" w:fill="2F75B5"/>
            <w:noWrap/>
            <w:vAlign w:val="center"/>
            <w:hideMark/>
          </w:tcPr>
          <w:p w14:paraId="2A08E78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26,67%</w:t>
            </w:r>
          </w:p>
        </w:tc>
        <w:tc>
          <w:tcPr>
            <w:tcW w:w="353" w:type="pct"/>
            <w:tcBorders>
              <w:top w:val="nil"/>
              <w:left w:val="single" w:sz="8" w:space="0" w:color="002060"/>
              <w:bottom w:val="single" w:sz="8" w:space="0" w:color="002060"/>
              <w:right w:val="nil"/>
            </w:tcBorders>
            <w:shd w:val="clear" w:color="000000" w:fill="2F75B5"/>
            <w:noWrap/>
            <w:vAlign w:val="center"/>
            <w:hideMark/>
          </w:tcPr>
          <w:p w14:paraId="32A5DC1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33,65%</w:t>
            </w:r>
          </w:p>
        </w:tc>
        <w:tc>
          <w:tcPr>
            <w:tcW w:w="353" w:type="pct"/>
            <w:tcBorders>
              <w:top w:val="nil"/>
              <w:left w:val="single" w:sz="8" w:space="0" w:color="002060"/>
              <w:bottom w:val="single" w:sz="8" w:space="0" w:color="002060"/>
              <w:right w:val="nil"/>
            </w:tcBorders>
            <w:shd w:val="clear" w:color="auto" w:fill="auto"/>
            <w:noWrap/>
            <w:vAlign w:val="center"/>
            <w:hideMark/>
          </w:tcPr>
          <w:p w14:paraId="1FFA0A5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9,09%</w:t>
            </w:r>
          </w:p>
        </w:tc>
        <w:tc>
          <w:tcPr>
            <w:tcW w:w="352" w:type="pct"/>
            <w:tcBorders>
              <w:top w:val="nil"/>
              <w:left w:val="single" w:sz="8" w:space="0" w:color="002060"/>
              <w:bottom w:val="single" w:sz="8" w:space="0" w:color="002060"/>
              <w:right w:val="nil"/>
            </w:tcBorders>
            <w:shd w:val="clear" w:color="000000" w:fill="2F75B5"/>
            <w:noWrap/>
            <w:vAlign w:val="center"/>
            <w:hideMark/>
          </w:tcPr>
          <w:p w14:paraId="566C9D1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39,66%</w:t>
            </w:r>
          </w:p>
        </w:tc>
      </w:tr>
      <w:tr w:rsidR="007E21BD" w:rsidRPr="007E21BD" w14:paraId="1E99EDBE"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76532D5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FFF1B8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8D0CBD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D29967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FEB84"/>
            <w:noWrap/>
            <w:vAlign w:val="center"/>
            <w:hideMark/>
          </w:tcPr>
          <w:p w14:paraId="6F7DD0A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48BB9CD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607BF6A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0EB1969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DEB14B8"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4E86A5F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5CF7F253"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24252EA"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Población joven en asamblea</w:t>
            </w:r>
          </w:p>
        </w:tc>
        <w:tc>
          <w:tcPr>
            <w:tcW w:w="353" w:type="pct"/>
            <w:tcBorders>
              <w:top w:val="single" w:sz="12" w:space="0" w:color="FFFFFF"/>
              <w:left w:val="nil"/>
              <w:bottom w:val="nil"/>
              <w:right w:val="nil"/>
            </w:tcBorders>
            <w:shd w:val="clear" w:color="000000" w:fill="002060"/>
            <w:noWrap/>
            <w:vAlign w:val="center"/>
            <w:hideMark/>
          </w:tcPr>
          <w:p w14:paraId="15739A0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34,20%</w:t>
            </w:r>
          </w:p>
        </w:tc>
        <w:tc>
          <w:tcPr>
            <w:tcW w:w="353" w:type="pct"/>
            <w:tcBorders>
              <w:top w:val="nil"/>
              <w:left w:val="single" w:sz="8" w:space="0" w:color="002060"/>
              <w:bottom w:val="single" w:sz="8" w:space="0" w:color="002060"/>
              <w:right w:val="nil"/>
            </w:tcBorders>
            <w:shd w:val="clear" w:color="000000" w:fill="2F75B5"/>
            <w:noWrap/>
            <w:vAlign w:val="center"/>
            <w:hideMark/>
          </w:tcPr>
          <w:p w14:paraId="0EE8A8C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0EA0AB6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4,03%</w:t>
            </w:r>
          </w:p>
        </w:tc>
        <w:tc>
          <w:tcPr>
            <w:tcW w:w="361" w:type="pct"/>
            <w:tcBorders>
              <w:top w:val="nil"/>
              <w:left w:val="single" w:sz="8" w:space="0" w:color="002060"/>
              <w:bottom w:val="single" w:sz="8" w:space="0" w:color="002060"/>
              <w:right w:val="nil"/>
            </w:tcBorders>
            <w:shd w:val="clear" w:color="000000" w:fill="2F75B5"/>
            <w:noWrap/>
            <w:vAlign w:val="center"/>
            <w:hideMark/>
          </w:tcPr>
          <w:p w14:paraId="44DC234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8,79%</w:t>
            </w:r>
          </w:p>
        </w:tc>
        <w:tc>
          <w:tcPr>
            <w:tcW w:w="397" w:type="pct"/>
            <w:tcBorders>
              <w:top w:val="nil"/>
              <w:left w:val="single" w:sz="8" w:space="0" w:color="002060"/>
              <w:bottom w:val="single" w:sz="8" w:space="0" w:color="002060"/>
              <w:right w:val="nil"/>
            </w:tcBorders>
            <w:shd w:val="clear" w:color="000000" w:fill="2F75B5"/>
            <w:noWrap/>
            <w:vAlign w:val="center"/>
            <w:hideMark/>
          </w:tcPr>
          <w:p w14:paraId="4C4114C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7,28%</w:t>
            </w:r>
          </w:p>
        </w:tc>
        <w:tc>
          <w:tcPr>
            <w:tcW w:w="409" w:type="pct"/>
            <w:tcBorders>
              <w:top w:val="nil"/>
              <w:left w:val="single" w:sz="8" w:space="0" w:color="002060"/>
              <w:bottom w:val="single" w:sz="8" w:space="0" w:color="002060"/>
              <w:right w:val="nil"/>
            </w:tcBorders>
            <w:shd w:val="clear" w:color="000000" w:fill="2F75B5"/>
            <w:noWrap/>
            <w:vAlign w:val="center"/>
            <w:hideMark/>
          </w:tcPr>
          <w:p w14:paraId="77C62D6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13,27%</w:t>
            </w:r>
          </w:p>
        </w:tc>
        <w:tc>
          <w:tcPr>
            <w:tcW w:w="353" w:type="pct"/>
            <w:tcBorders>
              <w:top w:val="nil"/>
              <w:left w:val="single" w:sz="8" w:space="0" w:color="002060"/>
              <w:bottom w:val="single" w:sz="8" w:space="0" w:color="002060"/>
              <w:right w:val="nil"/>
            </w:tcBorders>
            <w:shd w:val="clear" w:color="000000" w:fill="2F75B5"/>
            <w:noWrap/>
            <w:vAlign w:val="center"/>
            <w:hideMark/>
          </w:tcPr>
          <w:p w14:paraId="08C84A2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11,42%</w:t>
            </w:r>
          </w:p>
        </w:tc>
        <w:tc>
          <w:tcPr>
            <w:tcW w:w="353" w:type="pct"/>
            <w:tcBorders>
              <w:top w:val="nil"/>
              <w:left w:val="single" w:sz="8" w:space="0" w:color="002060"/>
              <w:bottom w:val="single" w:sz="8" w:space="0" w:color="002060"/>
              <w:right w:val="nil"/>
            </w:tcBorders>
            <w:shd w:val="clear" w:color="auto" w:fill="auto"/>
            <w:noWrap/>
            <w:vAlign w:val="center"/>
            <w:hideMark/>
          </w:tcPr>
          <w:p w14:paraId="06D127D0"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7,69%</w:t>
            </w:r>
          </w:p>
        </w:tc>
        <w:tc>
          <w:tcPr>
            <w:tcW w:w="352" w:type="pct"/>
            <w:tcBorders>
              <w:top w:val="nil"/>
              <w:left w:val="single" w:sz="8" w:space="0" w:color="002060"/>
              <w:bottom w:val="single" w:sz="8" w:space="0" w:color="002060"/>
              <w:right w:val="nil"/>
            </w:tcBorders>
            <w:shd w:val="clear" w:color="000000" w:fill="2F75B5"/>
            <w:noWrap/>
            <w:vAlign w:val="center"/>
            <w:hideMark/>
          </w:tcPr>
          <w:p w14:paraId="20F11D2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18,58%</w:t>
            </w:r>
          </w:p>
        </w:tc>
      </w:tr>
      <w:tr w:rsidR="007E21BD" w:rsidRPr="007E21BD" w14:paraId="3A2E2CC8"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F184AD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1FC218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09E0DF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A8A3D6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04628A9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536C559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7E1D6B2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9A4D8C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41D8F9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0D1A049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08EA57FE"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878C30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Población joven en órganos de dirección, administración y control</w:t>
            </w:r>
          </w:p>
        </w:tc>
        <w:tc>
          <w:tcPr>
            <w:tcW w:w="353" w:type="pct"/>
            <w:tcBorders>
              <w:top w:val="single" w:sz="12" w:space="0" w:color="FFFFFF"/>
              <w:left w:val="nil"/>
              <w:bottom w:val="nil"/>
              <w:right w:val="nil"/>
            </w:tcBorders>
            <w:shd w:val="clear" w:color="000000" w:fill="002060"/>
            <w:noWrap/>
            <w:vAlign w:val="center"/>
            <w:hideMark/>
          </w:tcPr>
          <w:p w14:paraId="6BDEE39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6,30%</w:t>
            </w:r>
          </w:p>
        </w:tc>
        <w:tc>
          <w:tcPr>
            <w:tcW w:w="353" w:type="pct"/>
            <w:tcBorders>
              <w:top w:val="nil"/>
              <w:left w:val="single" w:sz="8" w:space="0" w:color="002060"/>
              <w:bottom w:val="single" w:sz="8" w:space="0" w:color="002060"/>
              <w:right w:val="nil"/>
            </w:tcBorders>
            <w:shd w:val="clear" w:color="000000" w:fill="2F75B5"/>
            <w:noWrap/>
            <w:vAlign w:val="center"/>
            <w:hideMark/>
          </w:tcPr>
          <w:p w14:paraId="60CE285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2,56%</w:t>
            </w:r>
          </w:p>
        </w:tc>
        <w:tc>
          <w:tcPr>
            <w:tcW w:w="353" w:type="pct"/>
            <w:tcBorders>
              <w:top w:val="nil"/>
              <w:left w:val="single" w:sz="8" w:space="0" w:color="002060"/>
              <w:bottom w:val="single" w:sz="8" w:space="0" w:color="002060"/>
              <w:right w:val="nil"/>
            </w:tcBorders>
            <w:shd w:val="clear" w:color="000000" w:fill="2F75B5"/>
            <w:noWrap/>
            <w:vAlign w:val="center"/>
            <w:hideMark/>
          </w:tcPr>
          <w:p w14:paraId="5FED8D0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2,94%</w:t>
            </w:r>
          </w:p>
        </w:tc>
        <w:tc>
          <w:tcPr>
            <w:tcW w:w="361" w:type="pct"/>
            <w:tcBorders>
              <w:top w:val="nil"/>
              <w:left w:val="single" w:sz="8" w:space="0" w:color="002060"/>
              <w:bottom w:val="single" w:sz="8" w:space="0" w:color="002060"/>
              <w:right w:val="nil"/>
            </w:tcBorders>
            <w:shd w:val="clear" w:color="000000" w:fill="2F75B5"/>
            <w:noWrap/>
            <w:vAlign w:val="center"/>
            <w:hideMark/>
          </w:tcPr>
          <w:p w14:paraId="374945E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1,43%</w:t>
            </w:r>
          </w:p>
        </w:tc>
        <w:tc>
          <w:tcPr>
            <w:tcW w:w="397" w:type="pct"/>
            <w:tcBorders>
              <w:top w:val="nil"/>
              <w:left w:val="single" w:sz="8" w:space="0" w:color="002060"/>
              <w:bottom w:val="single" w:sz="8" w:space="0" w:color="002060"/>
              <w:right w:val="nil"/>
            </w:tcBorders>
            <w:shd w:val="clear" w:color="000000" w:fill="2F75B5"/>
            <w:noWrap/>
            <w:vAlign w:val="center"/>
            <w:hideMark/>
          </w:tcPr>
          <w:p w14:paraId="110C67E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6,11%</w:t>
            </w:r>
          </w:p>
        </w:tc>
        <w:tc>
          <w:tcPr>
            <w:tcW w:w="409" w:type="pct"/>
            <w:tcBorders>
              <w:top w:val="nil"/>
              <w:left w:val="single" w:sz="8" w:space="0" w:color="002060"/>
              <w:bottom w:val="single" w:sz="8" w:space="0" w:color="002060"/>
              <w:right w:val="nil"/>
            </w:tcBorders>
            <w:shd w:val="clear" w:color="000000" w:fill="2F75B5"/>
            <w:noWrap/>
            <w:vAlign w:val="center"/>
            <w:hideMark/>
          </w:tcPr>
          <w:p w14:paraId="23FA8B0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6,37%</w:t>
            </w:r>
          </w:p>
        </w:tc>
        <w:tc>
          <w:tcPr>
            <w:tcW w:w="353" w:type="pct"/>
            <w:tcBorders>
              <w:top w:val="nil"/>
              <w:left w:val="single" w:sz="8" w:space="0" w:color="002060"/>
              <w:bottom w:val="single" w:sz="8" w:space="0" w:color="002060"/>
              <w:right w:val="nil"/>
            </w:tcBorders>
            <w:shd w:val="clear" w:color="000000" w:fill="2F75B5"/>
            <w:noWrap/>
            <w:vAlign w:val="center"/>
            <w:hideMark/>
          </w:tcPr>
          <w:p w14:paraId="5DB3F59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5,78%</w:t>
            </w:r>
          </w:p>
        </w:tc>
        <w:tc>
          <w:tcPr>
            <w:tcW w:w="353" w:type="pct"/>
            <w:tcBorders>
              <w:top w:val="nil"/>
              <w:left w:val="single" w:sz="8" w:space="0" w:color="002060"/>
              <w:bottom w:val="single" w:sz="8" w:space="0" w:color="002060"/>
              <w:right w:val="nil"/>
            </w:tcBorders>
            <w:shd w:val="clear" w:color="auto" w:fill="auto"/>
            <w:noWrap/>
            <w:vAlign w:val="center"/>
            <w:hideMark/>
          </w:tcPr>
          <w:p w14:paraId="5BE1733A"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730E5BF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10,89%</w:t>
            </w:r>
          </w:p>
        </w:tc>
      </w:tr>
      <w:tr w:rsidR="007E21BD" w:rsidRPr="007E21BD" w14:paraId="267FC33C"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13E4F2B"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E6FD85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3CAA85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0A9EB4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31B2CC9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335EBA1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416791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7D2F8A8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3E1E822"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2C9335B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7FA5E7E9" w14:textId="77777777" w:rsidTr="00975F7F">
        <w:trPr>
          <w:trHeight w:val="113"/>
        </w:trPr>
        <w:tc>
          <w:tcPr>
            <w:tcW w:w="1716" w:type="pct"/>
            <w:tcBorders>
              <w:top w:val="nil"/>
              <w:left w:val="nil"/>
              <w:bottom w:val="nil"/>
              <w:right w:val="nil"/>
            </w:tcBorders>
            <w:shd w:val="clear" w:color="000000" w:fill="002060"/>
            <w:vAlign w:val="center"/>
            <w:hideMark/>
          </w:tcPr>
          <w:p w14:paraId="0E7198E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Principio 2: Adhesión Abierta, responsable y Voluntaria</w:t>
            </w:r>
          </w:p>
        </w:tc>
        <w:tc>
          <w:tcPr>
            <w:tcW w:w="353" w:type="pct"/>
            <w:tcBorders>
              <w:top w:val="nil"/>
              <w:left w:val="nil"/>
              <w:bottom w:val="nil"/>
              <w:right w:val="nil"/>
            </w:tcBorders>
            <w:shd w:val="clear" w:color="auto" w:fill="auto"/>
            <w:noWrap/>
            <w:vAlign w:val="center"/>
            <w:hideMark/>
          </w:tcPr>
          <w:p w14:paraId="3703DA64"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29DE0D90"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FFFFFF"/>
              <w:left w:val="nil"/>
              <w:bottom w:val="single" w:sz="8" w:space="0" w:color="FFFFFF"/>
              <w:right w:val="nil"/>
            </w:tcBorders>
            <w:shd w:val="clear" w:color="000000" w:fill="002060"/>
            <w:noWrap/>
            <w:vAlign w:val="center"/>
            <w:hideMark/>
          </w:tcPr>
          <w:p w14:paraId="46BB21FB"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100%</w:t>
            </w:r>
          </w:p>
        </w:tc>
        <w:tc>
          <w:tcPr>
            <w:tcW w:w="361" w:type="pct"/>
            <w:tcBorders>
              <w:top w:val="single" w:sz="8" w:space="0" w:color="FFFFFF"/>
              <w:left w:val="nil"/>
              <w:bottom w:val="single" w:sz="8" w:space="0" w:color="FFFFFF"/>
              <w:right w:val="nil"/>
            </w:tcBorders>
            <w:shd w:val="clear" w:color="000000" w:fill="002060"/>
            <w:noWrap/>
            <w:vAlign w:val="center"/>
            <w:hideMark/>
          </w:tcPr>
          <w:p w14:paraId="14137DC4"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80%</w:t>
            </w:r>
          </w:p>
        </w:tc>
        <w:tc>
          <w:tcPr>
            <w:tcW w:w="397" w:type="pct"/>
            <w:tcBorders>
              <w:top w:val="single" w:sz="8" w:space="0" w:color="FFFFFF"/>
              <w:left w:val="nil"/>
              <w:bottom w:val="single" w:sz="8" w:space="0" w:color="FFFFFF"/>
              <w:right w:val="nil"/>
            </w:tcBorders>
            <w:shd w:val="clear" w:color="000000" w:fill="002060"/>
            <w:noWrap/>
            <w:vAlign w:val="center"/>
            <w:hideMark/>
          </w:tcPr>
          <w:p w14:paraId="4ACC8B0A"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FFFFFF"/>
              <w:left w:val="nil"/>
              <w:bottom w:val="single" w:sz="8" w:space="0" w:color="FFFFFF"/>
              <w:right w:val="nil"/>
            </w:tcBorders>
            <w:shd w:val="clear" w:color="000000" w:fill="002060"/>
            <w:noWrap/>
            <w:vAlign w:val="center"/>
            <w:hideMark/>
          </w:tcPr>
          <w:p w14:paraId="23FED95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02E5EA15"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80%</w:t>
            </w:r>
          </w:p>
        </w:tc>
        <w:tc>
          <w:tcPr>
            <w:tcW w:w="353" w:type="pct"/>
            <w:tcBorders>
              <w:top w:val="nil"/>
              <w:left w:val="nil"/>
              <w:bottom w:val="nil"/>
              <w:right w:val="nil"/>
            </w:tcBorders>
            <w:shd w:val="clear" w:color="000000" w:fill="002060"/>
            <w:noWrap/>
            <w:vAlign w:val="center"/>
            <w:hideMark/>
          </w:tcPr>
          <w:p w14:paraId="4951CF91"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2" w:type="pct"/>
            <w:tcBorders>
              <w:top w:val="single" w:sz="8" w:space="0" w:color="FFFFFF"/>
              <w:left w:val="nil"/>
              <w:bottom w:val="single" w:sz="8" w:space="0" w:color="FFFFFF"/>
              <w:right w:val="nil"/>
            </w:tcBorders>
            <w:shd w:val="clear" w:color="000000" w:fill="002060"/>
            <w:noWrap/>
            <w:vAlign w:val="center"/>
            <w:hideMark/>
          </w:tcPr>
          <w:p w14:paraId="6294C06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80%</w:t>
            </w:r>
          </w:p>
        </w:tc>
      </w:tr>
      <w:tr w:rsidR="007E21BD" w:rsidRPr="007E21BD" w14:paraId="5730222E"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1ABED43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Crecimiento neto de asociados hábiles</w:t>
            </w:r>
          </w:p>
        </w:tc>
        <w:tc>
          <w:tcPr>
            <w:tcW w:w="353" w:type="pct"/>
            <w:tcBorders>
              <w:top w:val="single" w:sz="12" w:space="0" w:color="FFFFFF"/>
              <w:left w:val="nil"/>
              <w:bottom w:val="nil"/>
              <w:right w:val="nil"/>
            </w:tcBorders>
            <w:shd w:val="clear" w:color="000000" w:fill="002060"/>
            <w:noWrap/>
            <w:vAlign w:val="center"/>
            <w:hideMark/>
          </w:tcPr>
          <w:p w14:paraId="25DF7A6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3,78%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09686F8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1,74%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068B764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3,63%</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2F4501F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4,90%</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0568625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2,64%</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1090F9F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9,84%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24D1930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3,77%</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1703474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-5,24%</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73D1EAF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3,61%</w:t>
            </w:r>
          </w:p>
        </w:tc>
      </w:tr>
      <w:tr w:rsidR="007E21BD" w:rsidRPr="007E21BD" w14:paraId="475984DC"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C9C22B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CED994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21F2DD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012F39A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BC452C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05A87E3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2BFF009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70C59EF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871139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E984"/>
            <w:noWrap/>
            <w:vAlign w:val="center"/>
            <w:hideMark/>
          </w:tcPr>
          <w:p w14:paraId="5508A2C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495138C7"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04ABA3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Actividad transaccional</w:t>
            </w:r>
          </w:p>
        </w:tc>
        <w:tc>
          <w:tcPr>
            <w:tcW w:w="353" w:type="pct"/>
            <w:tcBorders>
              <w:top w:val="single" w:sz="12" w:space="0" w:color="FFFFFF"/>
              <w:left w:val="nil"/>
              <w:bottom w:val="nil"/>
              <w:right w:val="nil"/>
            </w:tcBorders>
            <w:shd w:val="clear" w:color="000000" w:fill="002060"/>
            <w:noWrap/>
            <w:vAlign w:val="center"/>
            <w:hideMark/>
          </w:tcPr>
          <w:p w14:paraId="5DD6EF6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17,63</w:t>
            </w:r>
          </w:p>
        </w:tc>
        <w:tc>
          <w:tcPr>
            <w:tcW w:w="353" w:type="pct"/>
            <w:tcBorders>
              <w:top w:val="nil"/>
              <w:left w:val="single" w:sz="8" w:space="0" w:color="002060"/>
              <w:bottom w:val="single" w:sz="8" w:space="0" w:color="002060"/>
              <w:right w:val="nil"/>
            </w:tcBorders>
            <w:shd w:val="clear" w:color="000000" w:fill="2F75B5"/>
            <w:noWrap/>
            <w:vAlign w:val="center"/>
            <w:hideMark/>
          </w:tcPr>
          <w:p w14:paraId="19AC16D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9,53</w:t>
            </w:r>
          </w:p>
        </w:tc>
        <w:tc>
          <w:tcPr>
            <w:tcW w:w="353" w:type="pct"/>
            <w:tcBorders>
              <w:top w:val="nil"/>
              <w:left w:val="single" w:sz="8" w:space="0" w:color="002060"/>
              <w:bottom w:val="single" w:sz="8" w:space="0" w:color="002060"/>
              <w:right w:val="nil"/>
            </w:tcBorders>
            <w:shd w:val="clear" w:color="000000" w:fill="2F75B5"/>
            <w:noWrap/>
            <w:vAlign w:val="center"/>
            <w:hideMark/>
          </w:tcPr>
          <w:p w14:paraId="79F4312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48,48</w:t>
            </w:r>
          </w:p>
        </w:tc>
        <w:tc>
          <w:tcPr>
            <w:tcW w:w="361" w:type="pct"/>
            <w:tcBorders>
              <w:top w:val="nil"/>
              <w:left w:val="single" w:sz="8" w:space="0" w:color="002060"/>
              <w:bottom w:val="single" w:sz="8" w:space="0" w:color="002060"/>
              <w:right w:val="nil"/>
            </w:tcBorders>
            <w:shd w:val="clear" w:color="000000" w:fill="2F75B5"/>
            <w:noWrap/>
            <w:vAlign w:val="center"/>
            <w:hideMark/>
          </w:tcPr>
          <w:p w14:paraId="280FA91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10,86</w:t>
            </w:r>
          </w:p>
        </w:tc>
        <w:tc>
          <w:tcPr>
            <w:tcW w:w="397" w:type="pct"/>
            <w:tcBorders>
              <w:top w:val="nil"/>
              <w:left w:val="single" w:sz="8" w:space="0" w:color="002060"/>
              <w:bottom w:val="single" w:sz="8" w:space="0" w:color="002060"/>
              <w:right w:val="nil"/>
            </w:tcBorders>
            <w:shd w:val="clear" w:color="000000" w:fill="2F75B5"/>
            <w:noWrap/>
            <w:vAlign w:val="center"/>
            <w:hideMark/>
          </w:tcPr>
          <w:p w14:paraId="7BD5FF0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9,47</w:t>
            </w:r>
          </w:p>
        </w:tc>
        <w:tc>
          <w:tcPr>
            <w:tcW w:w="409" w:type="pct"/>
            <w:tcBorders>
              <w:top w:val="nil"/>
              <w:left w:val="single" w:sz="8" w:space="0" w:color="002060"/>
              <w:bottom w:val="single" w:sz="8" w:space="0" w:color="002060"/>
              <w:right w:val="nil"/>
            </w:tcBorders>
            <w:shd w:val="clear" w:color="000000" w:fill="2F75B5"/>
            <w:noWrap/>
            <w:vAlign w:val="center"/>
            <w:hideMark/>
          </w:tcPr>
          <w:p w14:paraId="5BA5105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11,24</w:t>
            </w:r>
          </w:p>
        </w:tc>
        <w:tc>
          <w:tcPr>
            <w:tcW w:w="353" w:type="pct"/>
            <w:tcBorders>
              <w:top w:val="nil"/>
              <w:left w:val="single" w:sz="8" w:space="0" w:color="002060"/>
              <w:bottom w:val="single" w:sz="8" w:space="0" w:color="002060"/>
              <w:right w:val="nil"/>
            </w:tcBorders>
            <w:shd w:val="clear" w:color="000000" w:fill="2F75B5"/>
            <w:noWrap/>
            <w:vAlign w:val="center"/>
            <w:hideMark/>
          </w:tcPr>
          <w:p w14:paraId="6671F72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14,39</w:t>
            </w:r>
          </w:p>
        </w:tc>
        <w:tc>
          <w:tcPr>
            <w:tcW w:w="353" w:type="pct"/>
            <w:tcBorders>
              <w:top w:val="nil"/>
              <w:left w:val="single" w:sz="8" w:space="0" w:color="002060"/>
              <w:bottom w:val="single" w:sz="8" w:space="0" w:color="002060"/>
              <w:right w:val="nil"/>
            </w:tcBorders>
            <w:shd w:val="clear" w:color="auto" w:fill="auto"/>
            <w:noWrap/>
            <w:vAlign w:val="center"/>
            <w:hideMark/>
          </w:tcPr>
          <w:p w14:paraId="3D22BF66"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0,47</w:t>
            </w:r>
          </w:p>
        </w:tc>
        <w:tc>
          <w:tcPr>
            <w:tcW w:w="352" w:type="pct"/>
            <w:tcBorders>
              <w:top w:val="nil"/>
              <w:left w:val="single" w:sz="8" w:space="0" w:color="002060"/>
              <w:bottom w:val="single" w:sz="8" w:space="0" w:color="002060"/>
              <w:right w:val="nil"/>
            </w:tcBorders>
            <w:shd w:val="clear" w:color="000000" w:fill="2F75B5"/>
            <w:noWrap/>
            <w:vAlign w:val="center"/>
            <w:hideMark/>
          </w:tcPr>
          <w:p w14:paraId="7915830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13,13</w:t>
            </w:r>
          </w:p>
        </w:tc>
      </w:tr>
      <w:tr w:rsidR="007E21BD" w:rsidRPr="007E21BD" w14:paraId="0458A6E1"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BFC06D4"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E9ED95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F05C9A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C15279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429BA5B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683229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6760152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C17536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5E85E87"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4E7F4A7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445B3047"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806AB9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Equidad de género en número de operaciones</w:t>
            </w:r>
          </w:p>
        </w:tc>
        <w:tc>
          <w:tcPr>
            <w:tcW w:w="353" w:type="pct"/>
            <w:tcBorders>
              <w:top w:val="single" w:sz="12" w:space="0" w:color="FFFFFF"/>
              <w:left w:val="nil"/>
              <w:bottom w:val="nil"/>
              <w:right w:val="nil"/>
            </w:tcBorders>
            <w:shd w:val="clear" w:color="000000" w:fill="002060"/>
            <w:noWrap/>
            <w:vAlign w:val="center"/>
            <w:hideMark/>
          </w:tcPr>
          <w:p w14:paraId="12F11C3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48,82%</w:t>
            </w:r>
          </w:p>
        </w:tc>
        <w:tc>
          <w:tcPr>
            <w:tcW w:w="353" w:type="pct"/>
            <w:tcBorders>
              <w:top w:val="nil"/>
              <w:left w:val="single" w:sz="8" w:space="0" w:color="002060"/>
              <w:bottom w:val="single" w:sz="8" w:space="0" w:color="002060"/>
              <w:right w:val="nil"/>
            </w:tcBorders>
            <w:shd w:val="clear" w:color="000000" w:fill="2F75B5"/>
            <w:noWrap/>
            <w:vAlign w:val="center"/>
            <w:hideMark/>
          </w:tcPr>
          <w:p w14:paraId="46D34BF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52,07%</w:t>
            </w:r>
          </w:p>
        </w:tc>
        <w:tc>
          <w:tcPr>
            <w:tcW w:w="353" w:type="pct"/>
            <w:tcBorders>
              <w:top w:val="nil"/>
              <w:left w:val="single" w:sz="8" w:space="0" w:color="002060"/>
              <w:bottom w:val="single" w:sz="8" w:space="0" w:color="002060"/>
              <w:right w:val="nil"/>
            </w:tcBorders>
            <w:shd w:val="clear" w:color="000000" w:fill="2F75B5"/>
            <w:noWrap/>
            <w:vAlign w:val="center"/>
            <w:hideMark/>
          </w:tcPr>
          <w:p w14:paraId="3315CCC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56,55%</w:t>
            </w:r>
          </w:p>
        </w:tc>
        <w:tc>
          <w:tcPr>
            <w:tcW w:w="361" w:type="pct"/>
            <w:tcBorders>
              <w:top w:val="nil"/>
              <w:left w:val="single" w:sz="8" w:space="0" w:color="002060"/>
              <w:bottom w:val="single" w:sz="8" w:space="0" w:color="002060"/>
              <w:right w:val="nil"/>
            </w:tcBorders>
            <w:shd w:val="clear" w:color="000000" w:fill="2F75B5"/>
            <w:noWrap/>
            <w:vAlign w:val="center"/>
            <w:hideMark/>
          </w:tcPr>
          <w:p w14:paraId="665D887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47,06%</w:t>
            </w:r>
          </w:p>
        </w:tc>
        <w:tc>
          <w:tcPr>
            <w:tcW w:w="397" w:type="pct"/>
            <w:tcBorders>
              <w:top w:val="nil"/>
              <w:left w:val="single" w:sz="8" w:space="0" w:color="002060"/>
              <w:bottom w:val="single" w:sz="8" w:space="0" w:color="002060"/>
              <w:right w:val="nil"/>
            </w:tcBorders>
            <w:shd w:val="clear" w:color="000000" w:fill="2F75B5"/>
            <w:noWrap/>
            <w:vAlign w:val="center"/>
            <w:hideMark/>
          </w:tcPr>
          <w:p w14:paraId="2D483FF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49,67%</w:t>
            </w:r>
          </w:p>
        </w:tc>
        <w:tc>
          <w:tcPr>
            <w:tcW w:w="409" w:type="pct"/>
            <w:tcBorders>
              <w:top w:val="nil"/>
              <w:left w:val="single" w:sz="8" w:space="0" w:color="002060"/>
              <w:bottom w:val="single" w:sz="8" w:space="0" w:color="002060"/>
              <w:right w:val="nil"/>
            </w:tcBorders>
            <w:shd w:val="clear" w:color="000000" w:fill="2F75B5"/>
            <w:noWrap/>
            <w:vAlign w:val="center"/>
            <w:hideMark/>
          </w:tcPr>
          <w:p w14:paraId="47CA328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43,76%</w:t>
            </w:r>
          </w:p>
        </w:tc>
        <w:tc>
          <w:tcPr>
            <w:tcW w:w="353" w:type="pct"/>
            <w:tcBorders>
              <w:top w:val="nil"/>
              <w:left w:val="single" w:sz="8" w:space="0" w:color="002060"/>
              <w:bottom w:val="single" w:sz="8" w:space="0" w:color="002060"/>
              <w:right w:val="nil"/>
            </w:tcBorders>
            <w:shd w:val="clear" w:color="000000" w:fill="2F75B5"/>
            <w:noWrap/>
            <w:vAlign w:val="center"/>
            <w:hideMark/>
          </w:tcPr>
          <w:p w14:paraId="330067E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44,36%</w:t>
            </w:r>
          </w:p>
        </w:tc>
        <w:tc>
          <w:tcPr>
            <w:tcW w:w="353" w:type="pct"/>
            <w:tcBorders>
              <w:top w:val="nil"/>
              <w:left w:val="single" w:sz="8" w:space="0" w:color="002060"/>
              <w:bottom w:val="single" w:sz="8" w:space="0" w:color="002060"/>
              <w:right w:val="nil"/>
            </w:tcBorders>
            <w:shd w:val="clear" w:color="auto" w:fill="auto"/>
            <w:noWrap/>
            <w:vAlign w:val="center"/>
            <w:hideMark/>
          </w:tcPr>
          <w:p w14:paraId="319F48C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34,12%</w:t>
            </w:r>
          </w:p>
        </w:tc>
        <w:tc>
          <w:tcPr>
            <w:tcW w:w="352" w:type="pct"/>
            <w:tcBorders>
              <w:top w:val="nil"/>
              <w:left w:val="single" w:sz="8" w:space="0" w:color="002060"/>
              <w:bottom w:val="single" w:sz="8" w:space="0" w:color="002060"/>
              <w:right w:val="nil"/>
            </w:tcBorders>
            <w:shd w:val="clear" w:color="000000" w:fill="2F75B5"/>
            <w:noWrap/>
            <w:vAlign w:val="center"/>
            <w:hideMark/>
          </w:tcPr>
          <w:p w14:paraId="46B90E0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44,52%</w:t>
            </w:r>
          </w:p>
        </w:tc>
      </w:tr>
      <w:tr w:rsidR="007E21BD" w:rsidRPr="007E21BD" w14:paraId="6F9E1512"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7957ED8E"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D4151A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DE6514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7C7FF6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F6C"/>
            <w:noWrap/>
            <w:vAlign w:val="center"/>
            <w:hideMark/>
          </w:tcPr>
          <w:p w14:paraId="2E9F107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747F94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0F32F44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30D23FA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CE1C1AB"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F6C"/>
            <w:noWrap/>
            <w:vAlign w:val="center"/>
            <w:hideMark/>
          </w:tcPr>
          <w:p w14:paraId="4BCF6D3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76655A34"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E9B4CE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Relevo generacional</w:t>
            </w:r>
          </w:p>
        </w:tc>
        <w:tc>
          <w:tcPr>
            <w:tcW w:w="353" w:type="pct"/>
            <w:tcBorders>
              <w:top w:val="single" w:sz="12" w:space="0" w:color="FFFFFF"/>
              <w:left w:val="nil"/>
              <w:bottom w:val="nil"/>
              <w:right w:val="nil"/>
            </w:tcBorders>
            <w:shd w:val="clear" w:color="000000" w:fill="002060"/>
            <w:noWrap/>
            <w:vAlign w:val="center"/>
            <w:hideMark/>
          </w:tcPr>
          <w:p w14:paraId="46E2DD7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51,80%</w:t>
            </w:r>
          </w:p>
        </w:tc>
        <w:tc>
          <w:tcPr>
            <w:tcW w:w="353" w:type="pct"/>
            <w:tcBorders>
              <w:top w:val="nil"/>
              <w:left w:val="single" w:sz="8" w:space="0" w:color="002060"/>
              <w:bottom w:val="single" w:sz="8" w:space="0" w:color="002060"/>
              <w:right w:val="nil"/>
            </w:tcBorders>
            <w:shd w:val="clear" w:color="000000" w:fill="2F75B5"/>
            <w:noWrap/>
            <w:vAlign w:val="center"/>
            <w:hideMark/>
          </w:tcPr>
          <w:p w14:paraId="0856EF0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56,83%</w:t>
            </w:r>
          </w:p>
        </w:tc>
        <w:tc>
          <w:tcPr>
            <w:tcW w:w="353" w:type="pct"/>
            <w:tcBorders>
              <w:top w:val="nil"/>
              <w:left w:val="single" w:sz="8" w:space="0" w:color="002060"/>
              <w:bottom w:val="single" w:sz="8" w:space="0" w:color="002060"/>
              <w:right w:val="nil"/>
            </w:tcBorders>
            <w:shd w:val="clear" w:color="000000" w:fill="2F75B5"/>
            <w:noWrap/>
            <w:vAlign w:val="center"/>
            <w:hideMark/>
          </w:tcPr>
          <w:p w14:paraId="0A1BCBD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52,61%</w:t>
            </w:r>
          </w:p>
        </w:tc>
        <w:tc>
          <w:tcPr>
            <w:tcW w:w="361" w:type="pct"/>
            <w:tcBorders>
              <w:top w:val="nil"/>
              <w:left w:val="single" w:sz="8" w:space="0" w:color="002060"/>
              <w:bottom w:val="single" w:sz="8" w:space="0" w:color="002060"/>
              <w:right w:val="nil"/>
            </w:tcBorders>
            <w:shd w:val="clear" w:color="000000" w:fill="2F75B5"/>
            <w:noWrap/>
            <w:vAlign w:val="center"/>
            <w:hideMark/>
          </w:tcPr>
          <w:p w14:paraId="6768903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54,89%</w:t>
            </w:r>
          </w:p>
        </w:tc>
        <w:tc>
          <w:tcPr>
            <w:tcW w:w="397" w:type="pct"/>
            <w:tcBorders>
              <w:top w:val="nil"/>
              <w:left w:val="single" w:sz="8" w:space="0" w:color="002060"/>
              <w:bottom w:val="single" w:sz="8" w:space="0" w:color="002060"/>
              <w:right w:val="nil"/>
            </w:tcBorders>
            <w:shd w:val="clear" w:color="000000" w:fill="2F75B5"/>
            <w:noWrap/>
            <w:vAlign w:val="center"/>
            <w:hideMark/>
          </w:tcPr>
          <w:p w14:paraId="31723B6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44,60%</w:t>
            </w:r>
          </w:p>
        </w:tc>
        <w:tc>
          <w:tcPr>
            <w:tcW w:w="409" w:type="pct"/>
            <w:tcBorders>
              <w:top w:val="nil"/>
              <w:left w:val="single" w:sz="8" w:space="0" w:color="002060"/>
              <w:bottom w:val="single" w:sz="8" w:space="0" w:color="002060"/>
              <w:right w:val="nil"/>
            </w:tcBorders>
            <w:shd w:val="clear" w:color="000000" w:fill="2F75B5"/>
            <w:noWrap/>
            <w:vAlign w:val="center"/>
            <w:hideMark/>
          </w:tcPr>
          <w:p w14:paraId="065E47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41,57%</w:t>
            </w:r>
          </w:p>
        </w:tc>
        <w:tc>
          <w:tcPr>
            <w:tcW w:w="353" w:type="pct"/>
            <w:tcBorders>
              <w:top w:val="nil"/>
              <w:left w:val="single" w:sz="8" w:space="0" w:color="002060"/>
              <w:bottom w:val="single" w:sz="8" w:space="0" w:color="002060"/>
              <w:right w:val="nil"/>
            </w:tcBorders>
            <w:shd w:val="clear" w:color="000000" w:fill="2F75B5"/>
            <w:noWrap/>
            <w:vAlign w:val="center"/>
            <w:hideMark/>
          </w:tcPr>
          <w:p w14:paraId="69F335F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54,68%</w:t>
            </w:r>
          </w:p>
        </w:tc>
        <w:tc>
          <w:tcPr>
            <w:tcW w:w="353" w:type="pct"/>
            <w:tcBorders>
              <w:top w:val="nil"/>
              <w:left w:val="single" w:sz="8" w:space="0" w:color="002060"/>
              <w:bottom w:val="single" w:sz="8" w:space="0" w:color="002060"/>
              <w:right w:val="nil"/>
            </w:tcBorders>
            <w:shd w:val="clear" w:color="auto" w:fill="auto"/>
            <w:noWrap/>
            <w:vAlign w:val="center"/>
            <w:hideMark/>
          </w:tcPr>
          <w:p w14:paraId="326B0F5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49,32%</w:t>
            </w:r>
          </w:p>
        </w:tc>
        <w:tc>
          <w:tcPr>
            <w:tcW w:w="352" w:type="pct"/>
            <w:tcBorders>
              <w:top w:val="nil"/>
              <w:left w:val="single" w:sz="8" w:space="0" w:color="002060"/>
              <w:bottom w:val="single" w:sz="8" w:space="0" w:color="002060"/>
              <w:right w:val="nil"/>
            </w:tcBorders>
            <w:shd w:val="clear" w:color="000000" w:fill="2F75B5"/>
            <w:noWrap/>
            <w:vAlign w:val="center"/>
            <w:hideMark/>
          </w:tcPr>
          <w:p w14:paraId="5037593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57,82%</w:t>
            </w:r>
          </w:p>
        </w:tc>
      </w:tr>
      <w:tr w:rsidR="007E21BD" w:rsidRPr="007E21BD" w14:paraId="51B7D348"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9427FF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7330E8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CC2146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C96BEA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E1D5F9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47E909E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22DF26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7B9538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2BC724E9"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11DFCC9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2C44CB75"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4314D9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Nivel de satisfacción de asociados</w:t>
            </w:r>
          </w:p>
        </w:tc>
        <w:tc>
          <w:tcPr>
            <w:tcW w:w="353" w:type="pct"/>
            <w:tcBorders>
              <w:top w:val="single" w:sz="12" w:space="0" w:color="FFFFFF"/>
              <w:left w:val="nil"/>
              <w:bottom w:val="nil"/>
              <w:right w:val="nil"/>
            </w:tcBorders>
            <w:shd w:val="clear" w:color="000000" w:fill="002060"/>
            <w:noWrap/>
            <w:vAlign w:val="center"/>
            <w:hideMark/>
          </w:tcPr>
          <w:p w14:paraId="427B85C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85,72%</w:t>
            </w:r>
          </w:p>
        </w:tc>
        <w:tc>
          <w:tcPr>
            <w:tcW w:w="353" w:type="pct"/>
            <w:tcBorders>
              <w:top w:val="nil"/>
              <w:left w:val="single" w:sz="8" w:space="0" w:color="002060"/>
              <w:bottom w:val="single" w:sz="8" w:space="0" w:color="002060"/>
              <w:right w:val="nil"/>
            </w:tcBorders>
            <w:shd w:val="clear" w:color="000000" w:fill="2F75B5"/>
            <w:noWrap/>
            <w:vAlign w:val="center"/>
            <w:hideMark/>
          </w:tcPr>
          <w:p w14:paraId="17C82C4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92,00%</w:t>
            </w:r>
          </w:p>
        </w:tc>
        <w:tc>
          <w:tcPr>
            <w:tcW w:w="353" w:type="pct"/>
            <w:tcBorders>
              <w:top w:val="nil"/>
              <w:left w:val="single" w:sz="8" w:space="0" w:color="002060"/>
              <w:bottom w:val="single" w:sz="8" w:space="0" w:color="002060"/>
              <w:right w:val="nil"/>
            </w:tcBorders>
            <w:shd w:val="clear" w:color="000000" w:fill="2F75B5"/>
            <w:noWrap/>
            <w:vAlign w:val="center"/>
            <w:hideMark/>
          </w:tcPr>
          <w:p w14:paraId="7556E1A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90,00%</w:t>
            </w:r>
          </w:p>
        </w:tc>
        <w:tc>
          <w:tcPr>
            <w:tcW w:w="361" w:type="pct"/>
            <w:tcBorders>
              <w:top w:val="nil"/>
              <w:left w:val="single" w:sz="8" w:space="0" w:color="002060"/>
              <w:bottom w:val="single" w:sz="8" w:space="0" w:color="002060"/>
              <w:right w:val="nil"/>
            </w:tcBorders>
            <w:shd w:val="clear" w:color="000000" w:fill="2F75B5"/>
            <w:noWrap/>
            <w:vAlign w:val="center"/>
            <w:hideMark/>
          </w:tcPr>
          <w:p w14:paraId="211C93C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86,79%</w:t>
            </w:r>
          </w:p>
        </w:tc>
        <w:tc>
          <w:tcPr>
            <w:tcW w:w="397" w:type="pct"/>
            <w:tcBorders>
              <w:top w:val="nil"/>
              <w:left w:val="single" w:sz="8" w:space="0" w:color="002060"/>
              <w:bottom w:val="single" w:sz="8" w:space="0" w:color="002060"/>
              <w:right w:val="nil"/>
            </w:tcBorders>
            <w:shd w:val="clear" w:color="000000" w:fill="2F75B5"/>
            <w:noWrap/>
            <w:vAlign w:val="center"/>
            <w:hideMark/>
          </w:tcPr>
          <w:p w14:paraId="605ECCF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80,12%</w:t>
            </w:r>
          </w:p>
        </w:tc>
        <w:tc>
          <w:tcPr>
            <w:tcW w:w="409" w:type="pct"/>
            <w:tcBorders>
              <w:top w:val="nil"/>
              <w:left w:val="single" w:sz="8" w:space="0" w:color="002060"/>
              <w:bottom w:val="single" w:sz="8" w:space="0" w:color="002060"/>
              <w:right w:val="nil"/>
            </w:tcBorders>
            <w:shd w:val="clear" w:color="000000" w:fill="2F75B5"/>
            <w:noWrap/>
            <w:vAlign w:val="center"/>
            <w:hideMark/>
          </w:tcPr>
          <w:p w14:paraId="2FE9904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83,40%</w:t>
            </w:r>
          </w:p>
        </w:tc>
        <w:tc>
          <w:tcPr>
            <w:tcW w:w="353" w:type="pct"/>
            <w:tcBorders>
              <w:top w:val="nil"/>
              <w:left w:val="single" w:sz="8" w:space="0" w:color="002060"/>
              <w:bottom w:val="single" w:sz="8" w:space="0" w:color="002060"/>
              <w:right w:val="nil"/>
            </w:tcBorders>
            <w:shd w:val="clear" w:color="000000" w:fill="2F75B5"/>
            <w:noWrap/>
            <w:vAlign w:val="center"/>
            <w:hideMark/>
          </w:tcPr>
          <w:p w14:paraId="2E517D6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86,73%</w:t>
            </w:r>
          </w:p>
        </w:tc>
        <w:tc>
          <w:tcPr>
            <w:tcW w:w="353" w:type="pct"/>
            <w:tcBorders>
              <w:top w:val="nil"/>
              <w:left w:val="single" w:sz="8" w:space="0" w:color="002060"/>
              <w:bottom w:val="single" w:sz="8" w:space="0" w:color="002060"/>
              <w:right w:val="nil"/>
            </w:tcBorders>
            <w:shd w:val="clear" w:color="auto" w:fill="auto"/>
            <w:noWrap/>
            <w:vAlign w:val="center"/>
            <w:hideMark/>
          </w:tcPr>
          <w:p w14:paraId="0745222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84,00%</w:t>
            </w:r>
          </w:p>
        </w:tc>
        <w:tc>
          <w:tcPr>
            <w:tcW w:w="352" w:type="pct"/>
            <w:tcBorders>
              <w:top w:val="nil"/>
              <w:left w:val="single" w:sz="8" w:space="0" w:color="002060"/>
              <w:bottom w:val="single" w:sz="8" w:space="0" w:color="002060"/>
              <w:right w:val="nil"/>
            </w:tcBorders>
            <w:shd w:val="clear" w:color="000000" w:fill="2F75B5"/>
            <w:noWrap/>
            <w:vAlign w:val="center"/>
            <w:hideMark/>
          </w:tcPr>
          <w:p w14:paraId="023AFE9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87,58%</w:t>
            </w:r>
          </w:p>
        </w:tc>
      </w:tr>
      <w:tr w:rsidR="007E21BD" w:rsidRPr="007E21BD" w14:paraId="7950F144"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63E059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46A857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5901FB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51DB3E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F8A970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FEB84"/>
            <w:noWrap/>
            <w:vAlign w:val="center"/>
            <w:hideMark/>
          </w:tcPr>
          <w:p w14:paraId="52CFDA4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FEB84"/>
            <w:noWrap/>
            <w:vAlign w:val="center"/>
            <w:hideMark/>
          </w:tcPr>
          <w:p w14:paraId="0AF6AD1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45C160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4BC5612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6E2E17B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52C94637" w14:textId="77777777" w:rsidTr="00975F7F">
        <w:trPr>
          <w:trHeight w:val="113"/>
        </w:trPr>
        <w:tc>
          <w:tcPr>
            <w:tcW w:w="1716" w:type="pct"/>
            <w:tcBorders>
              <w:top w:val="nil"/>
              <w:left w:val="nil"/>
              <w:bottom w:val="nil"/>
              <w:right w:val="nil"/>
            </w:tcBorders>
            <w:shd w:val="clear" w:color="000000" w:fill="002060"/>
            <w:vAlign w:val="center"/>
            <w:hideMark/>
          </w:tcPr>
          <w:p w14:paraId="3144AE9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Principio 3 - Participación económica de los asociados, en justicia y equidad</w:t>
            </w:r>
          </w:p>
        </w:tc>
        <w:tc>
          <w:tcPr>
            <w:tcW w:w="353" w:type="pct"/>
            <w:tcBorders>
              <w:top w:val="nil"/>
              <w:left w:val="nil"/>
              <w:bottom w:val="nil"/>
              <w:right w:val="nil"/>
            </w:tcBorders>
            <w:shd w:val="clear" w:color="auto" w:fill="auto"/>
            <w:noWrap/>
            <w:vAlign w:val="center"/>
            <w:hideMark/>
          </w:tcPr>
          <w:p w14:paraId="32EBD969"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1D006E35"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88%</w:t>
            </w:r>
          </w:p>
        </w:tc>
        <w:tc>
          <w:tcPr>
            <w:tcW w:w="353" w:type="pct"/>
            <w:tcBorders>
              <w:top w:val="single" w:sz="8" w:space="0" w:color="FFFFFF"/>
              <w:left w:val="nil"/>
              <w:bottom w:val="single" w:sz="8" w:space="0" w:color="FFFFFF"/>
              <w:right w:val="nil"/>
            </w:tcBorders>
            <w:shd w:val="clear" w:color="000000" w:fill="002060"/>
            <w:noWrap/>
            <w:vAlign w:val="center"/>
            <w:hideMark/>
          </w:tcPr>
          <w:p w14:paraId="3490B1A9"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75%</w:t>
            </w:r>
          </w:p>
        </w:tc>
        <w:tc>
          <w:tcPr>
            <w:tcW w:w="361" w:type="pct"/>
            <w:tcBorders>
              <w:top w:val="single" w:sz="8" w:space="0" w:color="FFFFFF"/>
              <w:left w:val="nil"/>
              <w:bottom w:val="single" w:sz="8" w:space="0" w:color="FFFFFF"/>
              <w:right w:val="nil"/>
            </w:tcBorders>
            <w:shd w:val="clear" w:color="000000" w:fill="002060"/>
            <w:noWrap/>
            <w:vAlign w:val="center"/>
            <w:hideMark/>
          </w:tcPr>
          <w:p w14:paraId="2DFC6208"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63%</w:t>
            </w:r>
          </w:p>
        </w:tc>
        <w:tc>
          <w:tcPr>
            <w:tcW w:w="397" w:type="pct"/>
            <w:tcBorders>
              <w:top w:val="single" w:sz="8" w:space="0" w:color="FFFFFF"/>
              <w:left w:val="nil"/>
              <w:bottom w:val="single" w:sz="8" w:space="0" w:color="FFFFFF"/>
              <w:right w:val="nil"/>
            </w:tcBorders>
            <w:shd w:val="clear" w:color="000000" w:fill="002060"/>
            <w:noWrap/>
            <w:vAlign w:val="center"/>
            <w:hideMark/>
          </w:tcPr>
          <w:p w14:paraId="4649AB3E"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88%</w:t>
            </w:r>
          </w:p>
        </w:tc>
        <w:tc>
          <w:tcPr>
            <w:tcW w:w="409" w:type="pct"/>
            <w:tcBorders>
              <w:top w:val="single" w:sz="8" w:space="0" w:color="FFFFFF"/>
              <w:left w:val="nil"/>
              <w:bottom w:val="single" w:sz="8" w:space="0" w:color="FFFFFF"/>
              <w:right w:val="nil"/>
            </w:tcBorders>
            <w:shd w:val="clear" w:color="000000" w:fill="002060"/>
            <w:noWrap/>
            <w:vAlign w:val="center"/>
            <w:hideMark/>
          </w:tcPr>
          <w:p w14:paraId="133B374D"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63%</w:t>
            </w:r>
          </w:p>
        </w:tc>
        <w:tc>
          <w:tcPr>
            <w:tcW w:w="353" w:type="pct"/>
            <w:tcBorders>
              <w:top w:val="single" w:sz="8" w:space="0" w:color="FFFFFF"/>
              <w:left w:val="nil"/>
              <w:bottom w:val="single" w:sz="8" w:space="0" w:color="FFFFFF"/>
              <w:right w:val="nil"/>
            </w:tcBorders>
            <w:shd w:val="clear" w:color="000000" w:fill="002060"/>
            <w:noWrap/>
            <w:vAlign w:val="center"/>
            <w:hideMark/>
          </w:tcPr>
          <w:p w14:paraId="61C54D47"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63%</w:t>
            </w:r>
          </w:p>
        </w:tc>
        <w:tc>
          <w:tcPr>
            <w:tcW w:w="353" w:type="pct"/>
            <w:tcBorders>
              <w:top w:val="nil"/>
              <w:left w:val="nil"/>
              <w:bottom w:val="nil"/>
              <w:right w:val="nil"/>
            </w:tcBorders>
            <w:shd w:val="clear" w:color="000000" w:fill="002060"/>
            <w:noWrap/>
            <w:vAlign w:val="center"/>
            <w:hideMark/>
          </w:tcPr>
          <w:p w14:paraId="6932817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63%</w:t>
            </w:r>
          </w:p>
        </w:tc>
        <w:tc>
          <w:tcPr>
            <w:tcW w:w="352" w:type="pct"/>
            <w:tcBorders>
              <w:top w:val="single" w:sz="8" w:space="0" w:color="FFFFFF"/>
              <w:left w:val="nil"/>
              <w:bottom w:val="single" w:sz="8" w:space="0" w:color="FFFFFF"/>
              <w:right w:val="nil"/>
            </w:tcBorders>
            <w:shd w:val="clear" w:color="000000" w:fill="002060"/>
            <w:noWrap/>
            <w:vAlign w:val="center"/>
            <w:hideMark/>
          </w:tcPr>
          <w:p w14:paraId="519EC3C5"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88%</w:t>
            </w:r>
          </w:p>
        </w:tc>
      </w:tr>
      <w:tr w:rsidR="007E21BD" w:rsidRPr="007E21BD" w14:paraId="7DAE8241"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0E978A2B"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Cultura de ahorro</w:t>
            </w:r>
          </w:p>
        </w:tc>
        <w:tc>
          <w:tcPr>
            <w:tcW w:w="353" w:type="pct"/>
            <w:tcBorders>
              <w:top w:val="single" w:sz="12" w:space="0" w:color="FFFFFF"/>
              <w:left w:val="nil"/>
              <w:bottom w:val="nil"/>
              <w:right w:val="nil"/>
            </w:tcBorders>
            <w:shd w:val="clear" w:color="000000" w:fill="002060"/>
            <w:noWrap/>
            <w:vAlign w:val="center"/>
            <w:hideMark/>
          </w:tcPr>
          <w:p w14:paraId="669C537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68,00%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163AA66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68,40%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30F147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61,06%</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5490D88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68,75%</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53D038F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55,79%</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762742B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78,68%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5B37232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83,81%</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6D4D2DEB"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100,79%</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44E76F8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73,42%</w:t>
            </w:r>
          </w:p>
        </w:tc>
      </w:tr>
      <w:tr w:rsidR="007E21BD" w:rsidRPr="007E21BD" w14:paraId="5C802EEA"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AC7ED4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2E590F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BF7DA2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E7801D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5CECB8B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0076B26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64A7BBB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1D842B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F0000"/>
            <w:noWrap/>
            <w:vAlign w:val="center"/>
            <w:hideMark/>
          </w:tcPr>
          <w:p w14:paraId="3083CAAF" w14:textId="77777777" w:rsidR="007E21BD" w:rsidRPr="007E21BD" w:rsidRDefault="007E21BD" w:rsidP="00DA4A09">
            <w:pPr>
              <w:jc w:val="center"/>
              <w:rPr>
                <w:rFonts w:ascii="Arial Narrow" w:hAnsi="Arial Narrow" w:cs="Calibri"/>
                <w:color w:val="FF0000"/>
                <w:sz w:val="16"/>
                <w:szCs w:val="16"/>
                <w:lang w:val="es-CO" w:eastAsia="es-CO"/>
              </w:rPr>
            </w:pPr>
            <w:r w:rsidRPr="007E21BD">
              <w:rPr>
                <w:rFonts w:ascii="Arial Narrow" w:hAnsi="Arial Narrow" w:cs="Calibri"/>
                <w:color w:val="FFFFFF" w:themeColor="background1"/>
                <w:sz w:val="16"/>
                <w:szCs w:val="16"/>
                <w:lang w:val="es-CO" w:eastAsia="es-CO"/>
              </w:rPr>
              <w:t>INC</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4B03668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07B6034C"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C94AED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Inclusión financiera</w:t>
            </w:r>
          </w:p>
        </w:tc>
        <w:tc>
          <w:tcPr>
            <w:tcW w:w="353" w:type="pct"/>
            <w:tcBorders>
              <w:top w:val="single" w:sz="12" w:space="0" w:color="FFFFFF"/>
              <w:left w:val="nil"/>
              <w:bottom w:val="nil"/>
              <w:right w:val="nil"/>
            </w:tcBorders>
            <w:shd w:val="clear" w:color="000000" w:fill="002060"/>
            <w:noWrap/>
            <w:vAlign w:val="center"/>
            <w:hideMark/>
          </w:tcPr>
          <w:p w14:paraId="2F04FE5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57,61%</w:t>
            </w:r>
          </w:p>
        </w:tc>
        <w:tc>
          <w:tcPr>
            <w:tcW w:w="353" w:type="pct"/>
            <w:tcBorders>
              <w:top w:val="nil"/>
              <w:left w:val="single" w:sz="8" w:space="0" w:color="002060"/>
              <w:bottom w:val="single" w:sz="8" w:space="0" w:color="002060"/>
              <w:right w:val="nil"/>
            </w:tcBorders>
            <w:shd w:val="clear" w:color="000000" w:fill="2F75B5"/>
            <w:noWrap/>
            <w:vAlign w:val="center"/>
            <w:hideMark/>
          </w:tcPr>
          <w:p w14:paraId="6D9D65C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54,12%</w:t>
            </w:r>
          </w:p>
        </w:tc>
        <w:tc>
          <w:tcPr>
            <w:tcW w:w="353" w:type="pct"/>
            <w:tcBorders>
              <w:top w:val="nil"/>
              <w:left w:val="single" w:sz="8" w:space="0" w:color="002060"/>
              <w:bottom w:val="single" w:sz="8" w:space="0" w:color="002060"/>
              <w:right w:val="nil"/>
            </w:tcBorders>
            <w:shd w:val="clear" w:color="000000" w:fill="2F75B5"/>
            <w:noWrap/>
            <w:vAlign w:val="center"/>
            <w:hideMark/>
          </w:tcPr>
          <w:p w14:paraId="4A577DC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55,48%</w:t>
            </w:r>
          </w:p>
        </w:tc>
        <w:tc>
          <w:tcPr>
            <w:tcW w:w="361" w:type="pct"/>
            <w:tcBorders>
              <w:top w:val="nil"/>
              <w:left w:val="single" w:sz="8" w:space="0" w:color="002060"/>
              <w:bottom w:val="single" w:sz="8" w:space="0" w:color="002060"/>
              <w:right w:val="nil"/>
            </w:tcBorders>
            <w:shd w:val="clear" w:color="000000" w:fill="2F75B5"/>
            <w:noWrap/>
            <w:vAlign w:val="center"/>
            <w:hideMark/>
          </w:tcPr>
          <w:p w14:paraId="198040F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63,56%</w:t>
            </w:r>
          </w:p>
        </w:tc>
        <w:tc>
          <w:tcPr>
            <w:tcW w:w="397" w:type="pct"/>
            <w:tcBorders>
              <w:top w:val="nil"/>
              <w:left w:val="single" w:sz="8" w:space="0" w:color="002060"/>
              <w:bottom w:val="single" w:sz="8" w:space="0" w:color="002060"/>
              <w:right w:val="nil"/>
            </w:tcBorders>
            <w:shd w:val="clear" w:color="000000" w:fill="2F75B5"/>
            <w:noWrap/>
            <w:vAlign w:val="center"/>
            <w:hideMark/>
          </w:tcPr>
          <w:p w14:paraId="6847F94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52,80%</w:t>
            </w:r>
          </w:p>
        </w:tc>
        <w:tc>
          <w:tcPr>
            <w:tcW w:w="409" w:type="pct"/>
            <w:tcBorders>
              <w:top w:val="nil"/>
              <w:left w:val="single" w:sz="8" w:space="0" w:color="002060"/>
              <w:bottom w:val="single" w:sz="8" w:space="0" w:color="002060"/>
              <w:right w:val="nil"/>
            </w:tcBorders>
            <w:shd w:val="clear" w:color="000000" w:fill="2F75B5"/>
            <w:noWrap/>
            <w:vAlign w:val="center"/>
            <w:hideMark/>
          </w:tcPr>
          <w:p w14:paraId="2C32D43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57,62%</w:t>
            </w:r>
          </w:p>
        </w:tc>
        <w:tc>
          <w:tcPr>
            <w:tcW w:w="353" w:type="pct"/>
            <w:tcBorders>
              <w:top w:val="nil"/>
              <w:left w:val="single" w:sz="8" w:space="0" w:color="002060"/>
              <w:bottom w:val="single" w:sz="8" w:space="0" w:color="002060"/>
              <w:right w:val="nil"/>
            </w:tcBorders>
            <w:shd w:val="clear" w:color="000000" w:fill="2F75B5"/>
            <w:noWrap/>
            <w:vAlign w:val="center"/>
            <w:hideMark/>
          </w:tcPr>
          <w:p w14:paraId="3503F70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56,09%</w:t>
            </w:r>
          </w:p>
        </w:tc>
        <w:tc>
          <w:tcPr>
            <w:tcW w:w="353" w:type="pct"/>
            <w:tcBorders>
              <w:top w:val="nil"/>
              <w:left w:val="single" w:sz="8" w:space="0" w:color="002060"/>
              <w:bottom w:val="single" w:sz="8" w:space="0" w:color="002060"/>
              <w:right w:val="nil"/>
            </w:tcBorders>
            <w:shd w:val="clear" w:color="auto" w:fill="auto"/>
            <w:noWrap/>
            <w:vAlign w:val="center"/>
            <w:hideMark/>
          </w:tcPr>
          <w:p w14:paraId="7428B87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62,05%</w:t>
            </w:r>
          </w:p>
        </w:tc>
        <w:tc>
          <w:tcPr>
            <w:tcW w:w="352" w:type="pct"/>
            <w:tcBorders>
              <w:top w:val="nil"/>
              <w:left w:val="single" w:sz="8" w:space="0" w:color="002060"/>
              <w:bottom w:val="single" w:sz="8" w:space="0" w:color="002060"/>
              <w:right w:val="nil"/>
            </w:tcBorders>
            <w:shd w:val="clear" w:color="000000" w:fill="2F75B5"/>
            <w:noWrap/>
            <w:vAlign w:val="center"/>
            <w:hideMark/>
          </w:tcPr>
          <w:p w14:paraId="5939567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55,58%</w:t>
            </w:r>
          </w:p>
        </w:tc>
      </w:tr>
      <w:tr w:rsidR="007E21BD" w:rsidRPr="007E21BD" w14:paraId="103824E1"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CA930B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1BE6F2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71BA746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1910290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1C01A47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060F3D4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11AF852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1594A66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2C17B58"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F8E984"/>
            <w:noWrap/>
            <w:vAlign w:val="center"/>
            <w:hideMark/>
          </w:tcPr>
          <w:p w14:paraId="53A586F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6B0EB956"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4EB801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Equidad de género en volumen de negocio</w:t>
            </w:r>
          </w:p>
        </w:tc>
        <w:tc>
          <w:tcPr>
            <w:tcW w:w="353" w:type="pct"/>
            <w:tcBorders>
              <w:top w:val="single" w:sz="12" w:space="0" w:color="FFFFFF"/>
              <w:left w:val="nil"/>
              <w:bottom w:val="nil"/>
              <w:right w:val="nil"/>
            </w:tcBorders>
            <w:shd w:val="clear" w:color="000000" w:fill="002060"/>
            <w:noWrap/>
            <w:vAlign w:val="center"/>
            <w:hideMark/>
          </w:tcPr>
          <w:p w14:paraId="699EB11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0,94</w:t>
            </w:r>
          </w:p>
        </w:tc>
        <w:tc>
          <w:tcPr>
            <w:tcW w:w="353" w:type="pct"/>
            <w:tcBorders>
              <w:top w:val="nil"/>
              <w:left w:val="single" w:sz="8" w:space="0" w:color="002060"/>
              <w:bottom w:val="single" w:sz="8" w:space="0" w:color="002060"/>
              <w:right w:val="nil"/>
            </w:tcBorders>
            <w:shd w:val="clear" w:color="000000" w:fill="2F75B5"/>
            <w:noWrap/>
            <w:vAlign w:val="center"/>
            <w:hideMark/>
          </w:tcPr>
          <w:p w14:paraId="07FD00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0,89</w:t>
            </w:r>
          </w:p>
        </w:tc>
        <w:tc>
          <w:tcPr>
            <w:tcW w:w="353" w:type="pct"/>
            <w:tcBorders>
              <w:top w:val="nil"/>
              <w:left w:val="single" w:sz="8" w:space="0" w:color="002060"/>
              <w:bottom w:val="single" w:sz="8" w:space="0" w:color="002060"/>
              <w:right w:val="nil"/>
            </w:tcBorders>
            <w:shd w:val="clear" w:color="000000" w:fill="2F75B5"/>
            <w:noWrap/>
            <w:vAlign w:val="center"/>
            <w:hideMark/>
          </w:tcPr>
          <w:p w14:paraId="1012721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0,90</w:t>
            </w:r>
          </w:p>
        </w:tc>
        <w:tc>
          <w:tcPr>
            <w:tcW w:w="361" w:type="pct"/>
            <w:tcBorders>
              <w:top w:val="nil"/>
              <w:left w:val="single" w:sz="8" w:space="0" w:color="002060"/>
              <w:bottom w:val="single" w:sz="8" w:space="0" w:color="002060"/>
              <w:right w:val="nil"/>
            </w:tcBorders>
            <w:shd w:val="clear" w:color="000000" w:fill="2F75B5"/>
            <w:noWrap/>
            <w:vAlign w:val="center"/>
            <w:hideMark/>
          </w:tcPr>
          <w:p w14:paraId="2EB0640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1,13</w:t>
            </w:r>
          </w:p>
        </w:tc>
        <w:tc>
          <w:tcPr>
            <w:tcW w:w="397" w:type="pct"/>
            <w:tcBorders>
              <w:top w:val="nil"/>
              <w:left w:val="single" w:sz="8" w:space="0" w:color="002060"/>
              <w:bottom w:val="single" w:sz="8" w:space="0" w:color="002060"/>
              <w:right w:val="nil"/>
            </w:tcBorders>
            <w:shd w:val="clear" w:color="000000" w:fill="2F75B5"/>
            <w:noWrap/>
            <w:vAlign w:val="center"/>
            <w:hideMark/>
          </w:tcPr>
          <w:p w14:paraId="3FFA41C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1,21</w:t>
            </w:r>
          </w:p>
        </w:tc>
        <w:tc>
          <w:tcPr>
            <w:tcW w:w="409" w:type="pct"/>
            <w:tcBorders>
              <w:top w:val="nil"/>
              <w:left w:val="single" w:sz="8" w:space="0" w:color="002060"/>
              <w:bottom w:val="single" w:sz="8" w:space="0" w:color="002060"/>
              <w:right w:val="nil"/>
            </w:tcBorders>
            <w:shd w:val="clear" w:color="000000" w:fill="2F75B5"/>
            <w:noWrap/>
            <w:vAlign w:val="center"/>
            <w:hideMark/>
          </w:tcPr>
          <w:p w14:paraId="7EBB267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1,28</w:t>
            </w:r>
          </w:p>
        </w:tc>
        <w:tc>
          <w:tcPr>
            <w:tcW w:w="353" w:type="pct"/>
            <w:tcBorders>
              <w:top w:val="nil"/>
              <w:left w:val="single" w:sz="8" w:space="0" w:color="002060"/>
              <w:bottom w:val="single" w:sz="8" w:space="0" w:color="002060"/>
              <w:right w:val="nil"/>
            </w:tcBorders>
            <w:shd w:val="clear" w:color="000000" w:fill="2F75B5"/>
            <w:noWrap/>
            <w:vAlign w:val="center"/>
            <w:hideMark/>
          </w:tcPr>
          <w:p w14:paraId="6CBFB0F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0,50</w:t>
            </w:r>
          </w:p>
        </w:tc>
        <w:tc>
          <w:tcPr>
            <w:tcW w:w="353" w:type="pct"/>
            <w:tcBorders>
              <w:top w:val="nil"/>
              <w:left w:val="single" w:sz="8" w:space="0" w:color="002060"/>
              <w:bottom w:val="single" w:sz="8" w:space="0" w:color="002060"/>
              <w:right w:val="nil"/>
            </w:tcBorders>
            <w:shd w:val="clear" w:color="auto" w:fill="auto"/>
            <w:noWrap/>
            <w:vAlign w:val="center"/>
            <w:hideMark/>
          </w:tcPr>
          <w:p w14:paraId="10F5F397"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1,45</w:t>
            </w:r>
          </w:p>
        </w:tc>
        <w:tc>
          <w:tcPr>
            <w:tcW w:w="352" w:type="pct"/>
            <w:tcBorders>
              <w:top w:val="nil"/>
              <w:left w:val="single" w:sz="8" w:space="0" w:color="002060"/>
              <w:bottom w:val="single" w:sz="8" w:space="0" w:color="002060"/>
              <w:right w:val="nil"/>
            </w:tcBorders>
            <w:shd w:val="clear" w:color="000000" w:fill="2F75B5"/>
            <w:noWrap/>
            <w:vAlign w:val="center"/>
            <w:hideMark/>
          </w:tcPr>
          <w:p w14:paraId="468EB05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1,25</w:t>
            </w:r>
          </w:p>
        </w:tc>
      </w:tr>
      <w:tr w:rsidR="007E21BD" w:rsidRPr="007E21BD" w14:paraId="7D652D27"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EE91500"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ED765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684EC14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3059C66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F1CBEF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0CD8203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A58C74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AE0EA5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18A203C"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6B036C7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3B905814"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D82313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Equidad de género en número de operaciones</w:t>
            </w:r>
          </w:p>
        </w:tc>
        <w:tc>
          <w:tcPr>
            <w:tcW w:w="353" w:type="pct"/>
            <w:tcBorders>
              <w:top w:val="single" w:sz="12" w:space="0" w:color="FFFFFF"/>
              <w:left w:val="nil"/>
              <w:bottom w:val="nil"/>
              <w:right w:val="nil"/>
            </w:tcBorders>
            <w:shd w:val="clear" w:color="000000" w:fill="002060"/>
            <w:noWrap/>
            <w:vAlign w:val="center"/>
            <w:hideMark/>
          </w:tcPr>
          <w:p w14:paraId="76A71B8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48,82%</w:t>
            </w:r>
          </w:p>
        </w:tc>
        <w:tc>
          <w:tcPr>
            <w:tcW w:w="353" w:type="pct"/>
            <w:tcBorders>
              <w:top w:val="nil"/>
              <w:left w:val="single" w:sz="8" w:space="0" w:color="002060"/>
              <w:bottom w:val="single" w:sz="8" w:space="0" w:color="002060"/>
              <w:right w:val="nil"/>
            </w:tcBorders>
            <w:shd w:val="clear" w:color="000000" w:fill="2F75B5"/>
            <w:noWrap/>
            <w:vAlign w:val="center"/>
            <w:hideMark/>
          </w:tcPr>
          <w:p w14:paraId="03D77F8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52,07%</w:t>
            </w:r>
          </w:p>
        </w:tc>
        <w:tc>
          <w:tcPr>
            <w:tcW w:w="353" w:type="pct"/>
            <w:tcBorders>
              <w:top w:val="nil"/>
              <w:left w:val="single" w:sz="8" w:space="0" w:color="002060"/>
              <w:bottom w:val="single" w:sz="8" w:space="0" w:color="002060"/>
              <w:right w:val="nil"/>
            </w:tcBorders>
            <w:shd w:val="clear" w:color="000000" w:fill="2F75B5"/>
            <w:noWrap/>
            <w:vAlign w:val="center"/>
            <w:hideMark/>
          </w:tcPr>
          <w:p w14:paraId="7D4533F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56,55%</w:t>
            </w:r>
          </w:p>
        </w:tc>
        <w:tc>
          <w:tcPr>
            <w:tcW w:w="361" w:type="pct"/>
            <w:tcBorders>
              <w:top w:val="nil"/>
              <w:left w:val="single" w:sz="8" w:space="0" w:color="002060"/>
              <w:bottom w:val="single" w:sz="8" w:space="0" w:color="002060"/>
              <w:right w:val="nil"/>
            </w:tcBorders>
            <w:shd w:val="clear" w:color="000000" w:fill="2F75B5"/>
            <w:noWrap/>
            <w:vAlign w:val="center"/>
            <w:hideMark/>
          </w:tcPr>
          <w:p w14:paraId="62E677B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47,06%</w:t>
            </w:r>
          </w:p>
        </w:tc>
        <w:tc>
          <w:tcPr>
            <w:tcW w:w="397" w:type="pct"/>
            <w:tcBorders>
              <w:top w:val="nil"/>
              <w:left w:val="single" w:sz="8" w:space="0" w:color="002060"/>
              <w:bottom w:val="single" w:sz="8" w:space="0" w:color="002060"/>
              <w:right w:val="nil"/>
            </w:tcBorders>
            <w:shd w:val="clear" w:color="000000" w:fill="2F75B5"/>
            <w:noWrap/>
            <w:vAlign w:val="center"/>
            <w:hideMark/>
          </w:tcPr>
          <w:p w14:paraId="3E8BBFA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49,67%</w:t>
            </w:r>
          </w:p>
        </w:tc>
        <w:tc>
          <w:tcPr>
            <w:tcW w:w="409" w:type="pct"/>
            <w:tcBorders>
              <w:top w:val="nil"/>
              <w:left w:val="single" w:sz="8" w:space="0" w:color="002060"/>
              <w:bottom w:val="single" w:sz="8" w:space="0" w:color="002060"/>
              <w:right w:val="nil"/>
            </w:tcBorders>
            <w:shd w:val="clear" w:color="000000" w:fill="2F75B5"/>
            <w:noWrap/>
            <w:vAlign w:val="center"/>
            <w:hideMark/>
          </w:tcPr>
          <w:p w14:paraId="12448CD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43,76%</w:t>
            </w:r>
          </w:p>
        </w:tc>
        <w:tc>
          <w:tcPr>
            <w:tcW w:w="353" w:type="pct"/>
            <w:tcBorders>
              <w:top w:val="nil"/>
              <w:left w:val="single" w:sz="8" w:space="0" w:color="002060"/>
              <w:bottom w:val="single" w:sz="8" w:space="0" w:color="002060"/>
              <w:right w:val="nil"/>
            </w:tcBorders>
            <w:shd w:val="clear" w:color="000000" w:fill="2F75B5"/>
            <w:noWrap/>
            <w:vAlign w:val="center"/>
            <w:hideMark/>
          </w:tcPr>
          <w:p w14:paraId="6ADCC54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44,36%</w:t>
            </w:r>
          </w:p>
        </w:tc>
        <w:tc>
          <w:tcPr>
            <w:tcW w:w="353" w:type="pct"/>
            <w:tcBorders>
              <w:top w:val="nil"/>
              <w:left w:val="single" w:sz="8" w:space="0" w:color="002060"/>
              <w:bottom w:val="single" w:sz="8" w:space="0" w:color="002060"/>
              <w:right w:val="nil"/>
            </w:tcBorders>
            <w:shd w:val="clear" w:color="auto" w:fill="auto"/>
            <w:noWrap/>
            <w:vAlign w:val="center"/>
            <w:hideMark/>
          </w:tcPr>
          <w:p w14:paraId="32897AE8"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34,12%</w:t>
            </w:r>
          </w:p>
        </w:tc>
        <w:tc>
          <w:tcPr>
            <w:tcW w:w="352" w:type="pct"/>
            <w:tcBorders>
              <w:top w:val="nil"/>
              <w:left w:val="single" w:sz="8" w:space="0" w:color="002060"/>
              <w:bottom w:val="single" w:sz="8" w:space="0" w:color="002060"/>
              <w:right w:val="nil"/>
            </w:tcBorders>
            <w:shd w:val="clear" w:color="000000" w:fill="2F75B5"/>
            <w:noWrap/>
            <w:vAlign w:val="center"/>
            <w:hideMark/>
          </w:tcPr>
          <w:p w14:paraId="5F3CD3A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44,52%</w:t>
            </w:r>
          </w:p>
        </w:tc>
      </w:tr>
      <w:tr w:rsidR="007E21BD" w:rsidRPr="007E21BD" w14:paraId="317F7D2E"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B8FC9C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63C172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A5120C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563B54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F6C"/>
            <w:noWrap/>
            <w:vAlign w:val="center"/>
            <w:hideMark/>
          </w:tcPr>
          <w:p w14:paraId="3D2D709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1344C22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4FD9D4B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72C3772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FBF1638"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F6C"/>
            <w:noWrap/>
            <w:vAlign w:val="center"/>
            <w:hideMark/>
          </w:tcPr>
          <w:p w14:paraId="70C4305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16482FD5"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2F2260E"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Capital institucional</w:t>
            </w:r>
          </w:p>
        </w:tc>
        <w:tc>
          <w:tcPr>
            <w:tcW w:w="353" w:type="pct"/>
            <w:tcBorders>
              <w:top w:val="single" w:sz="12" w:space="0" w:color="FFFFFF"/>
              <w:left w:val="nil"/>
              <w:bottom w:val="nil"/>
              <w:right w:val="nil"/>
            </w:tcBorders>
            <w:shd w:val="clear" w:color="000000" w:fill="002060"/>
            <w:noWrap/>
            <w:vAlign w:val="center"/>
            <w:hideMark/>
          </w:tcPr>
          <w:p w14:paraId="1EAAA07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10,25%</w:t>
            </w:r>
          </w:p>
        </w:tc>
        <w:tc>
          <w:tcPr>
            <w:tcW w:w="353" w:type="pct"/>
            <w:tcBorders>
              <w:top w:val="nil"/>
              <w:left w:val="single" w:sz="8" w:space="0" w:color="002060"/>
              <w:bottom w:val="single" w:sz="8" w:space="0" w:color="002060"/>
              <w:right w:val="nil"/>
            </w:tcBorders>
            <w:shd w:val="clear" w:color="000000" w:fill="2F75B5"/>
            <w:noWrap/>
            <w:vAlign w:val="center"/>
            <w:hideMark/>
          </w:tcPr>
          <w:p w14:paraId="12DB6DC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13,64%</w:t>
            </w:r>
          </w:p>
        </w:tc>
        <w:tc>
          <w:tcPr>
            <w:tcW w:w="353" w:type="pct"/>
            <w:tcBorders>
              <w:top w:val="nil"/>
              <w:left w:val="single" w:sz="8" w:space="0" w:color="002060"/>
              <w:bottom w:val="single" w:sz="8" w:space="0" w:color="002060"/>
              <w:right w:val="nil"/>
            </w:tcBorders>
            <w:shd w:val="clear" w:color="000000" w:fill="2F75B5"/>
            <w:noWrap/>
            <w:vAlign w:val="center"/>
            <w:hideMark/>
          </w:tcPr>
          <w:p w14:paraId="070EFC4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9,41%</w:t>
            </w:r>
          </w:p>
        </w:tc>
        <w:tc>
          <w:tcPr>
            <w:tcW w:w="361" w:type="pct"/>
            <w:tcBorders>
              <w:top w:val="nil"/>
              <w:left w:val="single" w:sz="8" w:space="0" w:color="002060"/>
              <w:bottom w:val="single" w:sz="8" w:space="0" w:color="002060"/>
              <w:right w:val="nil"/>
            </w:tcBorders>
            <w:shd w:val="clear" w:color="000000" w:fill="2F75B5"/>
            <w:noWrap/>
            <w:vAlign w:val="center"/>
            <w:hideMark/>
          </w:tcPr>
          <w:p w14:paraId="64F1F8B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8,73%</w:t>
            </w:r>
          </w:p>
        </w:tc>
        <w:tc>
          <w:tcPr>
            <w:tcW w:w="397" w:type="pct"/>
            <w:tcBorders>
              <w:top w:val="nil"/>
              <w:left w:val="single" w:sz="8" w:space="0" w:color="002060"/>
              <w:bottom w:val="single" w:sz="8" w:space="0" w:color="002060"/>
              <w:right w:val="nil"/>
            </w:tcBorders>
            <w:shd w:val="clear" w:color="000000" w:fill="2F75B5"/>
            <w:noWrap/>
            <w:vAlign w:val="center"/>
            <w:hideMark/>
          </w:tcPr>
          <w:p w14:paraId="31DFE0D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9,33%</w:t>
            </w:r>
          </w:p>
        </w:tc>
        <w:tc>
          <w:tcPr>
            <w:tcW w:w="409" w:type="pct"/>
            <w:tcBorders>
              <w:top w:val="nil"/>
              <w:left w:val="single" w:sz="8" w:space="0" w:color="002060"/>
              <w:bottom w:val="single" w:sz="8" w:space="0" w:color="002060"/>
              <w:right w:val="nil"/>
            </w:tcBorders>
            <w:shd w:val="clear" w:color="000000" w:fill="2F75B5"/>
            <w:noWrap/>
            <w:vAlign w:val="center"/>
            <w:hideMark/>
          </w:tcPr>
          <w:p w14:paraId="74C1A02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8,69%</w:t>
            </w:r>
          </w:p>
        </w:tc>
        <w:tc>
          <w:tcPr>
            <w:tcW w:w="353" w:type="pct"/>
            <w:tcBorders>
              <w:top w:val="nil"/>
              <w:left w:val="single" w:sz="8" w:space="0" w:color="002060"/>
              <w:bottom w:val="single" w:sz="8" w:space="0" w:color="002060"/>
              <w:right w:val="nil"/>
            </w:tcBorders>
            <w:shd w:val="clear" w:color="000000" w:fill="2F75B5"/>
            <w:noWrap/>
            <w:vAlign w:val="center"/>
            <w:hideMark/>
          </w:tcPr>
          <w:p w14:paraId="432AB2C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9,71%</w:t>
            </w:r>
          </w:p>
        </w:tc>
        <w:tc>
          <w:tcPr>
            <w:tcW w:w="353" w:type="pct"/>
            <w:tcBorders>
              <w:top w:val="nil"/>
              <w:left w:val="single" w:sz="8" w:space="0" w:color="002060"/>
              <w:bottom w:val="single" w:sz="8" w:space="0" w:color="002060"/>
              <w:right w:val="nil"/>
            </w:tcBorders>
            <w:shd w:val="clear" w:color="auto" w:fill="auto"/>
            <w:noWrap/>
            <w:vAlign w:val="center"/>
            <w:hideMark/>
          </w:tcPr>
          <w:p w14:paraId="5819E47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18,70%</w:t>
            </w:r>
          </w:p>
        </w:tc>
        <w:tc>
          <w:tcPr>
            <w:tcW w:w="352" w:type="pct"/>
            <w:tcBorders>
              <w:top w:val="nil"/>
              <w:left w:val="single" w:sz="8" w:space="0" w:color="002060"/>
              <w:bottom w:val="single" w:sz="8" w:space="0" w:color="002060"/>
              <w:right w:val="nil"/>
            </w:tcBorders>
            <w:shd w:val="clear" w:color="000000" w:fill="2F75B5"/>
            <w:noWrap/>
            <w:vAlign w:val="center"/>
            <w:hideMark/>
          </w:tcPr>
          <w:p w14:paraId="745FB24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12,59%</w:t>
            </w:r>
          </w:p>
        </w:tc>
      </w:tr>
      <w:tr w:rsidR="007E21BD" w:rsidRPr="007E21BD" w14:paraId="28F5BE8A"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A5FBB98"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5AC9F6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A6CA69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3540875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0793DD6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4EA1B45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2C90A4C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440F50F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AA13327"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35340D7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0AD509E2"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69B76F7"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Crecimiento en fondos sociales por asociado beneficiado</w:t>
            </w:r>
          </w:p>
        </w:tc>
        <w:tc>
          <w:tcPr>
            <w:tcW w:w="353" w:type="pct"/>
            <w:tcBorders>
              <w:top w:val="single" w:sz="12" w:space="0" w:color="FFFFFF"/>
              <w:left w:val="nil"/>
              <w:bottom w:val="nil"/>
              <w:right w:val="nil"/>
            </w:tcBorders>
            <w:shd w:val="clear" w:color="000000" w:fill="002060"/>
            <w:noWrap/>
            <w:vAlign w:val="center"/>
            <w:hideMark/>
          </w:tcPr>
          <w:p w14:paraId="452FE2D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-17,16%</w:t>
            </w:r>
          </w:p>
        </w:tc>
        <w:tc>
          <w:tcPr>
            <w:tcW w:w="353" w:type="pct"/>
            <w:tcBorders>
              <w:top w:val="nil"/>
              <w:left w:val="single" w:sz="8" w:space="0" w:color="002060"/>
              <w:bottom w:val="single" w:sz="8" w:space="0" w:color="002060"/>
              <w:right w:val="nil"/>
            </w:tcBorders>
            <w:shd w:val="clear" w:color="000000" w:fill="2F75B5"/>
            <w:noWrap/>
            <w:vAlign w:val="center"/>
            <w:hideMark/>
          </w:tcPr>
          <w:p w14:paraId="591DDE0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-55,59%</w:t>
            </w:r>
          </w:p>
        </w:tc>
        <w:tc>
          <w:tcPr>
            <w:tcW w:w="353" w:type="pct"/>
            <w:tcBorders>
              <w:top w:val="nil"/>
              <w:left w:val="single" w:sz="8" w:space="0" w:color="002060"/>
              <w:bottom w:val="single" w:sz="8" w:space="0" w:color="002060"/>
              <w:right w:val="nil"/>
            </w:tcBorders>
            <w:shd w:val="clear" w:color="000000" w:fill="2F75B5"/>
            <w:noWrap/>
            <w:vAlign w:val="center"/>
            <w:hideMark/>
          </w:tcPr>
          <w:p w14:paraId="69DB3B1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30,79%</w:t>
            </w:r>
          </w:p>
        </w:tc>
        <w:tc>
          <w:tcPr>
            <w:tcW w:w="361" w:type="pct"/>
            <w:tcBorders>
              <w:top w:val="nil"/>
              <w:left w:val="single" w:sz="8" w:space="0" w:color="002060"/>
              <w:bottom w:val="single" w:sz="8" w:space="0" w:color="002060"/>
              <w:right w:val="nil"/>
            </w:tcBorders>
            <w:shd w:val="clear" w:color="000000" w:fill="2F75B5"/>
            <w:noWrap/>
            <w:vAlign w:val="center"/>
            <w:hideMark/>
          </w:tcPr>
          <w:p w14:paraId="1A76899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54,05%</w:t>
            </w:r>
          </w:p>
        </w:tc>
        <w:tc>
          <w:tcPr>
            <w:tcW w:w="397" w:type="pct"/>
            <w:tcBorders>
              <w:top w:val="nil"/>
              <w:left w:val="single" w:sz="8" w:space="0" w:color="002060"/>
              <w:bottom w:val="single" w:sz="8" w:space="0" w:color="002060"/>
              <w:right w:val="nil"/>
            </w:tcBorders>
            <w:shd w:val="clear" w:color="000000" w:fill="2F75B5"/>
            <w:noWrap/>
            <w:vAlign w:val="center"/>
            <w:hideMark/>
          </w:tcPr>
          <w:p w14:paraId="5089547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-26,92%</w:t>
            </w:r>
          </w:p>
        </w:tc>
        <w:tc>
          <w:tcPr>
            <w:tcW w:w="409" w:type="pct"/>
            <w:tcBorders>
              <w:top w:val="nil"/>
              <w:left w:val="single" w:sz="8" w:space="0" w:color="002060"/>
              <w:bottom w:val="single" w:sz="8" w:space="0" w:color="002060"/>
              <w:right w:val="nil"/>
            </w:tcBorders>
            <w:shd w:val="clear" w:color="000000" w:fill="2F75B5"/>
            <w:noWrap/>
            <w:vAlign w:val="center"/>
            <w:hideMark/>
          </w:tcPr>
          <w:p w14:paraId="3F799D8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-38,71%</w:t>
            </w:r>
          </w:p>
        </w:tc>
        <w:tc>
          <w:tcPr>
            <w:tcW w:w="353" w:type="pct"/>
            <w:tcBorders>
              <w:top w:val="nil"/>
              <w:left w:val="single" w:sz="8" w:space="0" w:color="002060"/>
              <w:bottom w:val="single" w:sz="8" w:space="0" w:color="002060"/>
              <w:right w:val="nil"/>
            </w:tcBorders>
            <w:shd w:val="clear" w:color="000000" w:fill="2F75B5"/>
            <w:noWrap/>
            <w:vAlign w:val="center"/>
            <w:hideMark/>
          </w:tcPr>
          <w:p w14:paraId="379C8D5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-9,80%</w:t>
            </w:r>
          </w:p>
        </w:tc>
        <w:tc>
          <w:tcPr>
            <w:tcW w:w="353" w:type="pct"/>
            <w:tcBorders>
              <w:top w:val="nil"/>
              <w:left w:val="single" w:sz="8" w:space="0" w:color="002060"/>
              <w:bottom w:val="single" w:sz="8" w:space="0" w:color="002060"/>
              <w:right w:val="nil"/>
            </w:tcBorders>
            <w:shd w:val="clear" w:color="auto" w:fill="auto"/>
            <w:noWrap/>
            <w:vAlign w:val="center"/>
            <w:hideMark/>
          </w:tcPr>
          <w:p w14:paraId="0BE7523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184,82%</w:t>
            </w:r>
          </w:p>
        </w:tc>
        <w:tc>
          <w:tcPr>
            <w:tcW w:w="352" w:type="pct"/>
            <w:tcBorders>
              <w:top w:val="nil"/>
              <w:left w:val="single" w:sz="8" w:space="0" w:color="002060"/>
              <w:bottom w:val="single" w:sz="8" w:space="0" w:color="002060"/>
              <w:right w:val="nil"/>
            </w:tcBorders>
            <w:shd w:val="clear" w:color="000000" w:fill="2F75B5"/>
            <w:noWrap/>
            <w:vAlign w:val="center"/>
            <w:hideMark/>
          </w:tcPr>
          <w:p w14:paraId="444AF63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-59,58%</w:t>
            </w:r>
          </w:p>
        </w:tc>
      </w:tr>
      <w:tr w:rsidR="007E21BD" w:rsidRPr="007E21BD" w14:paraId="3DE29F17"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9E8CB6A"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2D070B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180A95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FEE5E4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26A3AF9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70953AE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2801AF7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3B4883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F0000"/>
            <w:noWrap/>
            <w:vAlign w:val="center"/>
            <w:hideMark/>
          </w:tcPr>
          <w:p w14:paraId="1FDBBEF1" w14:textId="77777777" w:rsidR="007E21BD" w:rsidRPr="007E21BD" w:rsidRDefault="007E21BD" w:rsidP="00DA4A09">
            <w:pPr>
              <w:rPr>
                <w:rFonts w:ascii="Arial Narrow" w:hAnsi="Arial Narrow" w:cs="Calibri"/>
                <w:color w:val="FF0000"/>
                <w:sz w:val="16"/>
                <w:szCs w:val="16"/>
                <w:lang w:val="es-CO" w:eastAsia="es-CO"/>
              </w:rPr>
            </w:pPr>
            <w:r w:rsidRPr="007E21BD">
              <w:rPr>
                <w:rFonts w:ascii="Arial Narrow" w:hAnsi="Arial Narrow" w:cs="Calibri"/>
                <w:color w:val="FFFFFF" w:themeColor="background1"/>
                <w:sz w:val="16"/>
                <w:szCs w:val="16"/>
                <w:lang w:val="es-CO" w:eastAsia="es-CO"/>
              </w:rPr>
              <w:t>INC</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4C38E62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3F326A5F"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39FE1A4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Cobertura de programas y beneficios sociales</w:t>
            </w:r>
          </w:p>
        </w:tc>
        <w:tc>
          <w:tcPr>
            <w:tcW w:w="353" w:type="pct"/>
            <w:tcBorders>
              <w:top w:val="single" w:sz="12" w:space="0" w:color="FFFFFF"/>
              <w:left w:val="nil"/>
              <w:bottom w:val="nil"/>
              <w:right w:val="nil"/>
            </w:tcBorders>
            <w:shd w:val="clear" w:color="000000" w:fill="002060"/>
            <w:noWrap/>
            <w:vAlign w:val="center"/>
            <w:hideMark/>
          </w:tcPr>
          <w:p w14:paraId="64432FB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38,52%</w:t>
            </w:r>
          </w:p>
        </w:tc>
        <w:tc>
          <w:tcPr>
            <w:tcW w:w="353" w:type="pct"/>
            <w:tcBorders>
              <w:top w:val="nil"/>
              <w:left w:val="single" w:sz="8" w:space="0" w:color="002060"/>
              <w:bottom w:val="single" w:sz="8" w:space="0" w:color="002060"/>
              <w:right w:val="nil"/>
            </w:tcBorders>
            <w:shd w:val="clear" w:color="000000" w:fill="2F75B5"/>
            <w:noWrap/>
            <w:vAlign w:val="center"/>
            <w:hideMark/>
          </w:tcPr>
          <w:p w14:paraId="00899CF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31,07%</w:t>
            </w:r>
          </w:p>
        </w:tc>
        <w:tc>
          <w:tcPr>
            <w:tcW w:w="353" w:type="pct"/>
            <w:tcBorders>
              <w:top w:val="nil"/>
              <w:left w:val="single" w:sz="8" w:space="0" w:color="002060"/>
              <w:bottom w:val="single" w:sz="8" w:space="0" w:color="002060"/>
              <w:right w:val="nil"/>
            </w:tcBorders>
            <w:shd w:val="clear" w:color="000000" w:fill="2F75B5"/>
            <w:noWrap/>
            <w:vAlign w:val="center"/>
            <w:hideMark/>
          </w:tcPr>
          <w:p w14:paraId="3A56F59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37,66%</w:t>
            </w:r>
          </w:p>
        </w:tc>
        <w:tc>
          <w:tcPr>
            <w:tcW w:w="361" w:type="pct"/>
            <w:tcBorders>
              <w:top w:val="nil"/>
              <w:left w:val="single" w:sz="8" w:space="0" w:color="002060"/>
              <w:bottom w:val="single" w:sz="8" w:space="0" w:color="002060"/>
              <w:right w:val="nil"/>
            </w:tcBorders>
            <w:shd w:val="clear" w:color="000000" w:fill="2F75B5"/>
            <w:noWrap/>
            <w:vAlign w:val="center"/>
            <w:hideMark/>
          </w:tcPr>
          <w:p w14:paraId="3518572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14,50%</w:t>
            </w:r>
          </w:p>
        </w:tc>
        <w:tc>
          <w:tcPr>
            <w:tcW w:w="397" w:type="pct"/>
            <w:tcBorders>
              <w:top w:val="nil"/>
              <w:left w:val="single" w:sz="8" w:space="0" w:color="002060"/>
              <w:bottom w:val="single" w:sz="8" w:space="0" w:color="002060"/>
              <w:right w:val="nil"/>
            </w:tcBorders>
            <w:shd w:val="clear" w:color="000000" w:fill="2F75B5"/>
            <w:noWrap/>
            <w:vAlign w:val="center"/>
            <w:hideMark/>
          </w:tcPr>
          <w:p w14:paraId="01D377E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55,63%</w:t>
            </w:r>
          </w:p>
        </w:tc>
        <w:tc>
          <w:tcPr>
            <w:tcW w:w="409" w:type="pct"/>
            <w:tcBorders>
              <w:top w:val="nil"/>
              <w:left w:val="single" w:sz="8" w:space="0" w:color="002060"/>
              <w:bottom w:val="single" w:sz="8" w:space="0" w:color="002060"/>
              <w:right w:val="nil"/>
            </w:tcBorders>
            <w:shd w:val="clear" w:color="000000" w:fill="2F75B5"/>
            <w:noWrap/>
            <w:vAlign w:val="center"/>
            <w:hideMark/>
          </w:tcPr>
          <w:p w14:paraId="28AC073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73,35%</w:t>
            </w:r>
          </w:p>
        </w:tc>
        <w:tc>
          <w:tcPr>
            <w:tcW w:w="353" w:type="pct"/>
            <w:tcBorders>
              <w:top w:val="nil"/>
              <w:left w:val="single" w:sz="8" w:space="0" w:color="002060"/>
              <w:bottom w:val="single" w:sz="8" w:space="0" w:color="002060"/>
              <w:right w:val="nil"/>
            </w:tcBorders>
            <w:shd w:val="clear" w:color="000000" w:fill="2F75B5"/>
            <w:noWrap/>
            <w:vAlign w:val="center"/>
            <w:hideMark/>
          </w:tcPr>
          <w:p w14:paraId="6A9D1C6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58,04%</w:t>
            </w:r>
          </w:p>
        </w:tc>
        <w:tc>
          <w:tcPr>
            <w:tcW w:w="353" w:type="pct"/>
            <w:tcBorders>
              <w:top w:val="nil"/>
              <w:left w:val="single" w:sz="8" w:space="0" w:color="002060"/>
              <w:bottom w:val="single" w:sz="8" w:space="0" w:color="002060"/>
              <w:right w:val="nil"/>
            </w:tcBorders>
            <w:shd w:val="clear" w:color="auto" w:fill="auto"/>
            <w:noWrap/>
            <w:vAlign w:val="center"/>
            <w:hideMark/>
          </w:tcPr>
          <w:p w14:paraId="285762FA"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28,38%</w:t>
            </w:r>
          </w:p>
        </w:tc>
        <w:tc>
          <w:tcPr>
            <w:tcW w:w="352" w:type="pct"/>
            <w:tcBorders>
              <w:top w:val="nil"/>
              <w:left w:val="single" w:sz="8" w:space="0" w:color="002060"/>
              <w:bottom w:val="single" w:sz="8" w:space="0" w:color="002060"/>
              <w:right w:val="nil"/>
            </w:tcBorders>
            <w:shd w:val="clear" w:color="000000" w:fill="2F75B5"/>
            <w:noWrap/>
            <w:vAlign w:val="center"/>
            <w:hideMark/>
          </w:tcPr>
          <w:p w14:paraId="3B7CD63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46,90%</w:t>
            </w:r>
          </w:p>
        </w:tc>
      </w:tr>
      <w:tr w:rsidR="007E21BD" w:rsidRPr="007E21BD" w14:paraId="61392FBD"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C27A46B"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7DB518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3D435E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5F25F60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4E5B589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1622C4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E48E1E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D0F336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B340A7A"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0682C12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3A07198B"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69E94A70"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Rentabilidad social</w:t>
            </w:r>
          </w:p>
        </w:tc>
        <w:tc>
          <w:tcPr>
            <w:tcW w:w="353" w:type="pct"/>
            <w:tcBorders>
              <w:top w:val="single" w:sz="12" w:space="0" w:color="FFFFFF"/>
              <w:left w:val="nil"/>
              <w:bottom w:val="nil"/>
              <w:right w:val="nil"/>
            </w:tcBorders>
            <w:shd w:val="clear" w:color="000000" w:fill="002060"/>
            <w:noWrap/>
            <w:vAlign w:val="center"/>
            <w:hideMark/>
          </w:tcPr>
          <w:p w14:paraId="35D9904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49,30%</w:t>
            </w:r>
          </w:p>
        </w:tc>
        <w:tc>
          <w:tcPr>
            <w:tcW w:w="353" w:type="pct"/>
            <w:tcBorders>
              <w:top w:val="nil"/>
              <w:left w:val="single" w:sz="8" w:space="0" w:color="002060"/>
              <w:bottom w:val="single" w:sz="8" w:space="0" w:color="002060"/>
              <w:right w:val="nil"/>
            </w:tcBorders>
            <w:shd w:val="clear" w:color="000000" w:fill="2F75B5"/>
            <w:noWrap/>
            <w:vAlign w:val="center"/>
            <w:hideMark/>
          </w:tcPr>
          <w:p w14:paraId="76814C6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74,40%</w:t>
            </w:r>
          </w:p>
        </w:tc>
        <w:tc>
          <w:tcPr>
            <w:tcW w:w="353" w:type="pct"/>
            <w:tcBorders>
              <w:top w:val="nil"/>
              <w:left w:val="single" w:sz="8" w:space="0" w:color="002060"/>
              <w:bottom w:val="single" w:sz="8" w:space="0" w:color="002060"/>
              <w:right w:val="nil"/>
            </w:tcBorders>
            <w:shd w:val="clear" w:color="000000" w:fill="2F75B5"/>
            <w:noWrap/>
            <w:vAlign w:val="center"/>
            <w:hideMark/>
          </w:tcPr>
          <w:p w14:paraId="595D36B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69,07%</w:t>
            </w:r>
          </w:p>
        </w:tc>
        <w:tc>
          <w:tcPr>
            <w:tcW w:w="361" w:type="pct"/>
            <w:tcBorders>
              <w:top w:val="nil"/>
              <w:left w:val="single" w:sz="8" w:space="0" w:color="002060"/>
              <w:bottom w:val="single" w:sz="8" w:space="0" w:color="002060"/>
              <w:right w:val="nil"/>
            </w:tcBorders>
            <w:shd w:val="clear" w:color="000000" w:fill="2F75B5"/>
            <w:noWrap/>
            <w:vAlign w:val="center"/>
            <w:hideMark/>
          </w:tcPr>
          <w:p w14:paraId="68087A3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59,26%</w:t>
            </w:r>
          </w:p>
        </w:tc>
        <w:tc>
          <w:tcPr>
            <w:tcW w:w="397" w:type="pct"/>
            <w:tcBorders>
              <w:top w:val="nil"/>
              <w:left w:val="single" w:sz="8" w:space="0" w:color="002060"/>
              <w:bottom w:val="single" w:sz="8" w:space="0" w:color="002060"/>
              <w:right w:val="nil"/>
            </w:tcBorders>
            <w:shd w:val="clear" w:color="000000" w:fill="2F75B5"/>
            <w:noWrap/>
            <w:vAlign w:val="center"/>
            <w:hideMark/>
          </w:tcPr>
          <w:p w14:paraId="2845A69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48,87%</w:t>
            </w:r>
          </w:p>
        </w:tc>
        <w:tc>
          <w:tcPr>
            <w:tcW w:w="409" w:type="pct"/>
            <w:tcBorders>
              <w:top w:val="nil"/>
              <w:left w:val="single" w:sz="8" w:space="0" w:color="002060"/>
              <w:bottom w:val="single" w:sz="8" w:space="0" w:color="002060"/>
              <w:right w:val="nil"/>
            </w:tcBorders>
            <w:shd w:val="clear" w:color="000000" w:fill="2F75B5"/>
            <w:noWrap/>
            <w:vAlign w:val="center"/>
            <w:hideMark/>
          </w:tcPr>
          <w:p w14:paraId="1314A61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32,77%</w:t>
            </w:r>
          </w:p>
        </w:tc>
        <w:tc>
          <w:tcPr>
            <w:tcW w:w="353" w:type="pct"/>
            <w:tcBorders>
              <w:top w:val="nil"/>
              <w:left w:val="single" w:sz="8" w:space="0" w:color="002060"/>
              <w:bottom w:val="single" w:sz="8" w:space="0" w:color="002060"/>
              <w:right w:val="nil"/>
            </w:tcBorders>
            <w:shd w:val="clear" w:color="000000" w:fill="2F75B5"/>
            <w:noWrap/>
            <w:vAlign w:val="center"/>
            <w:hideMark/>
          </w:tcPr>
          <w:p w14:paraId="1A34221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38,10%</w:t>
            </w:r>
          </w:p>
        </w:tc>
        <w:tc>
          <w:tcPr>
            <w:tcW w:w="353" w:type="pct"/>
            <w:tcBorders>
              <w:top w:val="nil"/>
              <w:left w:val="single" w:sz="8" w:space="0" w:color="002060"/>
              <w:bottom w:val="single" w:sz="8" w:space="0" w:color="002060"/>
              <w:right w:val="nil"/>
            </w:tcBorders>
            <w:shd w:val="clear" w:color="auto" w:fill="auto"/>
            <w:noWrap/>
            <w:vAlign w:val="center"/>
            <w:hideMark/>
          </w:tcPr>
          <w:p w14:paraId="5D0C712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29,62%</w:t>
            </w:r>
          </w:p>
        </w:tc>
        <w:tc>
          <w:tcPr>
            <w:tcW w:w="352" w:type="pct"/>
            <w:tcBorders>
              <w:top w:val="nil"/>
              <w:left w:val="single" w:sz="8" w:space="0" w:color="002060"/>
              <w:bottom w:val="single" w:sz="8" w:space="0" w:color="002060"/>
              <w:right w:val="nil"/>
            </w:tcBorders>
            <w:shd w:val="clear" w:color="000000" w:fill="2F75B5"/>
            <w:noWrap/>
            <w:vAlign w:val="center"/>
            <w:hideMark/>
          </w:tcPr>
          <w:p w14:paraId="415D796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29,00%</w:t>
            </w:r>
          </w:p>
        </w:tc>
      </w:tr>
      <w:tr w:rsidR="007E21BD" w:rsidRPr="007E21BD" w14:paraId="4E0D736D"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D6BBB0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8F27A4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9497F8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3AE75C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6E8FFF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13AFF10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FBDAA7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A42C30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E3F89F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269C1CE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224FF2F5" w14:textId="77777777" w:rsidTr="00975F7F">
        <w:trPr>
          <w:trHeight w:val="113"/>
        </w:trPr>
        <w:tc>
          <w:tcPr>
            <w:tcW w:w="1716" w:type="pct"/>
            <w:tcBorders>
              <w:top w:val="nil"/>
              <w:left w:val="nil"/>
              <w:bottom w:val="nil"/>
              <w:right w:val="nil"/>
            </w:tcBorders>
            <w:shd w:val="clear" w:color="000000" w:fill="002060"/>
            <w:vAlign w:val="center"/>
            <w:hideMark/>
          </w:tcPr>
          <w:p w14:paraId="75120E9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xml:space="preserve">Principio 4 - Formación e información permanente </w:t>
            </w:r>
          </w:p>
        </w:tc>
        <w:tc>
          <w:tcPr>
            <w:tcW w:w="353" w:type="pct"/>
            <w:tcBorders>
              <w:top w:val="nil"/>
              <w:left w:val="nil"/>
              <w:bottom w:val="nil"/>
              <w:right w:val="nil"/>
            </w:tcBorders>
            <w:shd w:val="clear" w:color="auto" w:fill="auto"/>
            <w:noWrap/>
            <w:vAlign w:val="center"/>
            <w:hideMark/>
          </w:tcPr>
          <w:p w14:paraId="50C58EB7"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4600EB9B"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353" w:type="pct"/>
            <w:tcBorders>
              <w:top w:val="single" w:sz="8" w:space="0" w:color="FFFFFF"/>
              <w:left w:val="nil"/>
              <w:bottom w:val="single" w:sz="8" w:space="0" w:color="FFFFFF"/>
              <w:right w:val="nil"/>
            </w:tcBorders>
            <w:shd w:val="clear" w:color="000000" w:fill="002060"/>
            <w:noWrap/>
            <w:vAlign w:val="center"/>
            <w:hideMark/>
          </w:tcPr>
          <w:p w14:paraId="2C5B6D14"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361" w:type="pct"/>
            <w:tcBorders>
              <w:top w:val="single" w:sz="8" w:space="0" w:color="FFFFFF"/>
              <w:left w:val="nil"/>
              <w:bottom w:val="single" w:sz="8" w:space="0" w:color="FFFFFF"/>
              <w:right w:val="nil"/>
            </w:tcBorders>
            <w:shd w:val="clear" w:color="000000" w:fill="002060"/>
            <w:noWrap/>
            <w:vAlign w:val="center"/>
            <w:hideMark/>
          </w:tcPr>
          <w:p w14:paraId="4A7474F4"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397" w:type="pct"/>
            <w:tcBorders>
              <w:top w:val="single" w:sz="8" w:space="0" w:color="FFFFFF"/>
              <w:left w:val="nil"/>
              <w:bottom w:val="single" w:sz="8" w:space="0" w:color="FFFFFF"/>
              <w:right w:val="nil"/>
            </w:tcBorders>
            <w:shd w:val="clear" w:color="000000" w:fill="002060"/>
            <w:noWrap/>
            <w:vAlign w:val="center"/>
            <w:hideMark/>
          </w:tcPr>
          <w:p w14:paraId="70B78290"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409" w:type="pct"/>
            <w:tcBorders>
              <w:top w:val="single" w:sz="8" w:space="0" w:color="FFFFFF"/>
              <w:left w:val="nil"/>
              <w:bottom w:val="single" w:sz="8" w:space="0" w:color="FFFFFF"/>
              <w:right w:val="nil"/>
            </w:tcBorders>
            <w:shd w:val="clear" w:color="000000" w:fill="002060"/>
            <w:noWrap/>
            <w:vAlign w:val="center"/>
            <w:hideMark/>
          </w:tcPr>
          <w:p w14:paraId="4B18CAEB"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17%</w:t>
            </w:r>
          </w:p>
        </w:tc>
        <w:tc>
          <w:tcPr>
            <w:tcW w:w="353" w:type="pct"/>
            <w:tcBorders>
              <w:top w:val="single" w:sz="8" w:space="0" w:color="FFFFFF"/>
              <w:left w:val="nil"/>
              <w:bottom w:val="single" w:sz="8" w:space="0" w:color="FFFFFF"/>
              <w:right w:val="nil"/>
            </w:tcBorders>
            <w:shd w:val="clear" w:color="000000" w:fill="002060"/>
            <w:noWrap/>
            <w:vAlign w:val="center"/>
            <w:hideMark/>
          </w:tcPr>
          <w:p w14:paraId="112D75E9"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353" w:type="pct"/>
            <w:tcBorders>
              <w:top w:val="nil"/>
              <w:left w:val="nil"/>
              <w:bottom w:val="nil"/>
              <w:right w:val="nil"/>
            </w:tcBorders>
            <w:shd w:val="clear" w:color="000000" w:fill="002060"/>
            <w:noWrap/>
            <w:vAlign w:val="center"/>
            <w:hideMark/>
          </w:tcPr>
          <w:p w14:paraId="18112BA3"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33%</w:t>
            </w:r>
          </w:p>
        </w:tc>
        <w:tc>
          <w:tcPr>
            <w:tcW w:w="352" w:type="pct"/>
            <w:tcBorders>
              <w:top w:val="single" w:sz="8" w:space="0" w:color="FFFFFF"/>
              <w:left w:val="nil"/>
              <w:bottom w:val="single" w:sz="8" w:space="0" w:color="FFFFFF"/>
              <w:right w:val="nil"/>
            </w:tcBorders>
            <w:shd w:val="clear" w:color="000000" w:fill="002060"/>
            <w:noWrap/>
            <w:vAlign w:val="center"/>
            <w:hideMark/>
          </w:tcPr>
          <w:p w14:paraId="65C3C45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17%</w:t>
            </w:r>
          </w:p>
        </w:tc>
      </w:tr>
      <w:tr w:rsidR="007E21BD" w:rsidRPr="007E21BD" w14:paraId="7F99C91E"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7028611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Participación de la educación, formación e información.</w:t>
            </w:r>
          </w:p>
        </w:tc>
        <w:tc>
          <w:tcPr>
            <w:tcW w:w="353" w:type="pct"/>
            <w:tcBorders>
              <w:top w:val="single" w:sz="12" w:space="0" w:color="FFFFFF"/>
              <w:left w:val="nil"/>
              <w:bottom w:val="nil"/>
              <w:right w:val="nil"/>
            </w:tcBorders>
            <w:shd w:val="clear" w:color="000000" w:fill="002060"/>
            <w:noWrap/>
            <w:vAlign w:val="center"/>
            <w:hideMark/>
          </w:tcPr>
          <w:p w14:paraId="5820AEA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35,36%</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78D82E3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45,59%</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18725BD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65,78%</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7638EE0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23,40%</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0110C74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23,39%</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7BBAD4D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20,80%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4985718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16,64%</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1F618A2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7BFEF8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23,25%</w:t>
            </w:r>
          </w:p>
        </w:tc>
      </w:tr>
      <w:tr w:rsidR="007E21BD" w:rsidRPr="007E21BD" w14:paraId="3C6D1AE6"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9C58F57"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lastRenderedPageBreak/>
              <w:t> </w:t>
            </w:r>
          </w:p>
        </w:tc>
        <w:tc>
          <w:tcPr>
            <w:tcW w:w="353" w:type="pct"/>
            <w:tcBorders>
              <w:top w:val="single" w:sz="12" w:space="0" w:color="FFFFFF"/>
              <w:left w:val="nil"/>
              <w:bottom w:val="nil"/>
              <w:right w:val="nil"/>
            </w:tcBorders>
            <w:shd w:val="clear" w:color="000000" w:fill="002060"/>
            <w:noWrap/>
            <w:vAlign w:val="center"/>
            <w:hideMark/>
          </w:tcPr>
          <w:p w14:paraId="3B18D7C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31B62C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CA8886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38861F7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0C72646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1B82E8D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82C1C2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F411B60"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1FC3FA7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280F114E"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0ADB7B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Cobertura en procesos de educación, formación e información para asociados</w:t>
            </w:r>
          </w:p>
        </w:tc>
        <w:tc>
          <w:tcPr>
            <w:tcW w:w="353" w:type="pct"/>
            <w:tcBorders>
              <w:top w:val="single" w:sz="12" w:space="0" w:color="FFFFFF"/>
              <w:left w:val="nil"/>
              <w:bottom w:val="nil"/>
              <w:right w:val="nil"/>
            </w:tcBorders>
            <w:shd w:val="clear" w:color="000000" w:fill="002060"/>
            <w:noWrap/>
            <w:vAlign w:val="center"/>
            <w:hideMark/>
          </w:tcPr>
          <w:p w14:paraId="636D5F8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18,36%</w:t>
            </w:r>
          </w:p>
        </w:tc>
        <w:tc>
          <w:tcPr>
            <w:tcW w:w="353" w:type="pct"/>
            <w:tcBorders>
              <w:top w:val="nil"/>
              <w:left w:val="single" w:sz="8" w:space="0" w:color="002060"/>
              <w:bottom w:val="single" w:sz="8" w:space="0" w:color="002060"/>
              <w:right w:val="nil"/>
            </w:tcBorders>
            <w:shd w:val="clear" w:color="000000" w:fill="2F75B5"/>
            <w:noWrap/>
            <w:vAlign w:val="center"/>
            <w:hideMark/>
          </w:tcPr>
          <w:p w14:paraId="75F7013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2,41%</w:t>
            </w:r>
          </w:p>
        </w:tc>
        <w:tc>
          <w:tcPr>
            <w:tcW w:w="353" w:type="pct"/>
            <w:tcBorders>
              <w:top w:val="nil"/>
              <w:left w:val="single" w:sz="8" w:space="0" w:color="002060"/>
              <w:bottom w:val="single" w:sz="8" w:space="0" w:color="002060"/>
              <w:right w:val="nil"/>
            </w:tcBorders>
            <w:shd w:val="clear" w:color="000000" w:fill="2F75B5"/>
            <w:noWrap/>
            <w:vAlign w:val="center"/>
            <w:hideMark/>
          </w:tcPr>
          <w:p w14:paraId="1FF714F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4,02%</w:t>
            </w:r>
          </w:p>
        </w:tc>
        <w:tc>
          <w:tcPr>
            <w:tcW w:w="361" w:type="pct"/>
            <w:tcBorders>
              <w:top w:val="nil"/>
              <w:left w:val="single" w:sz="8" w:space="0" w:color="002060"/>
              <w:bottom w:val="single" w:sz="8" w:space="0" w:color="002060"/>
              <w:right w:val="nil"/>
            </w:tcBorders>
            <w:shd w:val="clear" w:color="000000" w:fill="2F75B5"/>
            <w:noWrap/>
            <w:vAlign w:val="center"/>
            <w:hideMark/>
          </w:tcPr>
          <w:p w14:paraId="64EB399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12,94%</w:t>
            </w:r>
          </w:p>
        </w:tc>
        <w:tc>
          <w:tcPr>
            <w:tcW w:w="397" w:type="pct"/>
            <w:tcBorders>
              <w:top w:val="nil"/>
              <w:left w:val="single" w:sz="8" w:space="0" w:color="002060"/>
              <w:bottom w:val="single" w:sz="8" w:space="0" w:color="002060"/>
              <w:right w:val="nil"/>
            </w:tcBorders>
            <w:shd w:val="clear" w:color="000000" w:fill="2F75B5"/>
            <w:noWrap/>
            <w:vAlign w:val="center"/>
            <w:hideMark/>
          </w:tcPr>
          <w:p w14:paraId="2F0D401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85,41%</w:t>
            </w:r>
          </w:p>
        </w:tc>
        <w:tc>
          <w:tcPr>
            <w:tcW w:w="409" w:type="pct"/>
            <w:tcBorders>
              <w:top w:val="nil"/>
              <w:left w:val="single" w:sz="8" w:space="0" w:color="002060"/>
              <w:bottom w:val="single" w:sz="8" w:space="0" w:color="002060"/>
              <w:right w:val="nil"/>
            </w:tcBorders>
            <w:shd w:val="clear" w:color="000000" w:fill="2F75B5"/>
            <w:noWrap/>
            <w:vAlign w:val="center"/>
            <w:hideMark/>
          </w:tcPr>
          <w:p w14:paraId="2A61150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12,22%</w:t>
            </w:r>
          </w:p>
        </w:tc>
        <w:tc>
          <w:tcPr>
            <w:tcW w:w="353" w:type="pct"/>
            <w:tcBorders>
              <w:top w:val="nil"/>
              <w:left w:val="single" w:sz="8" w:space="0" w:color="002060"/>
              <w:bottom w:val="single" w:sz="8" w:space="0" w:color="002060"/>
              <w:right w:val="nil"/>
            </w:tcBorders>
            <w:shd w:val="clear" w:color="000000" w:fill="2F75B5"/>
            <w:noWrap/>
            <w:vAlign w:val="center"/>
            <w:hideMark/>
          </w:tcPr>
          <w:p w14:paraId="696FFFA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8,99%</w:t>
            </w:r>
          </w:p>
        </w:tc>
        <w:tc>
          <w:tcPr>
            <w:tcW w:w="353" w:type="pct"/>
            <w:tcBorders>
              <w:top w:val="nil"/>
              <w:left w:val="single" w:sz="8" w:space="0" w:color="002060"/>
              <w:bottom w:val="single" w:sz="8" w:space="0" w:color="002060"/>
              <w:right w:val="nil"/>
            </w:tcBorders>
            <w:shd w:val="clear" w:color="auto" w:fill="auto"/>
            <w:noWrap/>
            <w:vAlign w:val="center"/>
            <w:hideMark/>
          </w:tcPr>
          <w:p w14:paraId="08B0D67C"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11,69%</w:t>
            </w:r>
          </w:p>
        </w:tc>
        <w:tc>
          <w:tcPr>
            <w:tcW w:w="352" w:type="pct"/>
            <w:tcBorders>
              <w:top w:val="nil"/>
              <w:left w:val="single" w:sz="8" w:space="0" w:color="002060"/>
              <w:bottom w:val="single" w:sz="8" w:space="0" w:color="002060"/>
              <w:right w:val="nil"/>
            </w:tcBorders>
            <w:shd w:val="clear" w:color="000000" w:fill="2F75B5"/>
            <w:noWrap/>
            <w:vAlign w:val="center"/>
            <w:hideMark/>
          </w:tcPr>
          <w:p w14:paraId="03211AD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9,72%</w:t>
            </w:r>
          </w:p>
        </w:tc>
      </w:tr>
      <w:tr w:rsidR="007E21BD" w:rsidRPr="007E21BD" w14:paraId="2234C210"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517B274"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9260A2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361016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B7F372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3A73237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6E2364D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EE06E2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2EFF86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B1AA1BA"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37BB298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696FCBEC"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D05A51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Participación en procesos de educación, formación e información para directivos</w:t>
            </w:r>
          </w:p>
        </w:tc>
        <w:tc>
          <w:tcPr>
            <w:tcW w:w="353" w:type="pct"/>
            <w:tcBorders>
              <w:top w:val="single" w:sz="12" w:space="0" w:color="FFFFFF"/>
              <w:left w:val="nil"/>
              <w:bottom w:val="nil"/>
              <w:right w:val="nil"/>
            </w:tcBorders>
            <w:shd w:val="clear" w:color="000000" w:fill="002060"/>
            <w:noWrap/>
            <w:vAlign w:val="center"/>
            <w:hideMark/>
          </w:tcPr>
          <w:p w14:paraId="3C9C70C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95,65%</w:t>
            </w:r>
          </w:p>
        </w:tc>
        <w:tc>
          <w:tcPr>
            <w:tcW w:w="353" w:type="pct"/>
            <w:tcBorders>
              <w:top w:val="nil"/>
              <w:left w:val="single" w:sz="8" w:space="0" w:color="002060"/>
              <w:bottom w:val="single" w:sz="8" w:space="0" w:color="002060"/>
              <w:right w:val="nil"/>
            </w:tcBorders>
            <w:shd w:val="clear" w:color="000000" w:fill="2F75B5"/>
            <w:noWrap/>
            <w:vAlign w:val="center"/>
            <w:hideMark/>
          </w:tcPr>
          <w:p w14:paraId="589F45F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65,00%</w:t>
            </w:r>
          </w:p>
        </w:tc>
        <w:tc>
          <w:tcPr>
            <w:tcW w:w="353" w:type="pct"/>
            <w:tcBorders>
              <w:top w:val="nil"/>
              <w:left w:val="single" w:sz="8" w:space="0" w:color="002060"/>
              <w:bottom w:val="single" w:sz="8" w:space="0" w:color="002060"/>
              <w:right w:val="nil"/>
            </w:tcBorders>
            <w:shd w:val="clear" w:color="000000" w:fill="2F75B5"/>
            <w:noWrap/>
            <w:vAlign w:val="center"/>
            <w:hideMark/>
          </w:tcPr>
          <w:p w14:paraId="714B7C4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61" w:type="pct"/>
            <w:tcBorders>
              <w:top w:val="nil"/>
              <w:left w:val="single" w:sz="8" w:space="0" w:color="002060"/>
              <w:bottom w:val="single" w:sz="8" w:space="0" w:color="002060"/>
              <w:right w:val="nil"/>
            </w:tcBorders>
            <w:shd w:val="clear" w:color="000000" w:fill="2F75B5"/>
            <w:noWrap/>
            <w:vAlign w:val="center"/>
            <w:hideMark/>
          </w:tcPr>
          <w:p w14:paraId="77EC8DE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43,50%</w:t>
            </w:r>
          </w:p>
        </w:tc>
        <w:tc>
          <w:tcPr>
            <w:tcW w:w="397" w:type="pct"/>
            <w:tcBorders>
              <w:top w:val="nil"/>
              <w:left w:val="single" w:sz="8" w:space="0" w:color="002060"/>
              <w:bottom w:val="single" w:sz="8" w:space="0" w:color="002060"/>
              <w:right w:val="nil"/>
            </w:tcBorders>
            <w:shd w:val="clear" w:color="000000" w:fill="2F75B5"/>
            <w:noWrap/>
            <w:vAlign w:val="center"/>
            <w:hideMark/>
          </w:tcPr>
          <w:p w14:paraId="490DDC5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409" w:type="pct"/>
            <w:tcBorders>
              <w:top w:val="nil"/>
              <w:left w:val="single" w:sz="8" w:space="0" w:color="002060"/>
              <w:bottom w:val="single" w:sz="8" w:space="0" w:color="002060"/>
              <w:right w:val="nil"/>
            </w:tcBorders>
            <w:shd w:val="clear" w:color="000000" w:fill="2F75B5"/>
            <w:noWrap/>
            <w:vAlign w:val="center"/>
            <w:hideMark/>
          </w:tcPr>
          <w:p w14:paraId="33CA0F2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46,62%</w:t>
            </w:r>
          </w:p>
        </w:tc>
        <w:tc>
          <w:tcPr>
            <w:tcW w:w="353" w:type="pct"/>
            <w:tcBorders>
              <w:top w:val="nil"/>
              <w:left w:val="single" w:sz="8" w:space="0" w:color="002060"/>
              <w:bottom w:val="single" w:sz="8" w:space="0" w:color="002060"/>
              <w:right w:val="nil"/>
            </w:tcBorders>
            <w:shd w:val="clear" w:color="000000" w:fill="2F75B5"/>
            <w:noWrap/>
            <w:vAlign w:val="center"/>
            <w:hideMark/>
          </w:tcPr>
          <w:p w14:paraId="69B525E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auto" w:fill="auto"/>
            <w:noWrap/>
            <w:vAlign w:val="center"/>
            <w:hideMark/>
          </w:tcPr>
          <w:p w14:paraId="657D33F0"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40,68%</w:t>
            </w:r>
          </w:p>
        </w:tc>
        <w:tc>
          <w:tcPr>
            <w:tcW w:w="352" w:type="pct"/>
            <w:tcBorders>
              <w:top w:val="nil"/>
              <w:left w:val="single" w:sz="8" w:space="0" w:color="002060"/>
              <w:bottom w:val="single" w:sz="8" w:space="0" w:color="002060"/>
              <w:right w:val="nil"/>
            </w:tcBorders>
            <w:shd w:val="clear" w:color="000000" w:fill="2F75B5"/>
            <w:noWrap/>
            <w:vAlign w:val="center"/>
            <w:hideMark/>
          </w:tcPr>
          <w:p w14:paraId="0F3E708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43,30%</w:t>
            </w:r>
          </w:p>
        </w:tc>
      </w:tr>
      <w:tr w:rsidR="007E21BD" w:rsidRPr="007E21BD" w14:paraId="3DDE4FFF"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0EF179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F69DE0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B78171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91A196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594E6F8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3119240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2C86CFF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AE4366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006FB4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16E3D7E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5E4D32A3"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4AFC16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Participación en procesos de educación, formación e información para empleados.</w:t>
            </w:r>
          </w:p>
        </w:tc>
        <w:tc>
          <w:tcPr>
            <w:tcW w:w="353" w:type="pct"/>
            <w:tcBorders>
              <w:top w:val="single" w:sz="12" w:space="0" w:color="FFFFFF"/>
              <w:left w:val="nil"/>
              <w:bottom w:val="nil"/>
              <w:right w:val="nil"/>
            </w:tcBorders>
            <w:shd w:val="clear" w:color="000000" w:fill="002060"/>
            <w:noWrap/>
            <w:vAlign w:val="center"/>
            <w:hideMark/>
          </w:tcPr>
          <w:p w14:paraId="359A749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27,42%</w:t>
            </w:r>
          </w:p>
        </w:tc>
        <w:tc>
          <w:tcPr>
            <w:tcW w:w="353" w:type="pct"/>
            <w:tcBorders>
              <w:top w:val="nil"/>
              <w:left w:val="single" w:sz="8" w:space="0" w:color="002060"/>
              <w:bottom w:val="single" w:sz="8" w:space="0" w:color="002060"/>
              <w:right w:val="nil"/>
            </w:tcBorders>
            <w:shd w:val="clear" w:color="000000" w:fill="2F75B5"/>
            <w:noWrap/>
            <w:vAlign w:val="center"/>
            <w:hideMark/>
          </w:tcPr>
          <w:p w14:paraId="017884B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92,75%</w:t>
            </w:r>
          </w:p>
        </w:tc>
        <w:tc>
          <w:tcPr>
            <w:tcW w:w="353" w:type="pct"/>
            <w:tcBorders>
              <w:top w:val="nil"/>
              <w:left w:val="single" w:sz="8" w:space="0" w:color="002060"/>
              <w:bottom w:val="single" w:sz="8" w:space="0" w:color="002060"/>
              <w:right w:val="nil"/>
            </w:tcBorders>
            <w:shd w:val="clear" w:color="000000" w:fill="2F75B5"/>
            <w:noWrap/>
            <w:vAlign w:val="center"/>
            <w:hideMark/>
          </w:tcPr>
          <w:p w14:paraId="0788974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68,39%</w:t>
            </w:r>
          </w:p>
        </w:tc>
        <w:tc>
          <w:tcPr>
            <w:tcW w:w="361" w:type="pct"/>
            <w:tcBorders>
              <w:top w:val="nil"/>
              <w:left w:val="single" w:sz="8" w:space="0" w:color="002060"/>
              <w:bottom w:val="single" w:sz="8" w:space="0" w:color="002060"/>
              <w:right w:val="nil"/>
            </w:tcBorders>
            <w:shd w:val="clear" w:color="000000" w:fill="2F75B5"/>
            <w:noWrap/>
            <w:vAlign w:val="center"/>
            <w:hideMark/>
          </w:tcPr>
          <w:p w14:paraId="1E216CF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97" w:type="pct"/>
            <w:tcBorders>
              <w:top w:val="nil"/>
              <w:left w:val="single" w:sz="8" w:space="0" w:color="002060"/>
              <w:bottom w:val="single" w:sz="8" w:space="0" w:color="002060"/>
              <w:right w:val="nil"/>
            </w:tcBorders>
            <w:shd w:val="clear" w:color="000000" w:fill="2F75B5"/>
            <w:noWrap/>
            <w:vAlign w:val="center"/>
            <w:hideMark/>
          </w:tcPr>
          <w:p w14:paraId="035E3F1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20,19%</w:t>
            </w:r>
          </w:p>
        </w:tc>
        <w:tc>
          <w:tcPr>
            <w:tcW w:w="409" w:type="pct"/>
            <w:tcBorders>
              <w:top w:val="nil"/>
              <w:left w:val="single" w:sz="8" w:space="0" w:color="002060"/>
              <w:bottom w:val="single" w:sz="8" w:space="0" w:color="002060"/>
              <w:right w:val="nil"/>
            </w:tcBorders>
            <w:shd w:val="clear" w:color="000000" w:fill="2F75B5"/>
            <w:noWrap/>
            <w:vAlign w:val="center"/>
            <w:hideMark/>
          </w:tcPr>
          <w:p w14:paraId="51A676F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5,95%</w:t>
            </w:r>
          </w:p>
        </w:tc>
        <w:tc>
          <w:tcPr>
            <w:tcW w:w="353" w:type="pct"/>
            <w:tcBorders>
              <w:top w:val="nil"/>
              <w:left w:val="single" w:sz="8" w:space="0" w:color="002060"/>
              <w:bottom w:val="single" w:sz="8" w:space="0" w:color="002060"/>
              <w:right w:val="nil"/>
            </w:tcBorders>
            <w:shd w:val="clear" w:color="000000" w:fill="2F75B5"/>
            <w:noWrap/>
            <w:vAlign w:val="center"/>
            <w:hideMark/>
          </w:tcPr>
          <w:p w14:paraId="7A2F70C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94,36%</w:t>
            </w:r>
          </w:p>
        </w:tc>
        <w:tc>
          <w:tcPr>
            <w:tcW w:w="353" w:type="pct"/>
            <w:tcBorders>
              <w:top w:val="nil"/>
              <w:left w:val="single" w:sz="8" w:space="0" w:color="002060"/>
              <w:bottom w:val="single" w:sz="8" w:space="0" w:color="002060"/>
              <w:right w:val="nil"/>
            </w:tcBorders>
            <w:shd w:val="clear" w:color="auto" w:fill="auto"/>
            <w:noWrap/>
            <w:vAlign w:val="center"/>
            <w:hideMark/>
          </w:tcPr>
          <w:p w14:paraId="090698E7"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100,00%</w:t>
            </w:r>
          </w:p>
        </w:tc>
        <w:tc>
          <w:tcPr>
            <w:tcW w:w="352" w:type="pct"/>
            <w:tcBorders>
              <w:top w:val="nil"/>
              <w:left w:val="single" w:sz="8" w:space="0" w:color="002060"/>
              <w:bottom w:val="single" w:sz="8" w:space="0" w:color="002060"/>
              <w:right w:val="nil"/>
            </w:tcBorders>
            <w:shd w:val="clear" w:color="000000" w:fill="2F75B5"/>
            <w:noWrap/>
            <w:vAlign w:val="center"/>
            <w:hideMark/>
          </w:tcPr>
          <w:p w14:paraId="5D248D4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20,16%</w:t>
            </w:r>
          </w:p>
        </w:tc>
      </w:tr>
      <w:tr w:rsidR="007E21BD" w:rsidRPr="007E21BD" w14:paraId="6BBF92D7"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29C807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8FA1D1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E3BDC5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980EAA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51B68B2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6304BDB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47EE126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345EBB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C70989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069A627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4ABE1832"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F7143B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Difusión cooperativa y solidaria</w:t>
            </w:r>
          </w:p>
        </w:tc>
        <w:tc>
          <w:tcPr>
            <w:tcW w:w="353" w:type="pct"/>
            <w:tcBorders>
              <w:top w:val="single" w:sz="12" w:space="0" w:color="FFFFFF"/>
              <w:left w:val="nil"/>
              <w:bottom w:val="nil"/>
              <w:right w:val="nil"/>
            </w:tcBorders>
            <w:shd w:val="clear" w:color="000000" w:fill="002060"/>
            <w:noWrap/>
            <w:vAlign w:val="center"/>
            <w:hideMark/>
          </w:tcPr>
          <w:p w14:paraId="2740401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0,96%</w:t>
            </w:r>
          </w:p>
        </w:tc>
        <w:tc>
          <w:tcPr>
            <w:tcW w:w="353" w:type="pct"/>
            <w:tcBorders>
              <w:top w:val="nil"/>
              <w:left w:val="single" w:sz="8" w:space="0" w:color="002060"/>
              <w:bottom w:val="single" w:sz="8" w:space="0" w:color="002060"/>
              <w:right w:val="nil"/>
            </w:tcBorders>
            <w:shd w:val="clear" w:color="000000" w:fill="2F75B5"/>
            <w:noWrap/>
            <w:vAlign w:val="center"/>
            <w:hideMark/>
          </w:tcPr>
          <w:p w14:paraId="66E68B9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1,20%</w:t>
            </w:r>
          </w:p>
        </w:tc>
        <w:tc>
          <w:tcPr>
            <w:tcW w:w="353" w:type="pct"/>
            <w:tcBorders>
              <w:top w:val="nil"/>
              <w:left w:val="single" w:sz="8" w:space="0" w:color="002060"/>
              <w:bottom w:val="single" w:sz="8" w:space="0" w:color="002060"/>
              <w:right w:val="nil"/>
            </w:tcBorders>
            <w:shd w:val="clear" w:color="000000" w:fill="2F75B5"/>
            <w:noWrap/>
            <w:vAlign w:val="center"/>
            <w:hideMark/>
          </w:tcPr>
          <w:p w14:paraId="358506C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0,55%</w:t>
            </w:r>
          </w:p>
        </w:tc>
        <w:tc>
          <w:tcPr>
            <w:tcW w:w="361" w:type="pct"/>
            <w:tcBorders>
              <w:top w:val="nil"/>
              <w:left w:val="single" w:sz="8" w:space="0" w:color="002060"/>
              <w:bottom w:val="single" w:sz="8" w:space="0" w:color="002060"/>
              <w:right w:val="nil"/>
            </w:tcBorders>
            <w:shd w:val="clear" w:color="000000" w:fill="2F75B5"/>
            <w:noWrap/>
            <w:vAlign w:val="center"/>
            <w:hideMark/>
          </w:tcPr>
          <w:p w14:paraId="4B61D69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1,33%</w:t>
            </w:r>
          </w:p>
        </w:tc>
        <w:tc>
          <w:tcPr>
            <w:tcW w:w="397" w:type="pct"/>
            <w:tcBorders>
              <w:top w:val="nil"/>
              <w:left w:val="single" w:sz="8" w:space="0" w:color="002060"/>
              <w:bottom w:val="single" w:sz="8" w:space="0" w:color="002060"/>
              <w:right w:val="nil"/>
            </w:tcBorders>
            <w:shd w:val="clear" w:color="000000" w:fill="2F75B5"/>
            <w:noWrap/>
            <w:vAlign w:val="center"/>
            <w:hideMark/>
          </w:tcPr>
          <w:p w14:paraId="0373021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0,76%</w:t>
            </w:r>
          </w:p>
        </w:tc>
        <w:tc>
          <w:tcPr>
            <w:tcW w:w="409" w:type="pct"/>
            <w:tcBorders>
              <w:top w:val="nil"/>
              <w:left w:val="single" w:sz="8" w:space="0" w:color="002060"/>
              <w:bottom w:val="single" w:sz="8" w:space="0" w:color="002060"/>
              <w:right w:val="nil"/>
            </w:tcBorders>
            <w:shd w:val="clear" w:color="000000" w:fill="2F75B5"/>
            <w:noWrap/>
            <w:vAlign w:val="center"/>
            <w:hideMark/>
          </w:tcPr>
          <w:p w14:paraId="6E247AB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0,53%</w:t>
            </w:r>
          </w:p>
        </w:tc>
        <w:tc>
          <w:tcPr>
            <w:tcW w:w="353" w:type="pct"/>
            <w:tcBorders>
              <w:top w:val="nil"/>
              <w:left w:val="single" w:sz="8" w:space="0" w:color="002060"/>
              <w:bottom w:val="single" w:sz="8" w:space="0" w:color="002060"/>
              <w:right w:val="nil"/>
            </w:tcBorders>
            <w:shd w:val="clear" w:color="000000" w:fill="2F75B5"/>
            <w:noWrap/>
            <w:vAlign w:val="center"/>
            <w:hideMark/>
          </w:tcPr>
          <w:p w14:paraId="088454B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0,86%</w:t>
            </w:r>
          </w:p>
        </w:tc>
        <w:tc>
          <w:tcPr>
            <w:tcW w:w="353" w:type="pct"/>
            <w:tcBorders>
              <w:top w:val="nil"/>
              <w:left w:val="single" w:sz="8" w:space="0" w:color="002060"/>
              <w:bottom w:val="single" w:sz="8" w:space="0" w:color="002060"/>
              <w:right w:val="nil"/>
            </w:tcBorders>
            <w:shd w:val="clear" w:color="auto" w:fill="auto"/>
            <w:noWrap/>
            <w:vAlign w:val="center"/>
            <w:hideMark/>
          </w:tcPr>
          <w:p w14:paraId="57B38830"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0,43%</w:t>
            </w:r>
          </w:p>
        </w:tc>
        <w:tc>
          <w:tcPr>
            <w:tcW w:w="352" w:type="pct"/>
            <w:tcBorders>
              <w:top w:val="nil"/>
              <w:left w:val="single" w:sz="8" w:space="0" w:color="002060"/>
              <w:bottom w:val="single" w:sz="8" w:space="0" w:color="002060"/>
              <w:right w:val="nil"/>
            </w:tcBorders>
            <w:shd w:val="clear" w:color="000000" w:fill="2F75B5"/>
            <w:noWrap/>
            <w:vAlign w:val="center"/>
            <w:hideMark/>
          </w:tcPr>
          <w:p w14:paraId="1D7C75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1,15%</w:t>
            </w:r>
          </w:p>
        </w:tc>
      </w:tr>
      <w:tr w:rsidR="007E21BD" w:rsidRPr="007E21BD" w14:paraId="5F044F2D"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79B32102"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8064AA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46BBFE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4AE518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E7A292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5F8A25E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51DCA2E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86324A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E830519"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73675A6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3773063D"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435E53E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Crecimiento de inversión en educación, formación e información.</w:t>
            </w:r>
          </w:p>
        </w:tc>
        <w:tc>
          <w:tcPr>
            <w:tcW w:w="353" w:type="pct"/>
            <w:tcBorders>
              <w:top w:val="single" w:sz="12" w:space="0" w:color="FFFFFF"/>
              <w:left w:val="nil"/>
              <w:bottom w:val="nil"/>
              <w:right w:val="nil"/>
            </w:tcBorders>
            <w:shd w:val="clear" w:color="000000" w:fill="002060"/>
            <w:noWrap/>
            <w:vAlign w:val="center"/>
            <w:hideMark/>
          </w:tcPr>
          <w:p w14:paraId="14C4B3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-0,34%</w:t>
            </w:r>
          </w:p>
        </w:tc>
        <w:tc>
          <w:tcPr>
            <w:tcW w:w="353" w:type="pct"/>
            <w:tcBorders>
              <w:top w:val="nil"/>
              <w:left w:val="single" w:sz="8" w:space="0" w:color="002060"/>
              <w:bottom w:val="single" w:sz="8" w:space="0" w:color="002060"/>
              <w:right w:val="nil"/>
            </w:tcBorders>
            <w:shd w:val="clear" w:color="000000" w:fill="2F75B5"/>
            <w:noWrap/>
            <w:vAlign w:val="center"/>
            <w:hideMark/>
          </w:tcPr>
          <w:p w14:paraId="591800E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27,95%</w:t>
            </w:r>
          </w:p>
        </w:tc>
        <w:tc>
          <w:tcPr>
            <w:tcW w:w="353" w:type="pct"/>
            <w:tcBorders>
              <w:top w:val="nil"/>
              <w:left w:val="single" w:sz="8" w:space="0" w:color="002060"/>
              <w:bottom w:val="single" w:sz="8" w:space="0" w:color="002060"/>
              <w:right w:val="nil"/>
            </w:tcBorders>
            <w:shd w:val="clear" w:color="000000" w:fill="2F75B5"/>
            <w:noWrap/>
            <w:vAlign w:val="center"/>
            <w:hideMark/>
          </w:tcPr>
          <w:p w14:paraId="08E68B1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1,08%</w:t>
            </w:r>
          </w:p>
        </w:tc>
        <w:tc>
          <w:tcPr>
            <w:tcW w:w="361" w:type="pct"/>
            <w:tcBorders>
              <w:top w:val="nil"/>
              <w:left w:val="single" w:sz="8" w:space="0" w:color="002060"/>
              <w:bottom w:val="single" w:sz="8" w:space="0" w:color="002060"/>
              <w:right w:val="nil"/>
            </w:tcBorders>
            <w:shd w:val="clear" w:color="000000" w:fill="2F75B5"/>
            <w:noWrap/>
            <w:vAlign w:val="center"/>
            <w:hideMark/>
          </w:tcPr>
          <w:p w14:paraId="0F7197B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-0,58%</w:t>
            </w:r>
          </w:p>
        </w:tc>
        <w:tc>
          <w:tcPr>
            <w:tcW w:w="397" w:type="pct"/>
            <w:tcBorders>
              <w:top w:val="nil"/>
              <w:left w:val="single" w:sz="8" w:space="0" w:color="002060"/>
              <w:bottom w:val="single" w:sz="8" w:space="0" w:color="002060"/>
              <w:right w:val="nil"/>
            </w:tcBorders>
            <w:shd w:val="clear" w:color="000000" w:fill="2F75B5"/>
            <w:noWrap/>
            <w:vAlign w:val="center"/>
            <w:hideMark/>
          </w:tcPr>
          <w:p w14:paraId="13D5219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-3,62%</w:t>
            </w:r>
          </w:p>
        </w:tc>
        <w:tc>
          <w:tcPr>
            <w:tcW w:w="409" w:type="pct"/>
            <w:tcBorders>
              <w:top w:val="nil"/>
              <w:left w:val="single" w:sz="8" w:space="0" w:color="002060"/>
              <w:bottom w:val="single" w:sz="8" w:space="0" w:color="002060"/>
              <w:right w:val="nil"/>
            </w:tcBorders>
            <w:shd w:val="clear" w:color="000000" w:fill="2F75B5"/>
            <w:noWrap/>
            <w:vAlign w:val="center"/>
            <w:hideMark/>
          </w:tcPr>
          <w:p w14:paraId="727671D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-58,43%</w:t>
            </w:r>
          </w:p>
        </w:tc>
        <w:tc>
          <w:tcPr>
            <w:tcW w:w="353" w:type="pct"/>
            <w:tcBorders>
              <w:top w:val="nil"/>
              <w:left w:val="single" w:sz="8" w:space="0" w:color="002060"/>
              <w:bottom w:val="single" w:sz="8" w:space="0" w:color="002060"/>
              <w:right w:val="nil"/>
            </w:tcBorders>
            <w:shd w:val="clear" w:color="000000" w:fill="2F75B5"/>
            <w:noWrap/>
            <w:vAlign w:val="center"/>
            <w:hideMark/>
          </w:tcPr>
          <w:p w14:paraId="44FA836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-15,03%</w:t>
            </w:r>
          </w:p>
        </w:tc>
        <w:tc>
          <w:tcPr>
            <w:tcW w:w="353" w:type="pct"/>
            <w:tcBorders>
              <w:top w:val="nil"/>
              <w:left w:val="single" w:sz="8" w:space="0" w:color="002060"/>
              <w:bottom w:val="single" w:sz="8" w:space="0" w:color="002060"/>
              <w:right w:val="nil"/>
            </w:tcBorders>
            <w:shd w:val="clear" w:color="auto" w:fill="auto"/>
            <w:noWrap/>
            <w:vAlign w:val="center"/>
            <w:hideMark/>
          </w:tcPr>
          <w:p w14:paraId="5990AE29"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1E76324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6,92%</w:t>
            </w:r>
          </w:p>
        </w:tc>
      </w:tr>
      <w:tr w:rsidR="007E21BD" w:rsidRPr="007E21BD" w14:paraId="18843E5F"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2C31A17"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1CCCC9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8D13D0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E1E372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0836298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0E33A5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842EF5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AE458C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52EE6B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6356EB0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71563094" w14:textId="77777777" w:rsidTr="00975F7F">
        <w:trPr>
          <w:trHeight w:val="113"/>
        </w:trPr>
        <w:tc>
          <w:tcPr>
            <w:tcW w:w="1716" w:type="pct"/>
            <w:tcBorders>
              <w:top w:val="nil"/>
              <w:left w:val="nil"/>
              <w:bottom w:val="nil"/>
              <w:right w:val="nil"/>
            </w:tcBorders>
            <w:shd w:val="clear" w:color="000000" w:fill="002060"/>
            <w:vAlign w:val="center"/>
            <w:hideMark/>
          </w:tcPr>
          <w:p w14:paraId="2459848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Principio 5 - Autonomía Autodeterminación y Autogobierno</w:t>
            </w:r>
          </w:p>
        </w:tc>
        <w:tc>
          <w:tcPr>
            <w:tcW w:w="353" w:type="pct"/>
            <w:tcBorders>
              <w:top w:val="nil"/>
              <w:left w:val="nil"/>
              <w:bottom w:val="nil"/>
              <w:right w:val="nil"/>
            </w:tcBorders>
            <w:shd w:val="clear" w:color="auto" w:fill="auto"/>
            <w:noWrap/>
            <w:vAlign w:val="center"/>
            <w:hideMark/>
          </w:tcPr>
          <w:p w14:paraId="193DE37F"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764D384E"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FFFFFF"/>
              <w:left w:val="nil"/>
              <w:bottom w:val="single" w:sz="8" w:space="0" w:color="FFFFFF"/>
              <w:right w:val="nil"/>
            </w:tcBorders>
            <w:shd w:val="clear" w:color="000000" w:fill="002060"/>
            <w:noWrap/>
            <w:vAlign w:val="center"/>
            <w:hideMark/>
          </w:tcPr>
          <w:p w14:paraId="0B75F8E2"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80%</w:t>
            </w:r>
          </w:p>
        </w:tc>
        <w:tc>
          <w:tcPr>
            <w:tcW w:w="361" w:type="pct"/>
            <w:tcBorders>
              <w:top w:val="single" w:sz="8" w:space="0" w:color="FFFFFF"/>
              <w:left w:val="nil"/>
              <w:bottom w:val="single" w:sz="8" w:space="0" w:color="FFFFFF"/>
              <w:right w:val="nil"/>
            </w:tcBorders>
            <w:shd w:val="clear" w:color="000000" w:fill="002060"/>
            <w:noWrap/>
            <w:vAlign w:val="center"/>
            <w:hideMark/>
          </w:tcPr>
          <w:p w14:paraId="47D9A2FC"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FFFFFF"/>
              <w:left w:val="nil"/>
              <w:bottom w:val="single" w:sz="8" w:space="0" w:color="FFFFFF"/>
              <w:right w:val="nil"/>
            </w:tcBorders>
            <w:shd w:val="clear" w:color="000000" w:fill="002060"/>
            <w:noWrap/>
            <w:vAlign w:val="center"/>
            <w:hideMark/>
          </w:tcPr>
          <w:p w14:paraId="034E6FD2"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80%</w:t>
            </w:r>
          </w:p>
        </w:tc>
        <w:tc>
          <w:tcPr>
            <w:tcW w:w="409" w:type="pct"/>
            <w:tcBorders>
              <w:top w:val="single" w:sz="8" w:space="0" w:color="FFFFFF"/>
              <w:left w:val="nil"/>
              <w:bottom w:val="single" w:sz="8" w:space="0" w:color="FFFFFF"/>
              <w:right w:val="nil"/>
            </w:tcBorders>
            <w:shd w:val="clear" w:color="000000" w:fill="002060"/>
            <w:noWrap/>
            <w:vAlign w:val="center"/>
            <w:hideMark/>
          </w:tcPr>
          <w:p w14:paraId="73248FB2"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FFFFFF"/>
              <w:left w:val="nil"/>
              <w:bottom w:val="single" w:sz="8" w:space="0" w:color="FFFFFF"/>
              <w:right w:val="nil"/>
            </w:tcBorders>
            <w:shd w:val="clear" w:color="000000" w:fill="002060"/>
            <w:noWrap/>
            <w:vAlign w:val="center"/>
            <w:hideMark/>
          </w:tcPr>
          <w:p w14:paraId="5CA999A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nil"/>
              <w:left w:val="nil"/>
              <w:bottom w:val="nil"/>
              <w:right w:val="nil"/>
            </w:tcBorders>
            <w:shd w:val="clear" w:color="000000" w:fill="002060"/>
            <w:noWrap/>
            <w:vAlign w:val="center"/>
            <w:hideMark/>
          </w:tcPr>
          <w:p w14:paraId="71785B21"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2" w:type="pct"/>
            <w:tcBorders>
              <w:top w:val="single" w:sz="8" w:space="0" w:color="FFFFFF"/>
              <w:left w:val="nil"/>
              <w:bottom w:val="single" w:sz="8" w:space="0" w:color="FFFFFF"/>
              <w:right w:val="nil"/>
            </w:tcBorders>
            <w:shd w:val="clear" w:color="000000" w:fill="002060"/>
            <w:noWrap/>
            <w:vAlign w:val="center"/>
            <w:hideMark/>
          </w:tcPr>
          <w:p w14:paraId="314CFB6C"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73F9FC65"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12928F8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Fuentes de financiación externa</w:t>
            </w:r>
          </w:p>
        </w:tc>
        <w:tc>
          <w:tcPr>
            <w:tcW w:w="353" w:type="pct"/>
            <w:tcBorders>
              <w:top w:val="single" w:sz="12" w:space="0" w:color="FFFFFF"/>
              <w:left w:val="nil"/>
              <w:bottom w:val="nil"/>
              <w:right w:val="nil"/>
            </w:tcBorders>
            <w:shd w:val="clear" w:color="000000" w:fill="002060"/>
            <w:noWrap/>
            <w:vAlign w:val="center"/>
            <w:hideMark/>
          </w:tcPr>
          <w:p w14:paraId="1B983DE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3,28%</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3A8A977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3,45%</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71E06E1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1,06%</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49EC505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3,34%</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09D3916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7,56%</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147D9D7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1,43%</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320ECCE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1,29%</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7CD7784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712D5A9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3,48%</w:t>
            </w:r>
          </w:p>
        </w:tc>
      </w:tr>
      <w:tr w:rsidR="007E21BD" w:rsidRPr="007E21BD" w14:paraId="0801081B"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85493EB"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3FBB877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849E6E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62C2EF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4812AE0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0FAACC1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266337E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4764C50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FE7802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6F2C0D2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7B220BC5"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AA0A82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Concentración de depósitos</w:t>
            </w:r>
          </w:p>
        </w:tc>
        <w:tc>
          <w:tcPr>
            <w:tcW w:w="353" w:type="pct"/>
            <w:tcBorders>
              <w:top w:val="single" w:sz="12" w:space="0" w:color="FFFFFF"/>
              <w:left w:val="nil"/>
              <w:bottom w:val="nil"/>
              <w:right w:val="nil"/>
            </w:tcBorders>
            <w:shd w:val="clear" w:color="000000" w:fill="002060"/>
            <w:noWrap/>
            <w:vAlign w:val="center"/>
            <w:hideMark/>
          </w:tcPr>
          <w:p w14:paraId="7060EBA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13,98%</w:t>
            </w:r>
          </w:p>
        </w:tc>
        <w:tc>
          <w:tcPr>
            <w:tcW w:w="353" w:type="pct"/>
            <w:tcBorders>
              <w:top w:val="nil"/>
              <w:left w:val="single" w:sz="8" w:space="0" w:color="002060"/>
              <w:bottom w:val="single" w:sz="8" w:space="0" w:color="002060"/>
              <w:right w:val="nil"/>
            </w:tcBorders>
            <w:shd w:val="clear" w:color="000000" w:fill="2F75B5"/>
            <w:noWrap/>
            <w:vAlign w:val="center"/>
            <w:hideMark/>
          </w:tcPr>
          <w:p w14:paraId="513CC0E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5,60%</w:t>
            </w:r>
          </w:p>
        </w:tc>
        <w:tc>
          <w:tcPr>
            <w:tcW w:w="353" w:type="pct"/>
            <w:tcBorders>
              <w:top w:val="nil"/>
              <w:left w:val="single" w:sz="8" w:space="0" w:color="002060"/>
              <w:bottom w:val="single" w:sz="8" w:space="0" w:color="002060"/>
              <w:right w:val="nil"/>
            </w:tcBorders>
            <w:shd w:val="clear" w:color="000000" w:fill="2F75B5"/>
            <w:noWrap/>
            <w:vAlign w:val="center"/>
            <w:hideMark/>
          </w:tcPr>
          <w:p w14:paraId="22C04A8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27,12%</w:t>
            </w:r>
          </w:p>
        </w:tc>
        <w:tc>
          <w:tcPr>
            <w:tcW w:w="361" w:type="pct"/>
            <w:tcBorders>
              <w:top w:val="nil"/>
              <w:left w:val="single" w:sz="8" w:space="0" w:color="002060"/>
              <w:bottom w:val="single" w:sz="8" w:space="0" w:color="002060"/>
              <w:right w:val="nil"/>
            </w:tcBorders>
            <w:shd w:val="clear" w:color="000000" w:fill="2F75B5"/>
            <w:noWrap/>
            <w:vAlign w:val="center"/>
            <w:hideMark/>
          </w:tcPr>
          <w:p w14:paraId="45F8389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8,88%</w:t>
            </w:r>
          </w:p>
        </w:tc>
        <w:tc>
          <w:tcPr>
            <w:tcW w:w="397" w:type="pct"/>
            <w:tcBorders>
              <w:top w:val="nil"/>
              <w:left w:val="single" w:sz="8" w:space="0" w:color="002060"/>
              <w:bottom w:val="single" w:sz="8" w:space="0" w:color="002060"/>
              <w:right w:val="nil"/>
            </w:tcBorders>
            <w:shd w:val="clear" w:color="000000" w:fill="2F75B5"/>
            <w:noWrap/>
            <w:vAlign w:val="center"/>
            <w:hideMark/>
          </w:tcPr>
          <w:p w14:paraId="5E9FFC5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14,25%</w:t>
            </w:r>
          </w:p>
        </w:tc>
        <w:tc>
          <w:tcPr>
            <w:tcW w:w="409" w:type="pct"/>
            <w:tcBorders>
              <w:top w:val="nil"/>
              <w:left w:val="single" w:sz="8" w:space="0" w:color="002060"/>
              <w:bottom w:val="single" w:sz="8" w:space="0" w:color="002060"/>
              <w:right w:val="nil"/>
            </w:tcBorders>
            <w:shd w:val="clear" w:color="000000" w:fill="2F75B5"/>
            <w:noWrap/>
            <w:vAlign w:val="center"/>
            <w:hideMark/>
          </w:tcPr>
          <w:p w14:paraId="3AA1006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15,24%</w:t>
            </w:r>
          </w:p>
        </w:tc>
        <w:tc>
          <w:tcPr>
            <w:tcW w:w="353" w:type="pct"/>
            <w:tcBorders>
              <w:top w:val="nil"/>
              <w:left w:val="single" w:sz="8" w:space="0" w:color="002060"/>
              <w:bottom w:val="single" w:sz="8" w:space="0" w:color="002060"/>
              <w:right w:val="nil"/>
            </w:tcBorders>
            <w:shd w:val="clear" w:color="000000" w:fill="2F75B5"/>
            <w:noWrap/>
            <w:vAlign w:val="center"/>
            <w:hideMark/>
          </w:tcPr>
          <w:p w14:paraId="4D9A5FD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12,18%</w:t>
            </w:r>
          </w:p>
        </w:tc>
        <w:tc>
          <w:tcPr>
            <w:tcW w:w="353" w:type="pct"/>
            <w:tcBorders>
              <w:top w:val="nil"/>
              <w:left w:val="single" w:sz="8" w:space="0" w:color="002060"/>
              <w:bottom w:val="single" w:sz="8" w:space="0" w:color="002060"/>
              <w:right w:val="nil"/>
            </w:tcBorders>
            <w:shd w:val="clear" w:color="auto" w:fill="auto"/>
            <w:noWrap/>
            <w:vAlign w:val="center"/>
            <w:hideMark/>
          </w:tcPr>
          <w:p w14:paraId="365B99D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26,23%</w:t>
            </w:r>
          </w:p>
        </w:tc>
        <w:tc>
          <w:tcPr>
            <w:tcW w:w="352" w:type="pct"/>
            <w:tcBorders>
              <w:top w:val="nil"/>
              <w:left w:val="single" w:sz="8" w:space="0" w:color="002060"/>
              <w:bottom w:val="single" w:sz="8" w:space="0" w:color="002060"/>
              <w:right w:val="nil"/>
            </w:tcBorders>
            <w:shd w:val="clear" w:color="000000" w:fill="2F75B5"/>
            <w:noWrap/>
            <w:vAlign w:val="center"/>
            <w:hideMark/>
          </w:tcPr>
          <w:p w14:paraId="7328B12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10,90%</w:t>
            </w:r>
          </w:p>
        </w:tc>
      </w:tr>
      <w:tr w:rsidR="007E21BD" w:rsidRPr="007E21BD" w14:paraId="539C0352"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42A91A8"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5022B51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E89419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52A7083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6CF2FA3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407556A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708A6D0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985AB5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80BF882"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2E49786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5C13CA24"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233831B7"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Concentración de créditos</w:t>
            </w:r>
          </w:p>
        </w:tc>
        <w:tc>
          <w:tcPr>
            <w:tcW w:w="353" w:type="pct"/>
            <w:tcBorders>
              <w:top w:val="single" w:sz="12" w:space="0" w:color="FFFFFF"/>
              <w:left w:val="nil"/>
              <w:bottom w:val="nil"/>
              <w:right w:val="nil"/>
            </w:tcBorders>
            <w:shd w:val="clear" w:color="000000" w:fill="002060"/>
            <w:noWrap/>
            <w:vAlign w:val="center"/>
            <w:hideMark/>
          </w:tcPr>
          <w:p w14:paraId="3DD7F38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41,39%</w:t>
            </w:r>
          </w:p>
        </w:tc>
        <w:tc>
          <w:tcPr>
            <w:tcW w:w="353" w:type="pct"/>
            <w:tcBorders>
              <w:top w:val="nil"/>
              <w:left w:val="single" w:sz="8" w:space="0" w:color="002060"/>
              <w:bottom w:val="single" w:sz="8" w:space="0" w:color="002060"/>
              <w:right w:val="nil"/>
            </w:tcBorders>
            <w:shd w:val="clear" w:color="000000" w:fill="2F75B5"/>
            <w:noWrap/>
            <w:vAlign w:val="center"/>
            <w:hideMark/>
          </w:tcPr>
          <w:p w14:paraId="20A7394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38,62%</w:t>
            </w:r>
          </w:p>
        </w:tc>
        <w:tc>
          <w:tcPr>
            <w:tcW w:w="353" w:type="pct"/>
            <w:tcBorders>
              <w:top w:val="nil"/>
              <w:left w:val="single" w:sz="8" w:space="0" w:color="002060"/>
              <w:bottom w:val="single" w:sz="8" w:space="0" w:color="002060"/>
              <w:right w:val="nil"/>
            </w:tcBorders>
            <w:shd w:val="clear" w:color="000000" w:fill="2F75B5"/>
            <w:noWrap/>
            <w:vAlign w:val="center"/>
            <w:hideMark/>
          </w:tcPr>
          <w:p w14:paraId="4A4DE09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41,20%</w:t>
            </w:r>
          </w:p>
        </w:tc>
        <w:tc>
          <w:tcPr>
            <w:tcW w:w="361" w:type="pct"/>
            <w:tcBorders>
              <w:top w:val="nil"/>
              <w:left w:val="single" w:sz="8" w:space="0" w:color="002060"/>
              <w:bottom w:val="single" w:sz="8" w:space="0" w:color="002060"/>
              <w:right w:val="nil"/>
            </w:tcBorders>
            <w:shd w:val="clear" w:color="000000" w:fill="2F75B5"/>
            <w:noWrap/>
            <w:vAlign w:val="center"/>
            <w:hideMark/>
          </w:tcPr>
          <w:p w14:paraId="28AED63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41,22%</w:t>
            </w:r>
          </w:p>
        </w:tc>
        <w:tc>
          <w:tcPr>
            <w:tcW w:w="397" w:type="pct"/>
            <w:tcBorders>
              <w:top w:val="nil"/>
              <w:left w:val="single" w:sz="8" w:space="0" w:color="002060"/>
              <w:bottom w:val="single" w:sz="8" w:space="0" w:color="002060"/>
              <w:right w:val="nil"/>
            </w:tcBorders>
            <w:shd w:val="clear" w:color="000000" w:fill="2F75B5"/>
            <w:noWrap/>
            <w:vAlign w:val="center"/>
            <w:hideMark/>
          </w:tcPr>
          <w:p w14:paraId="565D5E3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45,18%</w:t>
            </w:r>
          </w:p>
        </w:tc>
        <w:tc>
          <w:tcPr>
            <w:tcW w:w="409" w:type="pct"/>
            <w:tcBorders>
              <w:top w:val="nil"/>
              <w:left w:val="single" w:sz="8" w:space="0" w:color="002060"/>
              <w:bottom w:val="single" w:sz="8" w:space="0" w:color="002060"/>
              <w:right w:val="nil"/>
            </w:tcBorders>
            <w:shd w:val="clear" w:color="000000" w:fill="2F75B5"/>
            <w:noWrap/>
            <w:vAlign w:val="center"/>
            <w:hideMark/>
          </w:tcPr>
          <w:p w14:paraId="56F33F9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41,44%</w:t>
            </w:r>
          </w:p>
        </w:tc>
        <w:tc>
          <w:tcPr>
            <w:tcW w:w="353" w:type="pct"/>
            <w:tcBorders>
              <w:top w:val="nil"/>
              <w:left w:val="single" w:sz="8" w:space="0" w:color="002060"/>
              <w:bottom w:val="single" w:sz="8" w:space="0" w:color="002060"/>
              <w:right w:val="nil"/>
            </w:tcBorders>
            <w:shd w:val="clear" w:color="000000" w:fill="2F75B5"/>
            <w:noWrap/>
            <w:vAlign w:val="center"/>
            <w:hideMark/>
          </w:tcPr>
          <w:p w14:paraId="4CDB49C3"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41,46%</w:t>
            </w:r>
          </w:p>
        </w:tc>
        <w:tc>
          <w:tcPr>
            <w:tcW w:w="353" w:type="pct"/>
            <w:tcBorders>
              <w:top w:val="nil"/>
              <w:left w:val="single" w:sz="8" w:space="0" w:color="002060"/>
              <w:bottom w:val="single" w:sz="8" w:space="0" w:color="002060"/>
              <w:right w:val="nil"/>
            </w:tcBorders>
            <w:shd w:val="clear" w:color="auto" w:fill="auto"/>
            <w:noWrap/>
            <w:vAlign w:val="center"/>
            <w:hideMark/>
          </w:tcPr>
          <w:p w14:paraId="13A9A9BD"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46,76%</w:t>
            </w:r>
          </w:p>
        </w:tc>
        <w:tc>
          <w:tcPr>
            <w:tcW w:w="352" w:type="pct"/>
            <w:tcBorders>
              <w:top w:val="nil"/>
              <w:left w:val="single" w:sz="8" w:space="0" w:color="002060"/>
              <w:bottom w:val="single" w:sz="8" w:space="0" w:color="002060"/>
              <w:right w:val="nil"/>
            </w:tcBorders>
            <w:shd w:val="clear" w:color="000000" w:fill="2F75B5"/>
            <w:noWrap/>
            <w:vAlign w:val="center"/>
            <w:hideMark/>
          </w:tcPr>
          <w:p w14:paraId="6EE180B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47,10%</w:t>
            </w:r>
          </w:p>
        </w:tc>
      </w:tr>
      <w:tr w:rsidR="007E21BD" w:rsidRPr="007E21BD" w14:paraId="19F1E3FE"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7E3EA30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400A56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67D6F97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FEB84"/>
            <w:noWrap/>
            <w:vAlign w:val="center"/>
            <w:hideMark/>
          </w:tcPr>
          <w:p w14:paraId="3D2D7D9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FEB84"/>
            <w:noWrap/>
            <w:vAlign w:val="center"/>
            <w:hideMark/>
          </w:tcPr>
          <w:p w14:paraId="15389DA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3805745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44D624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7BF555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239E2DE"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71C1269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05C6EB84"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6FC4543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Indicador de patrocinios</w:t>
            </w:r>
          </w:p>
        </w:tc>
        <w:tc>
          <w:tcPr>
            <w:tcW w:w="353" w:type="pct"/>
            <w:tcBorders>
              <w:top w:val="single" w:sz="12" w:space="0" w:color="FFFFFF"/>
              <w:left w:val="nil"/>
              <w:bottom w:val="nil"/>
              <w:right w:val="nil"/>
            </w:tcBorders>
            <w:shd w:val="clear" w:color="000000" w:fill="002060"/>
            <w:noWrap/>
            <w:vAlign w:val="center"/>
            <w:hideMark/>
          </w:tcPr>
          <w:p w14:paraId="59DFFD7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0,03%</w:t>
            </w:r>
          </w:p>
        </w:tc>
        <w:tc>
          <w:tcPr>
            <w:tcW w:w="353" w:type="pct"/>
            <w:tcBorders>
              <w:top w:val="nil"/>
              <w:left w:val="single" w:sz="8" w:space="0" w:color="002060"/>
              <w:bottom w:val="single" w:sz="8" w:space="0" w:color="002060"/>
              <w:right w:val="nil"/>
            </w:tcBorders>
            <w:shd w:val="clear" w:color="000000" w:fill="2F75B5"/>
            <w:noWrap/>
            <w:vAlign w:val="center"/>
            <w:hideMark/>
          </w:tcPr>
          <w:p w14:paraId="010B109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2088A60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0,10%</w:t>
            </w:r>
          </w:p>
        </w:tc>
        <w:tc>
          <w:tcPr>
            <w:tcW w:w="361" w:type="pct"/>
            <w:tcBorders>
              <w:top w:val="nil"/>
              <w:left w:val="single" w:sz="8" w:space="0" w:color="002060"/>
              <w:bottom w:val="single" w:sz="8" w:space="0" w:color="002060"/>
              <w:right w:val="nil"/>
            </w:tcBorders>
            <w:shd w:val="clear" w:color="000000" w:fill="2F75B5"/>
            <w:noWrap/>
            <w:vAlign w:val="center"/>
            <w:hideMark/>
          </w:tcPr>
          <w:p w14:paraId="355662B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0,02%</w:t>
            </w:r>
          </w:p>
        </w:tc>
        <w:tc>
          <w:tcPr>
            <w:tcW w:w="397" w:type="pct"/>
            <w:tcBorders>
              <w:top w:val="nil"/>
              <w:left w:val="single" w:sz="8" w:space="0" w:color="002060"/>
              <w:bottom w:val="single" w:sz="8" w:space="0" w:color="002060"/>
              <w:right w:val="nil"/>
            </w:tcBorders>
            <w:shd w:val="clear" w:color="000000" w:fill="2F75B5"/>
            <w:noWrap/>
            <w:vAlign w:val="center"/>
            <w:hideMark/>
          </w:tcPr>
          <w:p w14:paraId="4E14E0D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0,01%</w:t>
            </w:r>
          </w:p>
        </w:tc>
        <w:tc>
          <w:tcPr>
            <w:tcW w:w="409" w:type="pct"/>
            <w:tcBorders>
              <w:top w:val="nil"/>
              <w:left w:val="single" w:sz="8" w:space="0" w:color="002060"/>
              <w:bottom w:val="single" w:sz="8" w:space="0" w:color="002060"/>
              <w:right w:val="nil"/>
            </w:tcBorders>
            <w:shd w:val="clear" w:color="000000" w:fill="2F75B5"/>
            <w:noWrap/>
            <w:vAlign w:val="center"/>
            <w:hideMark/>
          </w:tcPr>
          <w:p w14:paraId="1202E46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0,02%</w:t>
            </w:r>
          </w:p>
        </w:tc>
        <w:tc>
          <w:tcPr>
            <w:tcW w:w="353" w:type="pct"/>
            <w:tcBorders>
              <w:top w:val="nil"/>
              <w:left w:val="single" w:sz="8" w:space="0" w:color="002060"/>
              <w:bottom w:val="single" w:sz="8" w:space="0" w:color="002060"/>
              <w:right w:val="nil"/>
            </w:tcBorders>
            <w:shd w:val="clear" w:color="000000" w:fill="2F75B5"/>
            <w:noWrap/>
            <w:vAlign w:val="center"/>
            <w:hideMark/>
          </w:tcPr>
          <w:p w14:paraId="1400ED1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0,01%</w:t>
            </w:r>
          </w:p>
        </w:tc>
        <w:tc>
          <w:tcPr>
            <w:tcW w:w="353" w:type="pct"/>
            <w:tcBorders>
              <w:top w:val="nil"/>
              <w:left w:val="single" w:sz="8" w:space="0" w:color="002060"/>
              <w:bottom w:val="single" w:sz="8" w:space="0" w:color="002060"/>
              <w:right w:val="nil"/>
            </w:tcBorders>
            <w:shd w:val="clear" w:color="auto" w:fill="auto"/>
            <w:noWrap/>
            <w:vAlign w:val="center"/>
            <w:hideMark/>
          </w:tcPr>
          <w:p w14:paraId="0293F1C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00B0480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0,00%</w:t>
            </w:r>
          </w:p>
        </w:tc>
      </w:tr>
      <w:tr w:rsidR="007E21BD" w:rsidRPr="007E21BD" w14:paraId="12841D3F"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B45E450"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0354B51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3B3680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4ABA5D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780743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49A686F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1494FDC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2D7EC9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09D4DE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4DC17A7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60746137"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162B09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Cultura de buen gobierno</w:t>
            </w:r>
          </w:p>
        </w:tc>
        <w:tc>
          <w:tcPr>
            <w:tcW w:w="353" w:type="pct"/>
            <w:tcBorders>
              <w:top w:val="single" w:sz="12" w:space="0" w:color="FFFFFF"/>
              <w:left w:val="nil"/>
              <w:bottom w:val="nil"/>
              <w:right w:val="nil"/>
            </w:tcBorders>
            <w:shd w:val="clear" w:color="000000" w:fill="002060"/>
            <w:noWrap/>
            <w:vAlign w:val="center"/>
            <w:hideMark/>
          </w:tcPr>
          <w:p w14:paraId="721D34E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90,04%</w:t>
            </w:r>
          </w:p>
        </w:tc>
        <w:tc>
          <w:tcPr>
            <w:tcW w:w="353" w:type="pct"/>
            <w:tcBorders>
              <w:top w:val="nil"/>
              <w:left w:val="single" w:sz="8" w:space="0" w:color="002060"/>
              <w:bottom w:val="single" w:sz="8" w:space="0" w:color="002060"/>
              <w:right w:val="nil"/>
            </w:tcBorders>
            <w:shd w:val="clear" w:color="000000" w:fill="2F75B5"/>
            <w:noWrap/>
            <w:vAlign w:val="center"/>
            <w:hideMark/>
          </w:tcPr>
          <w:p w14:paraId="65831D4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72069F1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95,31%</w:t>
            </w:r>
          </w:p>
        </w:tc>
        <w:tc>
          <w:tcPr>
            <w:tcW w:w="361" w:type="pct"/>
            <w:tcBorders>
              <w:top w:val="nil"/>
              <w:left w:val="single" w:sz="8" w:space="0" w:color="002060"/>
              <w:bottom w:val="single" w:sz="8" w:space="0" w:color="002060"/>
              <w:right w:val="nil"/>
            </w:tcBorders>
            <w:shd w:val="clear" w:color="000000" w:fill="2F75B5"/>
            <w:noWrap/>
            <w:vAlign w:val="center"/>
            <w:hideMark/>
          </w:tcPr>
          <w:p w14:paraId="0311B94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93,42%</w:t>
            </w:r>
          </w:p>
        </w:tc>
        <w:tc>
          <w:tcPr>
            <w:tcW w:w="397" w:type="pct"/>
            <w:tcBorders>
              <w:top w:val="nil"/>
              <w:left w:val="single" w:sz="8" w:space="0" w:color="002060"/>
              <w:bottom w:val="single" w:sz="8" w:space="0" w:color="002060"/>
              <w:right w:val="nil"/>
            </w:tcBorders>
            <w:shd w:val="clear" w:color="000000" w:fill="2F75B5"/>
            <w:noWrap/>
            <w:vAlign w:val="center"/>
            <w:hideMark/>
          </w:tcPr>
          <w:p w14:paraId="59FCB72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87,50%</w:t>
            </w:r>
          </w:p>
        </w:tc>
        <w:tc>
          <w:tcPr>
            <w:tcW w:w="409" w:type="pct"/>
            <w:tcBorders>
              <w:top w:val="nil"/>
              <w:left w:val="single" w:sz="8" w:space="0" w:color="002060"/>
              <w:bottom w:val="single" w:sz="8" w:space="0" w:color="002060"/>
              <w:right w:val="nil"/>
            </w:tcBorders>
            <w:shd w:val="clear" w:color="000000" w:fill="2F75B5"/>
            <w:noWrap/>
            <w:vAlign w:val="center"/>
            <w:hideMark/>
          </w:tcPr>
          <w:p w14:paraId="4F0BF48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94,89%</w:t>
            </w:r>
          </w:p>
        </w:tc>
        <w:tc>
          <w:tcPr>
            <w:tcW w:w="353" w:type="pct"/>
            <w:tcBorders>
              <w:top w:val="nil"/>
              <w:left w:val="single" w:sz="8" w:space="0" w:color="002060"/>
              <w:bottom w:val="single" w:sz="8" w:space="0" w:color="002060"/>
              <w:right w:val="nil"/>
            </w:tcBorders>
            <w:shd w:val="clear" w:color="000000" w:fill="2F75B5"/>
            <w:noWrap/>
            <w:vAlign w:val="center"/>
            <w:hideMark/>
          </w:tcPr>
          <w:p w14:paraId="18B1560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88,86%</w:t>
            </w:r>
          </w:p>
        </w:tc>
        <w:tc>
          <w:tcPr>
            <w:tcW w:w="353" w:type="pct"/>
            <w:tcBorders>
              <w:top w:val="nil"/>
              <w:left w:val="single" w:sz="8" w:space="0" w:color="002060"/>
              <w:bottom w:val="single" w:sz="8" w:space="0" w:color="002060"/>
              <w:right w:val="nil"/>
            </w:tcBorders>
            <w:shd w:val="clear" w:color="auto" w:fill="auto"/>
            <w:noWrap/>
            <w:vAlign w:val="center"/>
            <w:hideMark/>
          </w:tcPr>
          <w:p w14:paraId="663D5893"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62,50%</w:t>
            </w:r>
          </w:p>
        </w:tc>
        <w:tc>
          <w:tcPr>
            <w:tcW w:w="352" w:type="pct"/>
            <w:tcBorders>
              <w:top w:val="nil"/>
              <w:left w:val="single" w:sz="8" w:space="0" w:color="002060"/>
              <w:bottom w:val="single" w:sz="8" w:space="0" w:color="002060"/>
              <w:right w:val="nil"/>
            </w:tcBorders>
            <w:shd w:val="clear" w:color="000000" w:fill="2F75B5"/>
            <w:noWrap/>
            <w:vAlign w:val="center"/>
            <w:hideMark/>
          </w:tcPr>
          <w:p w14:paraId="5A7BF50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87,22%</w:t>
            </w:r>
          </w:p>
        </w:tc>
      </w:tr>
      <w:tr w:rsidR="007E21BD" w:rsidRPr="007E21BD" w14:paraId="29BF4E31"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6BC259F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A03250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5B0BA4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7E7719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34FC827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F6C"/>
            <w:noWrap/>
            <w:vAlign w:val="center"/>
            <w:hideMark/>
          </w:tcPr>
          <w:p w14:paraId="56270C2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330A92C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F6C"/>
            <w:noWrap/>
            <w:vAlign w:val="center"/>
            <w:hideMark/>
          </w:tcPr>
          <w:p w14:paraId="37ADCF3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1F3FCB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F6C"/>
            <w:noWrap/>
            <w:vAlign w:val="center"/>
            <w:hideMark/>
          </w:tcPr>
          <w:p w14:paraId="283238F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03BE63BB" w14:textId="77777777" w:rsidTr="00975F7F">
        <w:trPr>
          <w:trHeight w:val="113"/>
        </w:trPr>
        <w:tc>
          <w:tcPr>
            <w:tcW w:w="1716" w:type="pct"/>
            <w:tcBorders>
              <w:top w:val="nil"/>
              <w:left w:val="nil"/>
              <w:bottom w:val="nil"/>
              <w:right w:val="nil"/>
            </w:tcBorders>
            <w:shd w:val="clear" w:color="000000" w:fill="002060"/>
            <w:vAlign w:val="center"/>
            <w:hideMark/>
          </w:tcPr>
          <w:p w14:paraId="2B27831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Principio 6 - Servicio a la comunidad</w:t>
            </w:r>
          </w:p>
        </w:tc>
        <w:tc>
          <w:tcPr>
            <w:tcW w:w="353" w:type="pct"/>
            <w:tcBorders>
              <w:top w:val="nil"/>
              <w:left w:val="nil"/>
              <w:bottom w:val="nil"/>
              <w:right w:val="nil"/>
            </w:tcBorders>
            <w:shd w:val="clear" w:color="auto" w:fill="auto"/>
            <w:noWrap/>
            <w:vAlign w:val="center"/>
            <w:hideMark/>
          </w:tcPr>
          <w:p w14:paraId="25DC1824"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0796E550"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42E7E56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FFFFFF"/>
              <w:left w:val="nil"/>
              <w:bottom w:val="single" w:sz="8" w:space="0" w:color="FFFFFF"/>
              <w:right w:val="nil"/>
            </w:tcBorders>
            <w:shd w:val="clear" w:color="000000" w:fill="002060"/>
            <w:noWrap/>
            <w:vAlign w:val="center"/>
            <w:hideMark/>
          </w:tcPr>
          <w:p w14:paraId="5559B614"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80%</w:t>
            </w:r>
          </w:p>
        </w:tc>
        <w:tc>
          <w:tcPr>
            <w:tcW w:w="397" w:type="pct"/>
            <w:tcBorders>
              <w:top w:val="single" w:sz="8" w:space="0" w:color="FFFFFF"/>
              <w:left w:val="nil"/>
              <w:bottom w:val="single" w:sz="8" w:space="0" w:color="FFFFFF"/>
              <w:right w:val="nil"/>
            </w:tcBorders>
            <w:shd w:val="clear" w:color="000000" w:fill="002060"/>
            <w:noWrap/>
            <w:vAlign w:val="center"/>
            <w:hideMark/>
          </w:tcPr>
          <w:p w14:paraId="6DAB068A"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FFFFFF"/>
              <w:left w:val="nil"/>
              <w:bottom w:val="single" w:sz="8" w:space="0" w:color="FFFFFF"/>
              <w:right w:val="nil"/>
            </w:tcBorders>
            <w:shd w:val="clear" w:color="000000" w:fill="002060"/>
            <w:noWrap/>
            <w:vAlign w:val="center"/>
            <w:hideMark/>
          </w:tcPr>
          <w:p w14:paraId="5526BDD7"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FFFFFF"/>
              <w:left w:val="nil"/>
              <w:bottom w:val="single" w:sz="8" w:space="0" w:color="FFFFFF"/>
              <w:right w:val="nil"/>
            </w:tcBorders>
            <w:shd w:val="clear" w:color="000000" w:fill="002060"/>
            <w:noWrap/>
            <w:vAlign w:val="center"/>
            <w:hideMark/>
          </w:tcPr>
          <w:p w14:paraId="4A4DB58D"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nil"/>
              <w:left w:val="nil"/>
              <w:bottom w:val="nil"/>
              <w:right w:val="nil"/>
            </w:tcBorders>
            <w:shd w:val="clear" w:color="000000" w:fill="002060"/>
            <w:noWrap/>
            <w:vAlign w:val="center"/>
            <w:hideMark/>
          </w:tcPr>
          <w:p w14:paraId="223AB0E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w:t>
            </w:r>
          </w:p>
        </w:tc>
        <w:tc>
          <w:tcPr>
            <w:tcW w:w="352" w:type="pct"/>
            <w:tcBorders>
              <w:top w:val="single" w:sz="8" w:space="0" w:color="FFFFFF"/>
              <w:left w:val="nil"/>
              <w:bottom w:val="single" w:sz="8" w:space="0" w:color="FFFFFF"/>
              <w:right w:val="nil"/>
            </w:tcBorders>
            <w:shd w:val="clear" w:color="000000" w:fill="002060"/>
            <w:noWrap/>
            <w:vAlign w:val="center"/>
            <w:hideMark/>
          </w:tcPr>
          <w:p w14:paraId="40A136C1"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663D4D88"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3A04B9B3"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Gastos y contribuciones en favor de las comunidades</w:t>
            </w:r>
          </w:p>
        </w:tc>
        <w:tc>
          <w:tcPr>
            <w:tcW w:w="353" w:type="pct"/>
            <w:tcBorders>
              <w:top w:val="single" w:sz="12" w:space="0" w:color="FFFFFF"/>
              <w:left w:val="nil"/>
              <w:bottom w:val="nil"/>
              <w:right w:val="nil"/>
            </w:tcBorders>
            <w:shd w:val="clear" w:color="000000" w:fill="002060"/>
            <w:noWrap/>
            <w:vAlign w:val="center"/>
            <w:hideMark/>
          </w:tcPr>
          <w:p w14:paraId="6254EDC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0,74%</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F32DEC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0,15%</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0D988ECC"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0,57%</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30AAE52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1,43%</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2726CA9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0,91%</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1637A5A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0,39%</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FDACF7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0,89%</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38569D6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6DE0DAF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0,53%</w:t>
            </w:r>
          </w:p>
        </w:tc>
      </w:tr>
      <w:tr w:rsidR="007E21BD" w:rsidRPr="007E21BD" w14:paraId="586D9B95"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8D45AE8"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5B063D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AF284E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4E2217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22A698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601F730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318DA24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19633A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A47CB82"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4F57052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3E278B4D"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FF68AFA"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Créditos con incidencia comunitaria</w:t>
            </w:r>
          </w:p>
        </w:tc>
        <w:tc>
          <w:tcPr>
            <w:tcW w:w="353" w:type="pct"/>
            <w:tcBorders>
              <w:top w:val="single" w:sz="12" w:space="0" w:color="FFFFFF"/>
              <w:left w:val="nil"/>
              <w:bottom w:val="nil"/>
              <w:right w:val="nil"/>
            </w:tcBorders>
            <w:shd w:val="clear" w:color="000000" w:fill="002060"/>
            <w:noWrap/>
            <w:vAlign w:val="center"/>
            <w:hideMark/>
          </w:tcPr>
          <w:p w14:paraId="303E8F9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0,17%</w:t>
            </w:r>
          </w:p>
        </w:tc>
        <w:tc>
          <w:tcPr>
            <w:tcW w:w="353" w:type="pct"/>
            <w:tcBorders>
              <w:top w:val="nil"/>
              <w:left w:val="single" w:sz="8" w:space="0" w:color="002060"/>
              <w:bottom w:val="single" w:sz="8" w:space="0" w:color="002060"/>
              <w:right w:val="nil"/>
            </w:tcBorders>
            <w:shd w:val="clear" w:color="000000" w:fill="2F75B5"/>
            <w:noWrap/>
            <w:vAlign w:val="center"/>
            <w:hideMark/>
          </w:tcPr>
          <w:p w14:paraId="6B171D3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0,04%</w:t>
            </w:r>
          </w:p>
        </w:tc>
        <w:tc>
          <w:tcPr>
            <w:tcW w:w="353" w:type="pct"/>
            <w:tcBorders>
              <w:top w:val="nil"/>
              <w:left w:val="single" w:sz="8" w:space="0" w:color="002060"/>
              <w:bottom w:val="single" w:sz="8" w:space="0" w:color="002060"/>
              <w:right w:val="nil"/>
            </w:tcBorders>
            <w:shd w:val="clear" w:color="000000" w:fill="2F75B5"/>
            <w:noWrap/>
            <w:vAlign w:val="center"/>
            <w:hideMark/>
          </w:tcPr>
          <w:p w14:paraId="70C8E23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0,18%</w:t>
            </w:r>
          </w:p>
        </w:tc>
        <w:tc>
          <w:tcPr>
            <w:tcW w:w="361" w:type="pct"/>
            <w:tcBorders>
              <w:top w:val="nil"/>
              <w:left w:val="single" w:sz="8" w:space="0" w:color="002060"/>
              <w:bottom w:val="single" w:sz="8" w:space="0" w:color="002060"/>
              <w:right w:val="nil"/>
            </w:tcBorders>
            <w:shd w:val="clear" w:color="000000" w:fill="2F75B5"/>
            <w:noWrap/>
            <w:vAlign w:val="center"/>
            <w:hideMark/>
          </w:tcPr>
          <w:p w14:paraId="659BD90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0,26%</w:t>
            </w:r>
          </w:p>
        </w:tc>
        <w:tc>
          <w:tcPr>
            <w:tcW w:w="397" w:type="pct"/>
            <w:tcBorders>
              <w:top w:val="nil"/>
              <w:left w:val="single" w:sz="8" w:space="0" w:color="002060"/>
              <w:bottom w:val="single" w:sz="8" w:space="0" w:color="002060"/>
              <w:right w:val="nil"/>
            </w:tcBorders>
            <w:shd w:val="clear" w:color="000000" w:fill="2F75B5"/>
            <w:noWrap/>
            <w:vAlign w:val="center"/>
            <w:hideMark/>
          </w:tcPr>
          <w:p w14:paraId="26E2F66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0,00%</w:t>
            </w:r>
          </w:p>
        </w:tc>
        <w:tc>
          <w:tcPr>
            <w:tcW w:w="409" w:type="pct"/>
            <w:tcBorders>
              <w:top w:val="nil"/>
              <w:left w:val="single" w:sz="8" w:space="0" w:color="002060"/>
              <w:bottom w:val="single" w:sz="8" w:space="0" w:color="002060"/>
              <w:right w:val="nil"/>
            </w:tcBorders>
            <w:shd w:val="clear" w:color="000000" w:fill="2F75B5"/>
            <w:noWrap/>
            <w:vAlign w:val="center"/>
            <w:hideMark/>
          </w:tcPr>
          <w:p w14:paraId="6C12D09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0,07%</w:t>
            </w:r>
          </w:p>
        </w:tc>
        <w:tc>
          <w:tcPr>
            <w:tcW w:w="353" w:type="pct"/>
            <w:tcBorders>
              <w:top w:val="nil"/>
              <w:left w:val="single" w:sz="8" w:space="0" w:color="002060"/>
              <w:bottom w:val="single" w:sz="8" w:space="0" w:color="002060"/>
              <w:right w:val="nil"/>
            </w:tcBorders>
            <w:shd w:val="clear" w:color="000000" w:fill="2F75B5"/>
            <w:noWrap/>
            <w:vAlign w:val="center"/>
            <w:hideMark/>
          </w:tcPr>
          <w:p w14:paraId="28D8F32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0,62%</w:t>
            </w:r>
          </w:p>
        </w:tc>
        <w:tc>
          <w:tcPr>
            <w:tcW w:w="353" w:type="pct"/>
            <w:tcBorders>
              <w:top w:val="nil"/>
              <w:left w:val="single" w:sz="8" w:space="0" w:color="002060"/>
              <w:bottom w:val="single" w:sz="8" w:space="0" w:color="002060"/>
              <w:right w:val="nil"/>
            </w:tcBorders>
            <w:shd w:val="clear" w:color="auto" w:fill="auto"/>
            <w:noWrap/>
            <w:vAlign w:val="center"/>
            <w:hideMark/>
          </w:tcPr>
          <w:p w14:paraId="25F5890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57965AD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0,09%</w:t>
            </w:r>
          </w:p>
        </w:tc>
      </w:tr>
      <w:tr w:rsidR="007E21BD" w:rsidRPr="007E21BD" w14:paraId="75E634A7"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E17CE5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2545A8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922460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2E5A24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E907EC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385C564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4966043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9BC44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768DE4B9"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3C8C856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3C570C7F"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1B7ED704"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Créditos para fines productivos</w:t>
            </w:r>
          </w:p>
        </w:tc>
        <w:tc>
          <w:tcPr>
            <w:tcW w:w="353" w:type="pct"/>
            <w:tcBorders>
              <w:top w:val="single" w:sz="12" w:space="0" w:color="FFFFFF"/>
              <w:left w:val="nil"/>
              <w:bottom w:val="nil"/>
              <w:right w:val="nil"/>
            </w:tcBorders>
            <w:shd w:val="clear" w:color="000000" w:fill="002060"/>
            <w:noWrap/>
            <w:vAlign w:val="center"/>
            <w:hideMark/>
          </w:tcPr>
          <w:p w14:paraId="6C0B811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14,31%</w:t>
            </w:r>
          </w:p>
        </w:tc>
        <w:tc>
          <w:tcPr>
            <w:tcW w:w="353" w:type="pct"/>
            <w:tcBorders>
              <w:top w:val="nil"/>
              <w:left w:val="single" w:sz="8" w:space="0" w:color="002060"/>
              <w:bottom w:val="single" w:sz="8" w:space="0" w:color="002060"/>
              <w:right w:val="nil"/>
            </w:tcBorders>
            <w:shd w:val="clear" w:color="000000" w:fill="2F75B5"/>
            <w:noWrap/>
            <w:vAlign w:val="center"/>
            <w:hideMark/>
          </w:tcPr>
          <w:p w14:paraId="1064BBA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24,71%</w:t>
            </w:r>
          </w:p>
        </w:tc>
        <w:tc>
          <w:tcPr>
            <w:tcW w:w="353" w:type="pct"/>
            <w:tcBorders>
              <w:top w:val="nil"/>
              <w:left w:val="single" w:sz="8" w:space="0" w:color="002060"/>
              <w:bottom w:val="single" w:sz="8" w:space="0" w:color="002060"/>
              <w:right w:val="nil"/>
            </w:tcBorders>
            <w:shd w:val="clear" w:color="000000" w:fill="2F75B5"/>
            <w:noWrap/>
            <w:vAlign w:val="center"/>
            <w:hideMark/>
          </w:tcPr>
          <w:p w14:paraId="0380D82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2,73%</w:t>
            </w:r>
          </w:p>
        </w:tc>
        <w:tc>
          <w:tcPr>
            <w:tcW w:w="361" w:type="pct"/>
            <w:tcBorders>
              <w:top w:val="nil"/>
              <w:left w:val="single" w:sz="8" w:space="0" w:color="002060"/>
              <w:bottom w:val="single" w:sz="8" w:space="0" w:color="002060"/>
              <w:right w:val="nil"/>
            </w:tcBorders>
            <w:shd w:val="clear" w:color="000000" w:fill="2F75B5"/>
            <w:noWrap/>
            <w:vAlign w:val="center"/>
            <w:hideMark/>
          </w:tcPr>
          <w:p w14:paraId="00F1372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17,38%</w:t>
            </w:r>
          </w:p>
        </w:tc>
        <w:tc>
          <w:tcPr>
            <w:tcW w:w="397" w:type="pct"/>
            <w:tcBorders>
              <w:top w:val="nil"/>
              <w:left w:val="single" w:sz="8" w:space="0" w:color="002060"/>
              <w:bottom w:val="single" w:sz="8" w:space="0" w:color="002060"/>
              <w:right w:val="nil"/>
            </w:tcBorders>
            <w:shd w:val="clear" w:color="000000" w:fill="2F75B5"/>
            <w:noWrap/>
            <w:vAlign w:val="center"/>
            <w:hideMark/>
          </w:tcPr>
          <w:p w14:paraId="40DC69C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13,82%</w:t>
            </w:r>
          </w:p>
        </w:tc>
        <w:tc>
          <w:tcPr>
            <w:tcW w:w="409" w:type="pct"/>
            <w:tcBorders>
              <w:top w:val="nil"/>
              <w:left w:val="single" w:sz="8" w:space="0" w:color="002060"/>
              <w:bottom w:val="single" w:sz="8" w:space="0" w:color="002060"/>
              <w:right w:val="nil"/>
            </w:tcBorders>
            <w:shd w:val="clear" w:color="000000" w:fill="2F75B5"/>
            <w:noWrap/>
            <w:vAlign w:val="center"/>
            <w:hideMark/>
          </w:tcPr>
          <w:p w14:paraId="62D2654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11,54%</w:t>
            </w:r>
          </w:p>
        </w:tc>
        <w:tc>
          <w:tcPr>
            <w:tcW w:w="353" w:type="pct"/>
            <w:tcBorders>
              <w:top w:val="nil"/>
              <w:left w:val="single" w:sz="8" w:space="0" w:color="002060"/>
              <w:bottom w:val="single" w:sz="8" w:space="0" w:color="002060"/>
              <w:right w:val="nil"/>
            </w:tcBorders>
            <w:shd w:val="clear" w:color="000000" w:fill="2F75B5"/>
            <w:noWrap/>
            <w:vAlign w:val="center"/>
            <w:hideMark/>
          </w:tcPr>
          <w:p w14:paraId="3C857C9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9,34%</w:t>
            </w:r>
          </w:p>
        </w:tc>
        <w:tc>
          <w:tcPr>
            <w:tcW w:w="353" w:type="pct"/>
            <w:tcBorders>
              <w:top w:val="nil"/>
              <w:left w:val="single" w:sz="8" w:space="0" w:color="002060"/>
              <w:bottom w:val="single" w:sz="8" w:space="0" w:color="002060"/>
              <w:right w:val="nil"/>
            </w:tcBorders>
            <w:shd w:val="clear" w:color="auto" w:fill="auto"/>
            <w:noWrap/>
            <w:vAlign w:val="center"/>
            <w:hideMark/>
          </w:tcPr>
          <w:p w14:paraId="68096E1E"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4CD256C1"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11,39%</w:t>
            </w:r>
          </w:p>
        </w:tc>
      </w:tr>
      <w:tr w:rsidR="007E21BD" w:rsidRPr="007E21BD" w14:paraId="27C9DD96"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72872A91"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4678F2F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90EA68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2187CD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707A031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13D68CE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28E7A50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9B2B8B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865F12B"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39E1D58A"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2CFDE1DB"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06467DCA"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Acciones para el medio ambiente</w:t>
            </w:r>
          </w:p>
        </w:tc>
        <w:tc>
          <w:tcPr>
            <w:tcW w:w="353" w:type="pct"/>
            <w:tcBorders>
              <w:top w:val="single" w:sz="12" w:space="0" w:color="FFFFFF"/>
              <w:left w:val="nil"/>
              <w:bottom w:val="nil"/>
              <w:right w:val="nil"/>
            </w:tcBorders>
            <w:shd w:val="clear" w:color="000000" w:fill="002060"/>
            <w:noWrap/>
            <w:vAlign w:val="center"/>
            <w:hideMark/>
          </w:tcPr>
          <w:p w14:paraId="59546DF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4,50%</w:t>
            </w:r>
          </w:p>
        </w:tc>
        <w:tc>
          <w:tcPr>
            <w:tcW w:w="353" w:type="pct"/>
            <w:tcBorders>
              <w:top w:val="nil"/>
              <w:left w:val="single" w:sz="8" w:space="0" w:color="002060"/>
              <w:bottom w:val="single" w:sz="8" w:space="0" w:color="002060"/>
              <w:right w:val="nil"/>
            </w:tcBorders>
            <w:shd w:val="clear" w:color="000000" w:fill="2F75B5"/>
            <w:noWrap/>
            <w:vAlign w:val="center"/>
            <w:hideMark/>
          </w:tcPr>
          <w:p w14:paraId="170CB1A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18,54%</w:t>
            </w:r>
          </w:p>
        </w:tc>
        <w:tc>
          <w:tcPr>
            <w:tcW w:w="353" w:type="pct"/>
            <w:tcBorders>
              <w:top w:val="nil"/>
              <w:left w:val="single" w:sz="8" w:space="0" w:color="002060"/>
              <w:bottom w:val="single" w:sz="8" w:space="0" w:color="002060"/>
              <w:right w:val="nil"/>
            </w:tcBorders>
            <w:shd w:val="clear" w:color="000000" w:fill="2F75B5"/>
            <w:noWrap/>
            <w:vAlign w:val="center"/>
            <w:hideMark/>
          </w:tcPr>
          <w:p w14:paraId="5D07D0E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14,55%</w:t>
            </w:r>
          </w:p>
        </w:tc>
        <w:tc>
          <w:tcPr>
            <w:tcW w:w="361" w:type="pct"/>
            <w:tcBorders>
              <w:top w:val="nil"/>
              <w:left w:val="single" w:sz="8" w:space="0" w:color="002060"/>
              <w:bottom w:val="single" w:sz="8" w:space="0" w:color="002060"/>
              <w:right w:val="nil"/>
            </w:tcBorders>
            <w:shd w:val="clear" w:color="000000" w:fill="2F75B5"/>
            <w:noWrap/>
            <w:vAlign w:val="center"/>
            <w:hideMark/>
          </w:tcPr>
          <w:p w14:paraId="0FE5C5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0,20%</w:t>
            </w:r>
          </w:p>
        </w:tc>
        <w:tc>
          <w:tcPr>
            <w:tcW w:w="397" w:type="pct"/>
            <w:tcBorders>
              <w:top w:val="nil"/>
              <w:left w:val="single" w:sz="8" w:space="0" w:color="002060"/>
              <w:bottom w:val="single" w:sz="8" w:space="0" w:color="002060"/>
              <w:right w:val="nil"/>
            </w:tcBorders>
            <w:shd w:val="clear" w:color="000000" w:fill="2F75B5"/>
            <w:noWrap/>
            <w:vAlign w:val="center"/>
            <w:hideMark/>
          </w:tcPr>
          <w:p w14:paraId="7CE0011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1,17%</w:t>
            </w:r>
          </w:p>
        </w:tc>
        <w:tc>
          <w:tcPr>
            <w:tcW w:w="409" w:type="pct"/>
            <w:tcBorders>
              <w:top w:val="nil"/>
              <w:left w:val="single" w:sz="8" w:space="0" w:color="002060"/>
              <w:bottom w:val="single" w:sz="8" w:space="0" w:color="002060"/>
              <w:right w:val="nil"/>
            </w:tcBorders>
            <w:shd w:val="clear" w:color="000000" w:fill="2F75B5"/>
            <w:noWrap/>
            <w:vAlign w:val="center"/>
            <w:hideMark/>
          </w:tcPr>
          <w:p w14:paraId="3896748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6,61%</w:t>
            </w:r>
          </w:p>
        </w:tc>
        <w:tc>
          <w:tcPr>
            <w:tcW w:w="353" w:type="pct"/>
            <w:tcBorders>
              <w:top w:val="nil"/>
              <w:left w:val="single" w:sz="8" w:space="0" w:color="002060"/>
              <w:bottom w:val="single" w:sz="8" w:space="0" w:color="002060"/>
              <w:right w:val="nil"/>
            </w:tcBorders>
            <w:shd w:val="clear" w:color="000000" w:fill="2F75B5"/>
            <w:noWrap/>
            <w:vAlign w:val="center"/>
            <w:hideMark/>
          </w:tcPr>
          <w:p w14:paraId="7F00EF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1,38%</w:t>
            </w:r>
          </w:p>
        </w:tc>
        <w:tc>
          <w:tcPr>
            <w:tcW w:w="353" w:type="pct"/>
            <w:tcBorders>
              <w:top w:val="nil"/>
              <w:left w:val="single" w:sz="8" w:space="0" w:color="002060"/>
              <w:bottom w:val="single" w:sz="8" w:space="0" w:color="002060"/>
              <w:right w:val="nil"/>
            </w:tcBorders>
            <w:shd w:val="clear" w:color="auto" w:fill="auto"/>
            <w:noWrap/>
            <w:vAlign w:val="center"/>
            <w:hideMark/>
          </w:tcPr>
          <w:p w14:paraId="61FA85FE"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62F35B2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46,63%</w:t>
            </w:r>
          </w:p>
        </w:tc>
      </w:tr>
      <w:tr w:rsidR="007E21BD" w:rsidRPr="007E21BD" w14:paraId="622904B5"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22CE68D9"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39921F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04B84E4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DA0D6C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F8696B"/>
            <w:noWrap/>
            <w:vAlign w:val="center"/>
            <w:hideMark/>
          </w:tcPr>
          <w:p w14:paraId="0E5DA03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38D714E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2E489B2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274455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3193DF5C"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10ECA95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18F300D5"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AA683FF"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Promoción proveedores locales</w:t>
            </w:r>
          </w:p>
        </w:tc>
        <w:tc>
          <w:tcPr>
            <w:tcW w:w="353" w:type="pct"/>
            <w:tcBorders>
              <w:top w:val="single" w:sz="12" w:space="0" w:color="FFFFFF"/>
              <w:left w:val="nil"/>
              <w:bottom w:val="nil"/>
              <w:right w:val="nil"/>
            </w:tcBorders>
            <w:shd w:val="clear" w:color="000000" w:fill="002060"/>
            <w:noWrap/>
            <w:vAlign w:val="center"/>
            <w:hideMark/>
          </w:tcPr>
          <w:p w14:paraId="4122AB3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6A0F7E8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88,66%</w:t>
            </w:r>
          </w:p>
        </w:tc>
        <w:tc>
          <w:tcPr>
            <w:tcW w:w="353" w:type="pct"/>
            <w:tcBorders>
              <w:top w:val="nil"/>
              <w:left w:val="single" w:sz="8" w:space="0" w:color="002060"/>
              <w:bottom w:val="single" w:sz="8" w:space="0" w:color="002060"/>
              <w:right w:val="nil"/>
            </w:tcBorders>
            <w:shd w:val="clear" w:color="000000" w:fill="2F75B5"/>
            <w:noWrap/>
            <w:vAlign w:val="center"/>
            <w:hideMark/>
          </w:tcPr>
          <w:p w14:paraId="6F75CC3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61" w:type="pct"/>
            <w:tcBorders>
              <w:top w:val="nil"/>
              <w:left w:val="single" w:sz="8" w:space="0" w:color="002060"/>
              <w:bottom w:val="single" w:sz="8" w:space="0" w:color="002060"/>
              <w:right w:val="nil"/>
            </w:tcBorders>
            <w:shd w:val="clear" w:color="000000" w:fill="2F75B5"/>
            <w:noWrap/>
            <w:vAlign w:val="center"/>
            <w:hideMark/>
          </w:tcPr>
          <w:p w14:paraId="15277B2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97" w:type="pct"/>
            <w:tcBorders>
              <w:top w:val="nil"/>
              <w:left w:val="single" w:sz="8" w:space="0" w:color="002060"/>
              <w:bottom w:val="single" w:sz="8" w:space="0" w:color="002060"/>
              <w:right w:val="nil"/>
            </w:tcBorders>
            <w:shd w:val="clear" w:color="000000" w:fill="2F75B5"/>
            <w:noWrap/>
            <w:vAlign w:val="center"/>
            <w:hideMark/>
          </w:tcPr>
          <w:p w14:paraId="26AB2FE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409" w:type="pct"/>
            <w:tcBorders>
              <w:top w:val="nil"/>
              <w:left w:val="single" w:sz="8" w:space="0" w:color="002060"/>
              <w:bottom w:val="single" w:sz="8" w:space="0" w:color="002060"/>
              <w:right w:val="nil"/>
            </w:tcBorders>
            <w:shd w:val="clear" w:color="000000" w:fill="2F75B5"/>
            <w:noWrap/>
            <w:vAlign w:val="center"/>
            <w:hideMark/>
          </w:tcPr>
          <w:p w14:paraId="10596A0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000000" w:fill="2F75B5"/>
            <w:noWrap/>
            <w:vAlign w:val="center"/>
            <w:hideMark/>
          </w:tcPr>
          <w:p w14:paraId="5144DEA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c>
          <w:tcPr>
            <w:tcW w:w="353" w:type="pct"/>
            <w:tcBorders>
              <w:top w:val="nil"/>
              <w:left w:val="single" w:sz="8" w:space="0" w:color="002060"/>
              <w:bottom w:val="single" w:sz="8" w:space="0" w:color="002060"/>
              <w:right w:val="nil"/>
            </w:tcBorders>
            <w:shd w:val="clear" w:color="auto" w:fill="auto"/>
            <w:noWrap/>
            <w:vAlign w:val="center"/>
            <w:hideMark/>
          </w:tcPr>
          <w:p w14:paraId="5A1EF6F9"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73,47%</w:t>
            </w:r>
          </w:p>
        </w:tc>
        <w:tc>
          <w:tcPr>
            <w:tcW w:w="352" w:type="pct"/>
            <w:tcBorders>
              <w:top w:val="nil"/>
              <w:left w:val="single" w:sz="8" w:space="0" w:color="002060"/>
              <w:bottom w:val="single" w:sz="8" w:space="0" w:color="002060"/>
              <w:right w:val="nil"/>
            </w:tcBorders>
            <w:shd w:val="clear" w:color="000000" w:fill="2F75B5"/>
            <w:noWrap/>
            <w:vAlign w:val="center"/>
            <w:hideMark/>
          </w:tcPr>
          <w:p w14:paraId="70F598C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100,00%</w:t>
            </w:r>
          </w:p>
        </w:tc>
      </w:tr>
      <w:tr w:rsidR="007E21BD" w:rsidRPr="007E21BD" w14:paraId="32B3CF4A"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3D73ACA4"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9B2F17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0E511B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6EE5132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61" w:type="pct"/>
            <w:tcBorders>
              <w:top w:val="single" w:sz="8" w:space="0" w:color="002060"/>
              <w:left w:val="nil"/>
              <w:bottom w:val="single" w:sz="8" w:space="0" w:color="002060"/>
              <w:right w:val="single" w:sz="8" w:space="0" w:color="002060"/>
            </w:tcBorders>
            <w:shd w:val="clear" w:color="000000" w:fill="F8E984"/>
            <w:noWrap/>
            <w:vAlign w:val="center"/>
            <w:hideMark/>
          </w:tcPr>
          <w:p w14:paraId="651DE86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97" w:type="pct"/>
            <w:tcBorders>
              <w:top w:val="single" w:sz="8" w:space="0" w:color="002060"/>
              <w:left w:val="nil"/>
              <w:bottom w:val="single" w:sz="8" w:space="0" w:color="002060"/>
              <w:right w:val="single" w:sz="8" w:space="0" w:color="002060"/>
            </w:tcBorders>
            <w:shd w:val="clear" w:color="000000" w:fill="F8E984"/>
            <w:noWrap/>
            <w:vAlign w:val="center"/>
            <w:hideMark/>
          </w:tcPr>
          <w:p w14:paraId="4768FC2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409" w:type="pct"/>
            <w:tcBorders>
              <w:top w:val="single" w:sz="8" w:space="0" w:color="002060"/>
              <w:left w:val="nil"/>
              <w:bottom w:val="single" w:sz="8" w:space="0" w:color="002060"/>
              <w:right w:val="single" w:sz="8" w:space="0" w:color="002060"/>
            </w:tcBorders>
            <w:shd w:val="clear" w:color="000000" w:fill="F8E984"/>
            <w:noWrap/>
            <w:vAlign w:val="center"/>
            <w:hideMark/>
          </w:tcPr>
          <w:p w14:paraId="219E240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E984"/>
            <w:noWrap/>
            <w:vAlign w:val="center"/>
            <w:hideMark/>
          </w:tcPr>
          <w:p w14:paraId="4AD8314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2E72E62"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E984"/>
            <w:noWrap/>
            <w:vAlign w:val="center"/>
            <w:hideMark/>
          </w:tcPr>
          <w:p w14:paraId="59EB4B4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40</w:t>
            </w:r>
          </w:p>
        </w:tc>
      </w:tr>
      <w:tr w:rsidR="007E21BD" w:rsidRPr="007E21BD" w14:paraId="45FD8594" w14:textId="77777777" w:rsidTr="00975F7F">
        <w:trPr>
          <w:trHeight w:val="113"/>
        </w:trPr>
        <w:tc>
          <w:tcPr>
            <w:tcW w:w="1716" w:type="pct"/>
            <w:tcBorders>
              <w:top w:val="nil"/>
              <w:left w:val="nil"/>
              <w:bottom w:val="nil"/>
              <w:right w:val="nil"/>
            </w:tcBorders>
            <w:shd w:val="clear" w:color="000000" w:fill="002060"/>
            <w:vAlign w:val="center"/>
            <w:hideMark/>
          </w:tcPr>
          <w:p w14:paraId="3724245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Principio 7 - Integración con otras organizaciones del sector</w:t>
            </w:r>
          </w:p>
        </w:tc>
        <w:tc>
          <w:tcPr>
            <w:tcW w:w="353" w:type="pct"/>
            <w:tcBorders>
              <w:top w:val="nil"/>
              <w:left w:val="nil"/>
              <w:bottom w:val="nil"/>
              <w:right w:val="nil"/>
            </w:tcBorders>
            <w:shd w:val="clear" w:color="auto" w:fill="auto"/>
            <w:noWrap/>
            <w:vAlign w:val="center"/>
            <w:hideMark/>
          </w:tcPr>
          <w:p w14:paraId="009240D9" w14:textId="77777777" w:rsidR="007E21BD" w:rsidRPr="007E21BD" w:rsidRDefault="007E21BD" w:rsidP="00DA4A09">
            <w:pPr>
              <w:jc w:val="center"/>
              <w:rPr>
                <w:rFonts w:ascii="Arial Narrow" w:hAnsi="Arial Narrow" w:cs="Calibri"/>
                <w:color w:val="FFFFFF"/>
                <w:sz w:val="16"/>
                <w:szCs w:val="16"/>
                <w:lang w:val="es-CO" w:eastAsia="es-CO"/>
              </w:rPr>
            </w:pPr>
          </w:p>
        </w:tc>
        <w:tc>
          <w:tcPr>
            <w:tcW w:w="353" w:type="pct"/>
            <w:tcBorders>
              <w:top w:val="single" w:sz="8" w:space="0" w:color="FFFFFF"/>
              <w:left w:val="nil"/>
              <w:bottom w:val="single" w:sz="8" w:space="0" w:color="FFFFFF"/>
              <w:right w:val="nil"/>
            </w:tcBorders>
            <w:shd w:val="clear" w:color="000000" w:fill="002060"/>
            <w:noWrap/>
            <w:vAlign w:val="center"/>
            <w:hideMark/>
          </w:tcPr>
          <w:p w14:paraId="05CE7D42"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0%</w:t>
            </w:r>
          </w:p>
        </w:tc>
        <w:tc>
          <w:tcPr>
            <w:tcW w:w="353" w:type="pct"/>
            <w:tcBorders>
              <w:top w:val="single" w:sz="8" w:space="0" w:color="FFFFFF"/>
              <w:left w:val="nil"/>
              <w:bottom w:val="single" w:sz="8" w:space="0" w:color="FFFFFF"/>
              <w:right w:val="nil"/>
            </w:tcBorders>
            <w:shd w:val="clear" w:color="000000" w:fill="002060"/>
            <w:noWrap/>
            <w:vAlign w:val="center"/>
            <w:hideMark/>
          </w:tcPr>
          <w:p w14:paraId="5DA7F7D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361" w:type="pct"/>
            <w:tcBorders>
              <w:top w:val="single" w:sz="8" w:space="0" w:color="FFFFFF"/>
              <w:left w:val="nil"/>
              <w:bottom w:val="single" w:sz="8" w:space="0" w:color="FFFFFF"/>
              <w:right w:val="nil"/>
            </w:tcBorders>
            <w:shd w:val="clear" w:color="000000" w:fill="002060"/>
            <w:noWrap/>
            <w:vAlign w:val="center"/>
            <w:hideMark/>
          </w:tcPr>
          <w:p w14:paraId="0FDBAE2F"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100%</w:t>
            </w:r>
          </w:p>
        </w:tc>
        <w:tc>
          <w:tcPr>
            <w:tcW w:w="397" w:type="pct"/>
            <w:tcBorders>
              <w:top w:val="single" w:sz="8" w:space="0" w:color="FFFFFF"/>
              <w:left w:val="nil"/>
              <w:bottom w:val="single" w:sz="8" w:space="0" w:color="FFFFFF"/>
              <w:right w:val="nil"/>
            </w:tcBorders>
            <w:shd w:val="clear" w:color="000000" w:fill="002060"/>
            <w:noWrap/>
            <w:vAlign w:val="center"/>
            <w:hideMark/>
          </w:tcPr>
          <w:p w14:paraId="79B608B4"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75%</w:t>
            </w:r>
          </w:p>
        </w:tc>
        <w:tc>
          <w:tcPr>
            <w:tcW w:w="409" w:type="pct"/>
            <w:tcBorders>
              <w:top w:val="single" w:sz="8" w:space="0" w:color="FFFFFF"/>
              <w:left w:val="nil"/>
              <w:bottom w:val="single" w:sz="8" w:space="0" w:color="FFFFFF"/>
              <w:right w:val="nil"/>
            </w:tcBorders>
            <w:shd w:val="clear" w:color="000000" w:fill="002060"/>
            <w:noWrap/>
            <w:vAlign w:val="center"/>
            <w:hideMark/>
          </w:tcPr>
          <w:p w14:paraId="5778D41B"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50%</w:t>
            </w:r>
          </w:p>
        </w:tc>
        <w:tc>
          <w:tcPr>
            <w:tcW w:w="353" w:type="pct"/>
            <w:tcBorders>
              <w:top w:val="single" w:sz="8" w:space="0" w:color="FFFFFF"/>
              <w:left w:val="nil"/>
              <w:bottom w:val="single" w:sz="8" w:space="0" w:color="FFFFFF"/>
              <w:right w:val="nil"/>
            </w:tcBorders>
            <w:shd w:val="clear" w:color="000000" w:fill="002060"/>
            <w:noWrap/>
            <w:vAlign w:val="center"/>
            <w:hideMark/>
          </w:tcPr>
          <w:p w14:paraId="516DED3E"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100%</w:t>
            </w:r>
          </w:p>
        </w:tc>
        <w:tc>
          <w:tcPr>
            <w:tcW w:w="353" w:type="pct"/>
            <w:tcBorders>
              <w:top w:val="nil"/>
              <w:left w:val="nil"/>
              <w:bottom w:val="nil"/>
              <w:right w:val="nil"/>
            </w:tcBorders>
            <w:shd w:val="clear" w:color="000000" w:fill="002060"/>
            <w:noWrap/>
            <w:vAlign w:val="center"/>
            <w:hideMark/>
          </w:tcPr>
          <w:p w14:paraId="013350C6"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25%</w:t>
            </w:r>
          </w:p>
        </w:tc>
        <w:tc>
          <w:tcPr>
            <w:tcW w:w="352" w:type="pct"/>
            <w:tcBorders>
              <w:top w:val="single" w:sz="8" w:space="0" w:color="FFFFFF"/>
              <w:left w:val="nil"/>
              <w:bottom w:val="single" w:sz="8" w:space="0" w:color="FFFFFF"/>
              <w:right w:val="nil"/>
            </w:tcBorders>
            <w:shd w:val="clear" w:color="000000" w:fill="002060"/>
            <w:noWrap/>
            <w:vAlign w:val="center"/>
            <w:hideMark/>
          </w:tcPr>
          <w:p w14:paraId="28AE68F7" w14:textId="77777777" w:rsidR="007E21BD" w:rsidRPr="007E21BD" w:rsidRDefault="007E21BD" w:rsidP="00DA4A09">
            <w:pPr>
              <w:jc w:val="right"/>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75%</w:t>
            </w:r>
          </w:p>
        </w:tc>
      </w:tr>
      <w:tr w:rsidR="007E21BD" w:rsidRPr="007E21BD" w14:paraId="5329DFB0" w14:textId="77777777" w:rsidTr="00975F7F">
        <w:trPr>
          <w:trHeight w:val="113"/>
        </w:trPr>
        <w:tc>
          <w:tcPr>
            <w:tcW w:w="1716" w:type="pct"/>
            <w:tcBorders>
              <w:top w:val="single" w:sz="12" w:space="0" w:color="FFFFFF"/>
              <w:left w:val="single" w:sz="12" w:space="0" w:color="FFFFFF"/>
              <w:bottom w:val="nil"/>
              <w:right w:val="single" w:sz="12" w:space="0" w:color="FFFFFF"/>
            </w:tcBorders>
            <w:shd w:val="clear" w:color="000000" w:fill="00B0F0"/>
            <w:vAlign w:val="center"/>
            <w:hideMark/>
          </w:tcPr>
          <w:p w14:paraId="29FA4670"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Fondeo tomado del sector solidario</w:t>
            </w:r>
          </w:p>
        </w:tc>
        <w:tc>
          <w:tcPr>
            <w:tcW w:w="353" w:type="pct"/>
            <w:tcBorders>
              <w:top w:val="single" w:sz="12" w:space="0" w:color="FFFFFF"/>
              <w:left w:val="nil"/>
              <w:bottom w:val="nil"/>
              <w:right w:val="nil"/>
            </w:tcBorders>
            <w:shd w:val="clear" w:color="000000" w:fill="002060"/>
            <w:noWrap/>
            <w:vAlign w:val="center"/>
            <w:hideMark/>
          </w:tcPr>
          <w:p w14:paraId="016CF36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24,60%</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4BC1AF0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0,02%</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60644A6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0,00%</w:t>
            </w:r>
          </w:p>
        </w:tc>
        <w:tc>
          <w:tcPr>
            <w:tcW w:w="361" w:type="pct"/>
            <w:tcBorders>
              <w:top w:val="single" w:sz="8" w:space="0" w:color="002060"/>
              <w:left w:val="single" w:sz="8" w:space="0" w:color="002060"/>
              <w:bottom w:val="single" w:sz="8" w:space="0" w:color="002060"/>
              <w:right w:val="nil"/>
            </w:tcBorders>
            <w:shd w:val="clear" w:color="000000" w:fill="2F75B5"/>
            <w:noWrap/>
            <w:vAlign w:val="center"/>
            <w:hideMark/>
          </w:tcPr>
          <w:p w14:paraId="028732D4"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24,67%</w:t>
            </w:r>
          </w:p>
        </w:tc>
        <w:tc>
          <w:tcPr>
            <w:tcW w:w="397" w:type="pct"/>
            <w:tcBorders>
              <w:top w:val="single" w:sz="8" w:space="0" w:color="002060"/>
              <w:left w:val="single" w:sz="8" w:space="0" w:color="002060"/>
              <w:bottom w:val="single" w:sz="8" w:space="0" w:color="002060"/>
              <w:right w:val="nil"/>
            </w:tcBorders>
            <w:shd w:val="clear" w:color="000000" w:fill="2F75B5"/>
            <w:noWrap/>
            <w:vAlign w:val="center"/>
            <w:hideMark/>
          </w:tcPr>
          <w:p w14:paraId="17B5A79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34,31%</w:t>
            </w:r>
          </w:p>
        </w:tc>
        <w:tc>
          <w:tcPr>
            <w:tcW w:w="409" w:type="pct"/>
            <w:tcBorders>
              <w:top w:val="single" w:sz="8" w:space="0" w:color="002060"/>
              <w:left w:val="single" w:sz="8" w:space="0" w:color="002060"/>
              <w:bottom w:val="single" w:sz="8" w:space="0" w:color="002060"/>
              <w:right w:val="nil"/>
            </w:tcBorders>
            <w:shd w:val="clear" w:color="000000" w:fill="2F75B5"/>
            <w:noWrap/>
            <w:vAlign w:val="center"/>
            <w:hideMark/>
          </w:tcPr>
          <w:p w14:paraId="2EEB04A8"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50,51%</w:t>
            </w:r>
          </w:p>
        </w:tc>
        <w:tc>
          <w:tcPr>
            <w:tcW w:w="353" w:type="pct"/>
            <w:tcBorders>
              <w:top w:val="single" w:sz="8" w:space="0" w:color="002060"/>
              <w:left w:val="single" w:sz="8" w:space="0" w:color="002060"/>
              <w:bottom w:val="single" w:sz="8" w:space="0" w:color="002060"/>
              <w:right w:val="nil"/>
            </w:tcBorders>
            <w:shd w:val="clear" w:color="000000" w:fill="2F75B5"/>
            <w:noWrap/>
            <w:vAlign w:val="center"/>
            <w:hideMark/>
          </w:tcPr>
          <w:p w14:paraId="091E5F6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74,45%</w:t>
            </w:r>
          </w:p>
        </w:tc>
        <w:tc>
          <w:tcPr>
            <w:tcW w:w="353" w:type="pct"/>
            <w:tcBorders>
              <w:top w:val="single" w:sz="8" w:space="0" w:color="002060"/>
              <w:left w:val="single" w:sz="8" w:space="0" w:color="002060"/>
              <w:bottom w:val="single" w:sz="8" w:space="0" w:color="002060"/>
              <w:right w:val="nil"/>
            </w:tcBorders>
            <w:shd w:val="clear" w:color="auto" w:fill="auto"/>
            <w:noWrap/>
            <w:vAlign w:val="center"/>
            <w:hideMark/>
          </w:tcPr>
          <w:p w14:paraId="6D3D9E25"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single" w:sz="8" w:space="0" w:color="002060"/>
              <w:left w:val="single" w:sz="8" w:space="0" w:color="002060"/>
              <w:bottom w:val="single" w:sz="8" w:space="0" w:color="002060"/>
              <w:right w:val="nil"/>
            </w:tcBorders>
            <w:shd w:val="clear" w:color="000000" w:fill="2F75B5"/>
            <w:noWrap/>
            <w:vAlign w:val="center"/>
            <w:hideMark/>
          </w:tcPr>
          <w:p w14:paraId="6FE8DB1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70,97%</w:t>
            </w:r>
          </w:p>
        </w:tc>
      </w:tr>
      <w:tr w:rsidR="007E21BD" w:rsidRPr="007E21BD" w14:paraId="41FE7F9F"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08775728"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6557427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F9CC9A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CF02AD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44A9200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273F5C4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44C4DE0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4F8757A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63ADE6A"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6B73513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240E04B7"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B72C0DD"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Inversiones con el sector solidario</w:t>
            </w:r>
          </w:p>
        </w:tc>
        <w:tc>
          <w:tcPr>
            <w:tcW w:w="353" w:type="pct"/>
            <w:tcBorders>
              <w:top w:val="single" w:sz="12" w:space="0" w:color="FFFFFF"/>
              <w:left w:val="nil"/>
              <w:bottom w:val="nil"/>
              <w:right w:val="nil"/>
            </w:tcBorders>
            <w:shd w:val="clear" w:color="000000" w:fill="002060"/>
            <w:noWrap/>
            <w:vAlign w:val="center"/>
            <w:hideMark/>
          </w:tcPr>
          <w:p w14:paraId="5C5DD0C6"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29,12%</w:t>
            </w:r>
          </w:p>
        </w:tc>
        <w:tc>
          <w:tcPr>
            <w:tcW w:w="353" w:type="pct"/>
            <w:tcBorders>
              <w:top w:val="nil"/>
              <w:left w:val="single" w:sz="8" w:space="0" w:color="002060"/>
              <w:bottom w:val="single" w:sz="8" w:space="0" w:color="002060"/>
              <w:right w:val="nil"/>
            </w:tcBorders>
            <w:shd w:val="clear" w:color="000000" w:fill="2F75B5"/>
            <w:noWrap/>
            <w:vAlign w:val="center"/>
            <w:hideMark/>
          </w:tcPr>
          <w:p w14:paraId="161F2AC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13,18%</w:t>
            </w:r>
          </w:p>
        </w:tc>
        <w:tc>
          <w:tcPr>
            <w:tcW w:w="353" w:type="pct"/>
            <w:tcBorders>
              <w:top w:val="nil"/>
              <w:left w:val="single" w:sz="8" w:space="0" w:color="002060"/>
              <w:bottom w:val="single" w:sz="8" w:space="0" w:color="002060"/>
              <w:right w:val="nil"/>
            </w:tcBorders>
            <w:shd w:val="clear" w:color="000000" w:fill="2F75B5"/>
            <w:noWrap/>
            <w:vAlign w:val="center"/>
            <w:hideMark/>
          </w:tcPr>
          <w:p w14:paraId="44B7D407"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20,61%</w:t>
            </w:r>
          </w:p>
        </w:tc>
        <w:tc>
          <w:tcPr>
            <w:tcW w:w="361" w:type="pct"/>
            <w:tcBorders>
              <w:top w:val="nil"/>
              <w:left w:val="single" w:sz="8" w:space="0" w:color="002060"/>
              <w:bottom w:val="single" w:sz="8" w:space="0" w:color="002060"/>
              <w:right w:val="nil"/>
            </w:tcBorders>
            <w:shd w:val="clear" w:color="000000" w:fill="2F75B5"/>
            <w:noWrap/>
            <w:vAlign w:val="center"/>
            <w:hideMark/>
          </w:tcPr>
          <w:p w14:paraId="5B4DE6E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45,58%</w:t>
            </w:r>
          </w:p>
        </w:tc>
        <w:tc>
          <w:tcPr>
            <w:tcW w:w="397" w:type="pct"/>
            <w:tcBorders>
              <w:top w:val="nil"/>
              <w:left w:val="single" w:sz="8" w:space="0" w:color="002060"/>
              <w:bottom w:val="single" w:sz="8" w:space="0" w:color="002060"/>
              <w:right w:val="nil"/>
            </w:tcBorders>
            <w:shd w:val="clear" w:color="000000" w:fill="2F75B5"/>
            <w:noWrap/>
            <w:vAlign w:val="center"/>
            <w:hideMark/>
          </w:tcPr>
          <w:p w14:paraId="56A1493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42,42%</w:t>
            </w:r>
          </w:p>
        </w:tc>
        <w:tc>
          <w:tcPr>
            <w:tcW w:w="409" w:type="pct"/>
            <w:tcBorders>
              <w:top w:val="nil"/>
              <w:left w:val="single" w:sz="8" w:space="0" w:color="002060"/>
              <w:bottom w:val="single" w:sz="8" w:space="0" w:color="002060"/>
              <w:right w:val="nil"/>
            </w:tcBorders>
            <w:shd w:val="clear" w:color="000000" w:fill="2F75B5"/>
            <w:noWrap/>
            <w:vAlign w:val="center"/>
            <w:hideMark/>
          </w:tcPr>
          <w:p w14:paraId="0482E6D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32,86%</w:t>
            </w:r>
          </w:p>
        </w:tc>
        <w:tc>
          <w:tcPr>
            <w:tcW w:w="353" w:type="pct"/>
            <w:tcBorders>
              <w:top w:val="nil"/>
              <w:left w:val="single" w:sz="8" w:space="0" w:color="002060"/>
              <w:bottom w:val="single" w:sz="8" w:space="0" w:color="002060"/>
              <w:right w:val="nil"/>
            </w:tcBorders>
            <w:shd w:val="clear" w:color="000000" w:fill="2F75B5"/>
            <w:noWrap/>
            <w:vAlign w:val="center"/>
            <w:hideMark/>
          </w:tcPr>
          <w:p w14:paraId="2CDEF630"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34,29%</w:t>
            </w:r>
          </w:p>
        </w:tc>
        <w:tc>
          <w:tcPr>
            <w:tcW w:w="353" w:type="pct"/>
            <w:tcBorders>
              <w:top w:val="nil"/>
              <w:left w:val="single" w:sz="8" w:space="0" w:color="002060"/>
              <w:bottom w:val="single" w:sz="8" w:space="0" w:color="002060"/>
              <w:right w:val="nil"/>
            </w:tcBorders>
            <w:shd w:val="clear" w:color="auto" w:fill="auto"/>
            <w:noWrap/>
            <w:vAlign w:val="center"/>
            <w:hideMark/>
          </w:tcPr>
          <w:p w14:paraId="009763BC"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3,82%</w:t>
            </w:r>
          </w:p>
        </w:tc>
        <w:tc>
          <w:tcPr>
            <w:tcW w:w="352" w:type="pct"/>
            <w:tcBorders>
              <w:top w:val="nil"/>
              <w:left w:val="single" w:sz="8" w:space="0" w:color="002060"/>
              <w:bottom w:val="single" w:sz="8" w:space="0" w:color="002060"/>
              <w:right w:val="nil"/>
            </w:tcBorders>
            <w:shd w:val="clear" w:color="000000" w:fill="2F75B5"/>
            <w:noWrap/>
            <w:vAlign w:val="center"/>
            <w:hideMark/>
          </w:tcPr>
          <w:p w14:paraId="4AD9E40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20,54%</w:t>
            </w:r>
          </w:p>
        </w:tc>
      </w:tr>
      <w:tr w:rsidR="007E21BD" w:rsidRPr="007E21BD" w14:paraId="4E598663"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8D79E72"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12E65D93"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2AA081E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6AA563C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5F17460"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7B0A71B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63BE7B"/>
            <w:noWrap/>
            <w:vAlign w:val="center"/>
            <w:hideMark/>
          </w:tcPr>
          <w:p w14:paraId="5AB9A0C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1E5A7CD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10731514"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F8696B"/>
            <w:noWrap/>
            <w:vAlign w:val="center"/>
            <w:hideMark/>
          </w:tcPr>
          <w:p w14:paraId="29FC47C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r>
      <w:tr w:rsidR="007E21BD" w:rsidRPr="007E21BD" w14:paraId="6794C5FC"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5B85648C"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Contribuciones voluntarias para el sector solidario</w:t>
            </w:r>
          </w:p>
        </w:tc>
        <w:tc>
          <w:tcPr>
            <w:tcW w:w="353" w:type="pct"/>
            <w:tcBorders>
              <w:top w:val="single" w:sz="12" w:space="0" w:color="FFFFFF"/>
              <w:left w:val="nil"/>
              <w:bottom w:val="nil"/>
              <w:right w:val="nil"/>
            </w:tcBorders>
            <w:shd w:val="clear" w:color="000000" w:fill="002060"/>
            <w:noWrap/>
            <w:vAlign w:val="center"/>
            <w:hideMark/>
          </w:tcPr>
          <w:p w14:paraId="276F2DD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2,11%</w:t>
            </w:r>
          </w:p>
        </w:tc>
        <w:tc>
          <w:tcPr>
            <w:tcW w:w="353" w:type="pct"/>
            <w:tcBorders>
              <w:top w:val="nil"/>
              <w:left w:val="single" w:sz="8" w:space="0" w:color="002060"/>
              <w:bottom w:val="single" w:sz="8" w:space="0" w:color="002060"/>
              <w:right w:val="nil"/>
            </w:tcBorders>
            <w:shd w:val="clear" w:color="000000" w:fill="2F75B5"/>
            <w:noWrap/>
            <w:vAlign w:val="center"/>
            <w:hideMark/>
          </w:tcPr>
          <w:p w14:paraId="6F3F83C6"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1,16%</w:t>
            </w:r>
          </w:p>
        </w:tc>
        <w:tc>
          <w:tcPr>
            <w:tcW w:w="353" w:type="pct"/>
            <w:tcBorders>
              <w:top w:val="nil"/>
              <w:left w:val="single" w:sz="8" w:space="0" w:color="002060"/>
              <w:bottom w:val="single" w:sz="8" w:space="0" w:color="002060"/>
              <w:right w:val="nil"/>
            </w:tcBorders>
            <w:shd w:val="clear" w:color="000000" w:fill="2F75B5"/>
            <w:noWrap/>
            <w:vAlign w:val="center"/>
            <w:hideMark/>
          </w:tcPr>
          <w:p w14:paraId="72AF32DF"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2,59%</w:t>
            </w:r>
          </w:p>
        </w:tc>
        <w:tc>
          <w:tcPr>
            <w:tcW w:w="361" w:type="pct"/>
            <w:tcBorders>
              <w:top w:val="nil"/>
              <w:left w:val="single" w:sz="8" w:space="0" w:color="002060"/>
              <w:bottom w:val="single" w:sz="8" w:space="0" w:color="002060"/>
              <w:right w:val="nil"/>
            </w:tcBorders>
            <w:shd w:val="clear" w:color="000000" w:fill="2F75B5"/>
            <w:noWrap/>
            <w:vAlign w:val="center"/>
            <w:hideMark/>
          </w:tcPr>
          <w:p w14:paraId="463F7D3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2,31%</w:t>
            </w:r>
          </w:p>
        </w:tc>
        <w:tc>
          <w:tcPr>
            <w:tcW w:w="397" w:type="pct"/>
            <w:tcBorders>
              <w:top w:val="nil"/>
              <w:left w:val="single" w:sz="8" w:space="0" w:color="002060"/>
              <w:bottom w:val="single" w:sz="8" w:space="0" w:color="002060"/>
              <w:right w:val="nil"/>
            </w:tcBorders>
            <w:shd w:val="clear" w:color="000000" w:fill="2F75B5"/>
            <w:noWrap/>
            <w:vAlign w:val="center"/>
            <w:hideMark/>
          </w:tcPr>
          <w:p w14:paraId="0CB45A1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2,39%</w:t>
            </w:r>
          </w:p>
        </w:tc>
        <w:tc>
          <w:tcPr>
            <w:tcW w:w="409" w:type="pct"/>
            <w:tcBorders>
              <w:top w:val="nil"/>
              <w:left w:val="single" w:sz="8" w:space="0" w:color="002060"/>
              <w:bottom w:val="single" w:sz="8" w:space="0" w:color="002060"/>
              <w:right w:val="nil"/>
            </w:tcBorders>
            <w:shd w:val="clear" w:color="000000" w:fill="2F75B5"/>
            <w:noWrap/>
            <w:vAlign w:val="center"/>
            <w:hideMark/>
          </w:tcPr>
          <w:p w14:paraId="7DF1D2E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1,23%</w:t>
            </w:r>
          </w:p>
        </w:tc>
        <w:tc>
          <w:tcPr>
            <w:tcW w:w="353" w:type="pct"/>
            <w:tcBorders>
              <w:top w:val="nil"/>
              <w:left w:val="single" w:sz="8" w:space="0" w:color="002060"/>
              <w:bottom w:val="single" w:sz="8" w:space="0" w:color="002060"/>
              <w:right w:val="nil"/>
            </w:tcBorders>
            <w:shd w:val="clear" w:color="000000" w:fill="2F75B5"/>
            <w:noWrap/>
            <w:vAlign w:val="center"/>
            <w:hideMark/>
          </w:tcPr>
          <w:p w14:paraId="413546A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2,71%</w:t>
            </w:r>
          </w:p>
        </w:tc>
        <w:tc>
          <w:tcPr>
            <w:tcW w:w="353" w:type="pct"/>
            <w:tcBorders>
              <w:top w:val="nil"/>
              <w:left w:val="single" w:sz="8" w:space="0" w:color="002060"/>
              <w:bottom w:val="single" w:sz="8" w:space="0" w:color="002060"/>
              <w:right w:val="nil"/>
            </w:tcBorders>
            <w:shd w:val="clear" w:color="auto" w:fill="auto"/>
            <w:noWrap/>
            <w:vAlign w:val="center"/>
            <w:hideMark/>
          </w:tcPr>
          <w:p w14:paraId="33E55BCD"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3,85%</w:t>
            </w:r>
          </w:p>
        </w:tc>
        <w:tc>
          <w:tcPr>
            <w:tcW w:w="352" w:type="pct"/>
            <w:tcBorders>
              <w:top w:val="nil"/>
              <w:left w:val="single" w:sz="8" w:space="0" w:color="002060"/>
              <w:bottom w:val="single" w:sz="8" w:space="0" w:color="002060"/>
              <w:right w:val="nil"/>
            </w:tcBorders>
            <w:shd w:val="clear" w:color="000000" w:fill="2F75B5"/>
            <w:noWrap/>
            <w:vAlign w:val="center"/>
            <w:hideMark/>
          </w:tcPr>
          <w:p w14:paraId="00FF921B"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4,64%</w:t>
            </w:r>
          </w:p>
        </w:tc>
      </w:tr>
      <w:tr w:rsidR="007E21BD" w:rsidRPr="007E21BD" w14:paraId="700EAD79"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517C4CE2"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289E547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D1B355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77D94754"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659258B9"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63BE7B"/>
            <w:noWrap/>
            <w:vAlign w:val="center"/>
            <w:hideMark/>
          </w:tcPr>
          <w:p w14:paraId="3A62B11C"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77315B55"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B89B5C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2D0E79EB"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60</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1F67E6D1"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r w:rsidR="007E21BD" w:rsidRPr="007E21BD" w14:paraId="4D440C65" w14:textId="77777777" w:rsidTr="00975F7F">
        <w:trPr>
          <w:trHeight w:val="113"/>
        </w:trPr>
        <w:tc>
          <w:tcPr>
            <w:tcW w:w="1716" w:type="pct"/>
            <w:tcBorders>
              <w:top w:val="nil"/>
              <w:left w:val="single" w:sz="12" w:space="0" w:color="FFFFFF"/>
              <w:bottom w:val="nil"/>
              <w:right w:val="single" w:sz="12" w:space="0" w:color="FFFFFF"/>
            </w:tcBorders>
            <w:shd w:val="clear" w:color="000000" w:fill="00B0F0"/>
            <w:vAlign w:val="center"/>
            <w:hideMark/>
          </w:tcPr>
          <w:p w14:paraId="7E21FB15"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Economías de escala generadas</w:t>
            </w:r>
          </w:p>
        </w:tc>
        <w:tc>
          <w:tcPr>
            <w:tcW w:w="353" w:type="pct"/>
            <w:tcBorders>
              <w:top w:val="single" w:sz="12" w:space="0" w:color="FFFFFF"/>
              <w:left w:val="nil"/>
              <w:bottom w:val="nil"/>
              <w:right w:val="nil"/>
            </w:tcBorders>
            <w:shd w:val="clear" w:color="000000" w:fill="002060"/>
            <w:noWrap/>
            <w:vAlign w:val="center"/>
            <w:hideMark/>
          </w:tcPr>
          <w:p w14:paraId="78AA45D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52,42%</w:t>
            </w:r>
          </w:p>
        </w:tc>
        <w:tc>
          <w:tcPr>
            <w:tcW w:w="353" w:type="pct"/>
            <w:tcBorders>
              <w:top w:val="nil"/>
              <w:left w:val="single" w:sz="8" w:space="0" w:color="002060"/>
              <w:bottom w:val="single" w:sz="8" w:space="0" w:color="002060"/>
              <w:right w:val="nil"/>
            </w:tcBorders>
            <w:shd w:val="clear" w:color="000000" w:fill="2F75B5"/>
            <w:noWrap/>
            <w:vAlign w:val="center"/>
            <w:hideMark/>
          </w:tcPr>
          <w:p w14:paraId="37465AF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0,00%</w:t>
            </w:r>
          </w:p>
        </w:tc>
        <w:tc>
          <w:tcPr>
            <w:tcW w:w="353" w:type="pct"/>
            <w:tcBorders>
              <w:top w:val="nil"/>
              <w:left w:val="single" w:sz="8" w:space="0" w:color="002060"/>
              <w:bottom w:val="single" w:sz="8" w:space="0" w:color="002060"/>
              <w:right w:val="nil"/>
            </w:tcBorders>
            <w:shd w:val="clear" w:color="000000" w:fill="2F75B5"/>
            <w:noWrap/>
            <w:vAlign w:val="center"/>
            <w:hideMark/>
          </w:tcPr>
          <w:p w14:paraId="211D8EED"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72,73%</w:t>
            </w:r>
          </w:p>
        </w:tc>
        <w:tc>
          <w:tcPr>
            <w:tcW w:w="361" w:type="pct"/>
            <w:tcBorders>
              <w:top w:val="nil"/>
              <w:left w:val="single" w:sz="8" w:space="0" w:color="002060"/>
              <w:bottom w:val="single" w:sz="8" w:space="0" w:color="002060"/>
              <w:right w:val="nil"/>
            </w:tcBorders>
            <w:shd w:val="clear" w:color="000000" w:fill="2F75B5"/>
            <w:noWrap/>
            <w:vAlign w:val="center"/>
            <w:hideMark/>
          </w:tcPr>
          <w:p w14:paraId="0600ECF9"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52,98%</w:t>
            </w:r>
          </w:p>
        </w:tc>
        <w:tc>
          <w:tcPr>
            <w:tcW w:w="397" w:type="pct"/>
            <w:tcBorders>
              <w:top w:val="nil"/>
              <w:left w:val="single" w:sz="8" w:space="0" w:color="002060"/>
              <w:bottom w:val="single" w:sz="8" w:space="0" w:color="002060"/>
              <w:right w:val="nil"/>
            </w:tcBorders>
            <w:shd w:val="clear" w:color="000000" w:fill="2F75B5"/>
            <w:noWrap/>
            <w:vAlign w:val="center"/>
            <w:hideMark/>
          </w:tcPr>
          <w:p w14:paraId="6C8FBBE2"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22,01%</w:t>
            </w:r>
          </w:p>
        </w:tc>
        <w:tc>
          <w:tcPr>
            <w:tcW w:w="409" w:type="pct"/>
            <w:tcBorders>
              <w:top w:val="nil"/>
              <w:left w:val="single" w:sz="8" w:space="0" w:color="002060"/>
              <w:bottom w:val="single" w:sz="8" w:space="0" w:color="002060"/>
              <w:right w:val="nil"/>
            </w:tcBorders>
            <w:shd w:val="clear" w:color="000000" w:fill="2F75B5"/>
            <w:noWrap/>
            <w:vAlign w:val="center"/>
            <w:hideMark/>
          </w:tcPr>
          <w:p w14:paraId="6127CC7A"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22,46%</w:t>
            </w:r>
          </w:p>
        </w:tc>
        <w:tc>
          <w:tcPr>
            <w:tcW w:w="353" w:type="pct"/>
            <w:tcBorders>
              <w:top w:val="nil"/>
              <w:left w:val="single" w:sz="8" w:space="0" w:color="002060"/>
              <w:bottom w:val="single" w:sz="8" w:space="0" w:color="002060"/>
              <w:right w:val="nil"/>
            </w:tcBorders>
            <w:shd w:val="clear" w:color="000000" w:fill="2F75B5"/>
            <w:noWrap/>
            <w:vAlign w:val="center"/>
            <w:hideMark/>
          </w:tcPr>
          <w:p w14:paraId="4EDC5C6E"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77,72%</w:t>
            </w:r>
          </w:p>
        </w:tc>
        <w:tc>
          <w:tcPr>
            <w:tcW w:w="353" w:type="pct"/>
            <w:tcBorders>
              <w:top w:val="nil"/>
              <w:left w:val="single" w:sz="8" w:space="0" w:color="002060"/>
              <w:bottom w:val="single" w:sz="8" w:space="0" w:color="002060"/>
              <w:right w:val="nil"/>
            </w:tcBorders>
            <w:shd w:val="clear" w:color="auto" w:fill="auto"/>
            <w:noWrap/>
            <w:vAlign w:val="center"/>
            <w:hideMark/>
          </w:tcPr>
          <w:p w14:paraId="76D2C851"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0,00%</w:t>
            </w:r>
          </w:p>
        </w:tc>
        <w:tc>
          <w:tcPr>
            <w:tcW w:w="352" w:type="pct"/>
            <w:tcBorders>
              <w:top w:val="nil"/>
              <w:left w:val="single" w:sz="8" w:space="0" w:color="002060"/>
              <w:bottom w:val="single" w:sz="8" w:space="0" w:color="002060"/>
              <w:right w:val="nil"/>
            </w:tcBorders>
            <w:shd w:val="clear" w:color="000000" w:fill="2F75B5"/>
            <w:noWrap/>
            <w:vAlign w:val="center"/>
            <w:hideMark/>
          </w:tcPr>
          <w:p w14:paraId="0F5BBBE5" w14:textId="77777777" w:rsidR="007E21BD" w:rsidRPr="007E21BD" w:rsidRDefault="007E21BD" w:rsidP="00DA4A09">
            <w:pPr>
              <w:jc w:val="center"/>
              <w:rPr>
                <w:rFonts w:ascii="Arial Narrow" w:hAnsi="Arial Narrow" w:cs="Calibri"/>
                <w:b/>
                <w:bCs/>
                <w:color w:val="FFFFFF"/>
                <w:sz w:val="16"/>
                <w:szCs w:val="16"/>
                <w:lang w:val="es-CO" w:eastAsia="es-CO"/>
              </w:rPr>
            </w:pPr>
            <w:r w:rsidRPr="007E21BD">
              <w:rPr>
                <w:rFonts w:ascii="Arial Narrow" w:hAnsi="Arial Narrow" w:cs="Calibri"/>
                <w:b/>
                <w:bCs/>
                <w:color w:val="FFFFFF"/>
                <w:sz w:val="16"/>
                <w:szCs w:val="16"/>
                <w:lang w:val="es-CO" w:eastAsia="es-CO"/>
              </w:rPr>
              <w:t>119,78%</w:t>
            </w:r>
          </w:p>
        </w:tc>
      </w:tr>
      <w:tr w:rsidR="007E21BD" w:rsidRPr="007E21BD" w14:paraId="50CAB89C" w14:textId="77777777" w:rsidTr="00975F7F">
        <w:trPr>
          <w:trHeight w:val="113"/>
        </w:trPr>
        <w:tc>
          <w:tcPr>
            <w:tcW w:w="1716" w:type="pct"/>
            <w:tcBorders>
              <w:top w:val="nil"/>
              <w:left w:val="single" w:sz="12" w:space="0" w:color="FFFFFF"/>
              <w:bottom w:val="single" w:sz="12" w:space="0" w:color="FFFFFF"/>
              <w:right w:val="single" w:sz="12" w:space="0" w:color="FFFFFF"/>
            </w:tcBorders>
            <w:shd w:val="clear" w:color="000000" w:fill="00B0F0"/>
            <w:vAlign w:val="center"/>
            <w:hideMark/>
          </w:tcPr>
          <w:p w14:paraId="469C4E1E" w14:textId="77777777" w:rsidR="007E21BD" w:rsidRPr="007E21BD" w:rsidRDefault="007E21BD" w:rsidP="00DA4A09">
            <w:pPr>
              <w:jc w:val="center"/>
              <w:rPr>
                <w:rFonts w:ascii="Arial Narrow" w:hAnsi="Arial Narrow" w:cs="Calibri"/>
                <w:b/>
                <w:bCs/>
                <w:color w:val="002060"/>
                <w:sz w:val="16"/>
                <w:szCs w:val="16"/>
                <w:lang w:val="es-CO" w:eastAsia="es-CO"/>
              </w:rPr>
            </w:pPr>
            <w:r w:rsidRPr="007E21BD">
              <w:rPr>
                <w:rFonts w:ascii="Arial Narrow" w:hAnsi="Arial Narrow" w:cs="Calibri"/>
                <w:b/>
                <w:bCs/>
                <w:color w:val="002060"/>
                <w:sz w:val="16"/>
                <w:szCs w:val="16"/>
                <w:lang w:val="es-CO" w:eastAsia="es-CO"/>
              </w:rPr>
              <w:t> </w:t>
            </w:r>
          </w:p>
        </w:tc>
        <w:tc>
          <w:tcPr>
            <w:tcW w:w="353" w:type="pct"/>
            <w:tcBorders>
              <w:top w:val="single" w:sz="12" w:space="0" w:color="FFFFFF"/>
              <w:left w:val="nil"/>
              <w:bottom w:val="nil"/>
              <w:right w:val="nil"/>
            </w:tcBorders>
            <w:shd w:val="clear" w:color="000000" w:fill="002060"/>
            <w:noWrap/>
            <w:vAlign w:val="center"/>
            <w:hideMark/>
          </w:tcPr>
          <w:p w14:paraId="756D9D0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 </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092EF8DB"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6A0DAA38"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61" w:type="pct"/>
            <w:tcBorders>
              <w:top w:val="single" w:sz="8" w:space="0" w:color="002060"/>
              <w:left w:val="nil"/>
              <w:bottom w:val="single" w:sz="8" w:space="0" w:color="002060"/>
              <w:right w:val="single" w:sz="8" w:space="0" w:color="002060"/>
            </w:tcBorders>
            <w:shd w:val="clear" w:color="000000" w:fill="63BE7B"/>
            <w:noWrap/>
            <w:vAlign w:val="center"/>
            <w:hideMark/>
          </w:tcPr>
          <w:p w14:paraId="29481D2F"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97" w:type="pct"/>
            <w:tcBorders>
              <w:top w:val="single" w:sz="8" w:space="0" w:color="002060"/>
              <w:left w:val="nil"/>
              <w:bottom w:val="single" w:sz="8" w:space="0" w:color="002060"/>
              <w:right w:val="single" w:sz="8" w:space="0" w:color="002060"/>
            </w:tcBorders>
            <w:shd w:val="clear" w:color="000000" w:fill="F8696B"/>
            <w:noWrap/>
            <w:vAlign w:val="center"/>
            <w:hideMark/>
          </w:tcPr>
          <w:p w14:paraId="4E944AB2"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409" w:type="pct"/>
            <w:tcBorders>
              <w:top w:val="single" w:sz="8" w:space="0" w:color="002060"/>
              <w:left w:val="nil"/>
              <w:bottom w:val="single" w:sz="8" w:space="0" w:color="002060"/>
              <w:right w:val="single" w:sz="8" w:space="0" w:color="002060"/>
            </w:tcBorders>
            <w:shd w:val="clear" w:color="000000" w:fill="F8696B"/>
            <w:noWrap/>
            <w:vAlign w:val="center"/>
            <w:hideMark/>
          </w:tcPr>
          <w:p w14:paraId="2A027877"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39</w:t>
            </w:r>
          </w:p>
        </w:tc>
        <w:tc>
          <w:tcPr>
            <w:tcW w:w="353" w:type="pct"/>
            <w:tcBorders>
              <w:top w:val="single" w:sz="8" w:space="0" w:color="002060"/>
              <w:left w:val="nil"/>
              <w:bottom w:val="single" w:sz="8" w:space="0" w:color="002060"/>
              <w:right w:val="single" w:sz="8" w:space="0" w:color="002060"/>
            </w:tcBorders>
            <w:shd w:val="clear" w:color="000000" w:fill="63BE7B"/>
            <w:noWrap/>
            <w:vAlign w:val="center"/>
            <w:hideMark/>
          </w:tcPr>
          <w:p w14:paraId="3BD432FD"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c>
          <w:tcPr>
            <w:tcW w:w="353" w:type="pct"/>
            <w:tcBorders>
              <w:top w:val="single" w:sz="8" w:space="0" w:color="002060"/>
              <w:left w:val="nil"/>
              <w:bottom w:val="single" w:sz="8" w:space="0" w:color="002060"/>
              <w:right w:val="single" w:sz="8" w:space="0" w:color="002060"/>
            </w:tcBorders>
            <w:shd w:val="clear" w:color="000000" w:fill="F8696B"/>
            <w:noWrap/>
            <w:vAlign w:val="center"/>
            <w:hideMark/>
          </w:tcPr>
          <w:p w14:paraId="56B4F1DF" w14:textId="77777777" w:rsidR="007E21BD" w:rsidRPr="007E21BD" w:rsidRDefault="007E21BD" w:rsidP="00DA4A09">
            <w:pPr>
              <w:jc w:val="center"/>
              <w:rPr>
                <w:rFonts w:ascii="Arial Narrow" w:hAnsi="Arial Narrow" w:cs="Calibri"/>
                <w:color w:val="000000"/>
                <w:sz w:val="16"/>
                <w:szCs w:val="16"/>
                <w:lang w:val="es-CO" w:eastAsia="es-CO"/>
              </w:rPr>
            </w:pPr>
            <w:r w:rsidRPr="007E21BD">
              <w:rPr>
                <w:rFonts w:ascii="Arial Narrow" w:hAnsi="Arial Narrow" w:cs="Calibri"/>
                <w:color w:val="000000"/>
                <w:sz w:val="16"/>
                <w:szCs w:val="16"/>
                <w:lang w:val="es-CO" w:eastAsia="es-CO"/>
              </w:rPr>
              <w:t>39</w:t>
            </w:r>
          </w:p>
        </w:tc>
        <w:tc>
          <w:tcPr>
            <w:tcW w:w="352" w:type="pct"/>
            <w:tcBorders>
              <w:top w:val="single" w:sz="8" w:space="0" w:color="002060"/>
              <w:left w:val="nil"/>
              <w:bottom w:val="single" w:sz="8" w:space="0" w:color="002060"/>
              <w:right w:val="single" w:sz="8" w:space="0" w:color="002060"/>
            </w:tcBorders>
            <w:shd w:val="clear" w:color="000000" w:fill="63BE7B"/>
            <w:noWrap/>
            <w:vAlign w:val="center"/>
            <w:hideMark/>
          </w:tcPr>
          <w:p w14:paraId="76AFC94E" w14:textId="77777777" w:rsidR="007E21BD" w:rsidRPr="007E21BD" w:rsidRDefault="007E21BD" w:rsidP="00DA4A09">
            <w:pPr>
              <w:jc w:val="center"/>
              <w:rPr>
                <w:rFonts w:ascii="Arial Narrow" w:hAnsi="Arial Narrow" w:cs="Calibri"/>
                <w:color w:val="FFFFFF"/>
                <w:sz w:val="16"/>
                <w:szCs w:val="16"/>
                <w:lang w:val="es-CO" w:eastAsia="es-CO"/>
              </w:rPr>
            </w:pPr>
            <w:r w:rsidRPr="007E21BD">
              <w:rPr>
                <w:rFonts w:ascii="Arial Narrow" w:hAnsi="Arial Narrow" w:cs="Calibri"/>
                <w:color w:val="FFFFFF"/>
                <w:sz w:val="16"/>
                <w:szCs w:val="16"/>
                <w:lang w:val="es-CO" w:eastAsia="es-CO"/>
              </w:rPr>
              <w:t>60</w:t>
            </w:r>
          </w:p>
        </w:tc>
      </w:tr>
    </w:tbl>
    <w:p w14:paraId="0C191B81" w14:textId="77777777" w:rsidR="007E21BD" w:rsidRPr="00F75062" w:rsidRDefault="007E21BD" w:rsidP="007E21BD">
      <w:pPr>
        <w:jc w:val="both"/>
        <w:rPr>
          <w:rFonts w:ascii="Arial Narrow" w:hAnsi="Arial Narrow"/>
          <w:sz w:val="18"/>
          <w:szCs w:val="18"/>
        </w:rPr>
      </w:pPr>
    </w:p>
    <w:p w14:paraId="3A40EDBE" w14:textId="77777777" w:rsidR="007E21BD" w:rsidRPr="00F75062" w:rsidRDefault="007E21BD" w:rsidP="007E21BD">
      <w:pPr>
        <w:rPr>
          <w:rFonts w:ascii="Arial Narrow" w:hAnsi="Arial Narrow" w:cstheme="minorHAnsi"/>
          <w:bCs/>
          <w:sz w:val="24"/>
          <w:szCs w:val="24"/>
          <w:lang w:val="es-CO"/>
        </w:rPr>
      </w:pPr>
      <w:r>
        <w:rPr>
          <w:rFonts w:ascii="Arial Narrow" w:hAnsi="Arial Narrow" w:cstheme="minorHAnsi"/>
          <w:bCs/>
          <w:sz w:val="24"/>
          <w:szCs w:val="24"/>
          <w:lang w:val="es-CO"/>
        </w:rPr>
        <w:t>De acuerdo con la evaluación anterior 26 indicadores presentan oportunidad de mejora:</w:t>
      </w:r>
    </w:p>
    <w:tbl>
      <w:tblPr>
        <w:tblW w:w="10161" w:type="dxa"/>
        <w:tblLayout w:type="fixed"/>
        <w:tblCellMar>
          <w:left w:w="70" w:type="dxa"/>
          <w:right w:w="70" w:type="dxa"/>
        </w:tblCellMar>
        <w:tblLook w:val="04A0" w:firstRow="1" w:lastRow="0" w:firstColumn="1" w:lastColumn="0" w:noHBand="0" w:noVBand="1"/>
      </w:tblPr>
      <w:tblGrid>
        <w:gridCol w:w="3964"/>
        <w:gridCol w:w="4116"/>
        <w:gridCol w:w="992"/>
        <w:gridCol w:w="1089"/>
      </w:tblGrid>
      <w:tr w:rsidR="007E21BD" w:rsidRPr="00110659" w14:paraId="6D195992" w14:textId="77777777" w:rsidTr="00975F7F">
        <w:trPr>
          <w:trHeight w:val="113"/>
          <w:tblHeader/>
        </w:trPr>
        <w:tc>
          <w:tcPr>
            <w:tcW w:w="3964" w:type="dxa"/>
            <w:tcBorders>
              <w:top w:val="single" w:sz="4" w:space="0" w:color="auto"/>
              <w:left w:val="single" w:sz="4" w:space="0" w:color="auto"/>
              <w:bottom w:val="single" w:sz="4" w:space="0" w:color="auto"/>
              <w:right w:val="single" w:sz="4" w:space="0" w:color="auto"/>
            </w:tcBorders>
            <w:shd w:val="clear" w:color="000000" w:fill="002060"/>
            <w:noWrap/>
            <w:vAlign w:val="bottom"/>
            <w:hideMark/>
          </w:tcPr>
          <w:p w14:paraId="67ED6F9B" w14:textId="77777777" w:rsidR="007E21BD" w:rsidRPr="00110659" w:rsidRDefault="007E21BD" w:rsidP="00DA4A09">
            <w:pPr>
              <w:rPr>
                <w:rFonts w:ascii="Arial Narrow" w:hAnsi="Arial Narrow" w:cs="Calibri"/>
                <w:b/>
                <w:bCs/>
                <w:color w:val="FFFFFF"/>
                <w:sz w:val="16"/>
                <w:szCs w:val="16"/>
                <w:lang w:val="es-CO" w:eastAsia="es-CO"/>
              </w:rPr>
            </w:pPr>
            <w:r>
              <w:rPr>
                <w:rFonts w:ascii="Arial Narrow" w:hAnsi="Arial Narrow" w:cs="Calibri"/>
                <w:b/>
                <w:bCs/>
                <w:color w:val="FFFFFF"/>
                <w:sz w:val="16"/>
                <w:szCs w:val="16"/>
                <w:lang w:val="es-CO" w:eastAsia="es-CO"/>
              </w:rPr>
              <w:t>PRINCIPIO</w:t>
            </w:r>
          </w:p>
        </w:tc>
        <w:tc>
          <w:tcPr>
            <w:tcW w:w="4111" w:type="dxa"/>
            <w:tcBorders>
              <w:top w:val="single" w:sz="4" w:space="0" w:color="auto"/>
              <w:left w:val="nil"/>
              <w:bottom w:val="single" w:sz="4" w:space="0" w:color="auto"/>
              <w:right w:val="single" w:sz="4" w:space="0" w:color="auto"/>
            </w:tcBorders>
            <w:shd w:val="clear" w:color="000000" w:fill="002060"/>
            <w:noWrap/>
            <w:vAlign w:val="bottom"/>
            <w:hideMark/>
          </w:tcPr>
          <w:p w14:paraId="1ADF887E" w14:textId="77777777" w:rsidR="007E21BD" w:rsidRPr="00110659" w:rsidRDefault="007E21BD" w:rsidP="00DA4A09">
            <w:pPr>
              <w:rPr>
                <w:rFonts w:ascii="Arial Narrow" w:hAnsi="Arial Narrow" w:cs="Calibri"/>
                <w:b/>
                <w:bCs/>
                <w:color w:val="FFFFFF"/>
                <w:sz w:val="16"/>
                <w:szCs w:val="16"/>
                <w:lang w:val="es-CO" w:eastAsia="es-CO"/>
              </w:rPr>
            </w:pPr>
            <w:r>
              <w:rPr>
                <w:rFonts w:ascii="Arial Narrow" w:hAnsi="Arial Narrow" w:cs="Calibri"/>
                <w:b/>
                <w:bCs/>
                <w:color w:val="FFFFFF"/>
                <w:sz w:val="16"/>
                <w:szCs w:val="16"/>
                <w:lang w:val="es-CO" w:eastAsia="es-CO"/>
              </w:rPr>
              <w:t>INDICADOR</w:t>
            </w:r>
          </w:p>
        </w:tc>
        <w:tc>
          <w:tcPr>
            <w:tcW w:w="992" w:type="dxa"/>
            <w:tcBorders>
              <w:top w:val="single" w:sz="4" w:space="0" w:color="auto"/>
              <w:left w:val="nil"/>
              <w:bottom w:val="single" w:sz="4" w:space="0" w:color="auto"/>
              <w:right w:val="single" w:sz="4" w:space="0" w:color="auto"/>
            </w:tcBorders>
            <w:shd w:val="clear" w:color="000000" w:fill="002060"/>
            <w:noWrap/>
            <w:vAlign w:val="center"/>
            <w:hideMark/>
          </w:tcPr>
          <w:p w14:paraId="0C8414EE" w14:textId="77777777" w:rsidR="007E21BD" w:rsidRPr="00110659" w:rsidRDefault="007E21BD" w:rsidP="00DA4A09">
            <w:pPr>
              <w:jc w:val="center"/>
              <w:rPr>
                <w:rFonts w:ascii="Arial Narrow" w:hAnsi="Arial Narrow" w:cs="Calibri"/>
                <w:b/>
                <w:bCs/>
                <w:color w:val="FFFFFF"/>
                <w:lang w:val="es-CO" w:eastAsia="es-CO"/>
              </w:rPr>
            </w:pPr>
            <w:r>
              <w:rPr>
                <w:rFonts w:ascii="Arial Narrow" w:hAnsi="Arial Narrow" w:cs="Calibri"/>
                <w:b/>
                <w:bCs/>
                <w:color w:val="FFFFFF"/>
                <w:lang w:val="es-CO" w:eastAsia="es-CO"/>
              </w:rPr>
              <w:t>Result</w:t>
            </w:r>
          </w:p>
        </w:tc>
        <w:tc>
          <w:tcPr>
            <w:tcW w:w="1089" w:type="dxa"/>
            <w:tcBorders>
              <w:top w:val="single" w:sz="4" w:space="0" w:color="auto"/>
              <w:left w:val="nil"/>
              <w:bottom w:val="single" w:sz="4" w:space="0" w:color="auto"/>
              <w:right w:val="single" w:sz="4" w:space="0" w:color="auto"/>
            </w:tcBorders>
            <w:shd w:val="clear" w:color="000000" w:fill="002060"/>
            <w:noWrap/>
            <w:vAlign w:val="bottom"/>
            <w:hideMark/>
          </w:tcPr>
          <w:p w14:paraId="4223A90E" w14:textId="77777777"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Evaluaci</w:t>
            </w:r>
            <w:r>
              <w:rPr>
                <w:rFonts w:ascii="Arial Narrow" w:hAnsi="Arial Narrow" w:cs="Calibri"/>
                <w:b/>
                <w:bCs/>
                <w:color w:val="FFFFFF"/>
                <w:sz w:val="16"/>
                <w:szCs w:val="16"/>
                <w:lang w:val="es-CO" w:eastAsia="es-CO"/>
              </w:rPr>
              <w:t>ó</w:t>
            </w:r>
            <w:r w:rsidRPr="00110659">
              <w:rPr>
                <w:rFonts w:ascii="Arial Narrow" w:hAnsi="Arial Narrow" w:cs="Calibri"/>
                <w:b/>
                <w:bCs/>
                <w:color w:val="FFFFFF"/>
                <w:sz w:val="16"/>
                <w:szCs w:val="16"/>
                <w:lang w:val="es-CO" w:eastAsia="es-CO"/>
              </w:rPr>
              <w:t>n</w:t>
            </w:r>
          </w:p>
        </w:tc>
      </w:tr>
      <w:tr w:rsidR="007E21BD" w:rsidRPr="00110659" w14:paraId="24FBF392"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008E2DEE" w14:textId="6E38449F"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6984A88C"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Acciones para el medio ambiente</w:t>
            </w:r>
          </w:p>
        </w:tc>
        <w:tc>
          <w:tcPr>
            <w:tcW w:w="992" w:type="dxa"/>
            <w:tcBorders>
              <w:top w:val="nil"/>
              <w:left w:val="nil"/>
              <w:bottom w:val="single" w:sz="4" w:space="0" w:color="auto"/>
              <w:right w:val="single" w:sz="4" w:space="0" w:color="auto"/>
            </w:tcBorders>
            <w:shd w:val="clear" w:color="auto" w:fill="auto"/>
            <w:noWrap/>
            <w:vAlign w:val="center"/>
            <w:hideMark/>
          </w:tcPr>
          <w:p w14:paraId="2142FFB1"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2257FFC5"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26501993"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70BBFB0F" w14:textId="7FAD75D4"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769B522D"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Actividad transaccional</w:t>
            </w:r>
          </w:p>
        </w:tc>
        <w:tc>
          <w:tcPr>
            <w:tcW w:w="992" w:type="dxa"/>
            <w:tcBorders>
              <w:top w:val="nil"/>
              <w:left w:val="nil"/>
              <w:bottom w:val="single" w:sz="4" w:space="0" w:color="auto"/>
              <w:right w:val="single" w:sz="4" w:space="0" w:color="auto"/>
            </w:tcBorders>
            <w:shd w:val="clear" w:color="auto" w:fill="auto"/>
            <w:noWrap/>
            <w:vAlign w:val="center"/>
            <w:hideMark/>
          </w:tcPr>
          <w:p w14:paraId="3FAC7F8F"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0,47</w:t>
            </w:r>
          </w:p>
        </w:tc>
        <w:tc>
          <w:tcPr>
            <w:tcW w:w="1089" w:type="dxa"/>
            <w:tcBorders>
              <w:top w:val="nil"/>
              <w:left w:val="nil"/>
              <w:bottom w:val="single" w:sz="4" w:space="0" w:color="auto"/>
              <w:right w:val="single" w:sz="4" w:space="0" w:color="auto"/>
            </w:tcBorders>
            <w:shd w:val="clear" w:color="auto" w:fill="auto"/>
            <w:noWrap/>
            <w:vAlign w:val="bottom"/>
            <w:hideMark/>
          </w:tcPr>
          <w:p w14:paraId="57A66A7D"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78797539"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9F1DFE9" w14:textId="3C8E3FC6"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7F27E0B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Cobertura de programas y beneficios sociales</w:t>
            </w:r>
          </w:p>
        </w:tc>
        <w:tc>
          <w:tcPr>
            <w:tcW w:w="992" w:type="dxa"/>
            <w:tcBorders>
              <w:top w:val="nil"/>
              <w:left w:val="nil"/>
              <w:bottom w:val="single" w:sz="4" w:space="0" w:color="auto"/>
              <w:right w:val="single" w:sz="4" w:space="0" w:color="auto"/>
            </w:tcBorders>
            <w:shd w:val="clear" w:color="auto" w:fill="auto"/>
            <w:noWrap/>
            <w:vAlign w:val="center"/>
            <w:hideMark/>
          </w:tcPr>
          <w:p w14:paraId="37E56623"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28,38%</w:t>
            </w:r>
          </w:p>
        </w:tc>
        <w:tc>
          <w:tcPr>
            <w:tcW w:w="1089" w:type="dxa"/>
            <w:tcBorders>
              <w:top w:val="nil"/>
              <w:left w:val="nil"/>
              <w:bottom w:val="single" w:sz="4" w:space="0" w:color="auto"/>
              <w:right w:val="single" w:sz="4" w:space="0" w:color="auto"/>
            </w:tcBorders>
            <w:shd w:val="clear" w:color="auto" w:fill="auto"/>
            <w:noWrap/>
            <w:vAlign w:val="bottom"/>
            <w:hideMark/>
          </w:tcPr>
          <w:p w14:paraId="768C1E75"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72691A5F"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692FC52" w14:textId="38316F3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2FE6D64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Crecimiento de inversión en educación, formación e información.</w:t>
            </w:r>
          </w:p>
        </w:tc>
        <w:tc>
          <w:tcPr>
            <w:tcW w:w="992" w:type="dxa"/>
            <w:tcBorders>
              <w:top w:val="nil"/>
              <w:left w:val="nil"/>
              <w:bottom w:val="single" w:sz="4" w:space="0" w:color="auto"/>
              <w:right w:val="single" w:sz="4" w:space="0" w:color="auto"/>
            </w:tcBorders>
            <w:shd w:val="clear" w:color="auto" w:fill="auto"/>
            <w:noWrap/>
            <w:vAlign w:val="center"/>
            <w:hideMark/>
          </w:tcPr>
          <w:p w14:paraId="45B7C26E"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35AABEDE"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5ED3908F"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4525928A" w14:textId="5B84541D"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4D73A4DA"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Crecimiento neto de asociados hábiles</w:t>
            </w:r>
          </w:p>
        </w:tc>
        <w:tc>
          <w:tcPr>
            <w:tcW w:w="992" w:type="dxa"/>
            <w:tcBorders>
              <w:top w:val="nil"/>
              <w:left w:val="nil"/>
              <w:bottom w:val="single" w:sz="4" w:space="0" w:color="auto"/>
              <w:right w:val="single" w:sz="4" w:space="0" w:color="auto"/>
            </w:tcBorders>
            <w:shd w:val="clear" w:color="auto" w:fill="auto"/>
            <w:noWrap/>
            <w:vAlign w:val="center"/>
            <w:hideMark/>
          </w:tcPr>
          <w:p w14:paraId="68882E89"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-5,24%</w:t>
            </w:r>
          </w:p>
        </w:tc>
        <w:tc>
          <w:tcPr>
            <w:tcW w:w="1089" w:type="dxa"/>
            <w:tcBorders>
              <w:top w:val="nil"/>
              <w:left w:val="nil"/>
              <w:bottom w:val="single" w:sz="4" w:space="0" w:color="auto"/>
              <w:right w:val="single" w:sz="4" w:space="0" w:color="auto"/>
            </w:tcBorders>
            <w:shd w:val="clear" w:color="auto" w:fill="auto"/>
            <w:noWrap/>
            <w:vAlign w:val="bottom"/>
            <w:hideMark/>
          </w:tcPr>
          <w:p w14:paraId="4B6E3AD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6573B2DB"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755DAAF8" w14:textId="7E9BD325"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2574D0F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Créditos con incidencia comunitaria</w:t>
            </w:r>
          </w:p>
        </w:tc>
        <w:tc>
          <w:tcPr>
            <w:tcW w:w="992" w:type="dxa"/>
            <w:tcBorders>
              <w:top w:val="nil"/>
              <w:left w:val="nil"/>
              <w:bottom w:val="single" w:sz="4" w:space="0" w:color="auto"/>
              <w:right w:val="single" w:sz="4" w:space="0" w:color="auto"/>
            </w:tcBorders>
            <w:shd w:val="clear" w:color="auto" w:fill="auto"/>
            <w:noWrap/>
            <w:vAlign w:val="center"/>
            <w:hideMark/>
          </w:tcPr>
          <w:p w14:paraId="0D80C0A3"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1F6AF63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580B35DC"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22A15B78" w14:textId="3B0020E3"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233ED141"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Créditos para fines productivos</w:t>
            </w:r>
          </w:p>
        </w:tc>
        <w:tc>
          <w:tcPr>
            <w:tcW w:w="992" w:type="dxa"/>
            <w:tcBorders>
              <w:top w:val="nil"/>
              <w:left w:val="nil"/>
              <w:bottom w:val="single" w:sz="4" w:space="0" w:color="auto"/>
              <w:right w:val="single" w:sz="4" w:space="0" w:color="auto"/>
            </w:tcBorders>
            <w:shd w:val="clear" w:color="auto" w:fill="auto"/>
            <w:noWrap/>
            <w:vAlign w:val="center"/>
            <w:hideMark/>
          </w:tcPr>
          <w:p w14:paraId="3BEE691B"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4442F704"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280749FE"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411E17DB" w14:textId="0EFA746B"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3A860BB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Cultura de buen gobierno</w:t>
            </w:r>
          </w:p>
        </w:tc>
        <w:tc>
          <w:tcPr>
            <w:tcW w:w="992" w:type="dxa"/>
            <w:tcBorders>
              <w:top w:val="nil"/>
              <w:left w:val="nil"/>
              <w:bottom w:val="single" w:sz="4" w:space="0" w:color="auto"/>
              <w:right w:val="single" w:sz="4" w:space="0" w:color="auto"/>
            </w:tcBorders>
            <w:shd w:val="clear" w:color="auto" w:fill="auto"/>
            <w:noWrap/>
            <w:vAlign w:val="center"/>
            <w:hideMark/>
          </w:tcPr>
          <w:p w14:paraId="437C5F8B"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62,50%</w:t>
            </w:r>
          </w:p>
        </w:tc>
        <w:tc>
          <w:tcPr>
            <w:tcW w:w="1089" w:type="dxa"/>
            <w:tcBorders>
              <w:top w:val="nil"/>
              <w:left w:val="nil"/>
              <w:bottom w:val="single" w:sz="4" w:space="0" w:color="auto"/>
              <w:right w:val="single" w:sz="4" w:space="0" w:color="auto"/>
            </w:tcBorders>
            <w:shd w:val="clear" w:color="auto" w:fill="auto"/>
            <w:noWrap/>
            <w:vAlign w:val="bottom"/>
            <w:hideMark/>
          </w:tcPr>
          <w:p w14:paraId="156A3F3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26F49638"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3AAE4D2C" w14:textId="3950D914"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4BD357C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Difusión cooperativa y solidaria</w:t>
            </w:r>
          </w:p>
        </w:tc>
        <w:tc>
          <w:tcPr>
            <w:tcW w:w="992" w:type="dxa"/>
            <w:tcBorders>
              <w:top w:val="nil"/>
              <w:left w:val="nil"/>
              <w:bottom w:val="single" w:sz="4" w:space="0" w:color="auto"/>
              <w:right w:val="single" w:sz="4" w:space="0" w:color="auto"/>
            </w:tcBorders>
            <w:shd w:val="clear" w:color="auto" w:fill="auto"/>
            <w:noWrap/>
            <w:vAlign w:val="center"/>
            <w:hideMark/>
          </w:tcPr>
          <w:p w14:paraId="05DBD32D"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0,43%</w:t>
            </w:r>
          </w:p>
        </w:tc>
        <w:tc>
          <w:tcPr>
            <w:tcW w:w="1089" w:type="dxa"/>
            <w:tcBorders>
              <w:top w:val="nil"/>
              <w:left w:val="nil"/>
              <w:bottom w:val="single" w:sz="4" w:space="0" w:color="auto"/>
              <w:right w:val="single" w:sz="4" w:space="0" w:color="auto"/>
            </w:tcBorders>
            <w:shd w:val="clear" w:color="auto" w:fill="auto"/>
            <w:noWrap/>
            <w:vAlign w:val="bottom"/>
            <w:hideMark/>
          </w:tcPr>
          <w:p w14:paraId="5D41235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0451FA7B"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1033BA3D" w14:textId="6DA4B48C"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2B7C6C1C"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Economías de escala generadas</w:t>
            </w:r>
          </w:p>
        </w:tc>
        <w:tc>
          <w:tcPr>
            <w:tcW w:w="992" w:type="dxa"/>
            <w:tcBorders>
              <w:top w:val="nil"/>
              <w:left w:val="nil"/>
              <w:bottom w:val="single" w:sz="4" w:space="0" w:color="auto"/>
              <w:right w:val="single" w:sz="4" w:space="0" w:color="auto"/>
            </w:tcBorders>
            <w:shd w:val="clear" w:color="auto" w:fill="auto"/>
            <w:noWrap/>
            <w:vAlign w:val="center"/>
            <w:hideMark/>
          </w:tcPr>
          <w:p w14:paraId="5F4C3F9E"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0B317B4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5B0F7244"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5802E4F3" w14:textId="62AF485B"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021614D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número de operaciones</w:t>
            </w:r>
          </w:p>
        </w:tc>
        <w:tc>
          <w:tcPr>
            <w:tcW w:w="992" w:type="dxa"/>
            <w:tcBorders>
              <w:top w:val="nil"/>
              <w:left w:val="nil"/>
              <w:bottom w:val="single" w:sz="4" w:space="0" w:color="auto"/>
              <w:right w:val="single" w:sz="4" w:space="0" w:color="auto"/>
            </w:tcBorders>
            <w:shd w:val="clear" w:color="auto" w:fill="auto"/>
            <w:noWrap/>
            <w:vAlign w:val="center"/>
            <w:hideMark/>
          </w:tcPr>
          <w:p w14:paraId="24298E43"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34,12%</w:t>
            </w:r>
          </w:p>
        </w:tc>
        <w:tc>
          <w:tcPr>
            <w:tcW w:w="1089" w:type="dxa"/>
            <w:tcBorders>
              <w:top w:val="nil"/>
              <w:left w:val="nil"/>
              <w:bottom w:val="single" w:sz="4" w:space="0" w:color="auto"/>
              <w:right w:val="single" w:sz="4" w:space="0" w:color="auto"/>
            </w:tcBorders>
            <w:shd w:val="clear" w:color="auto" w:fill="auto"/>
            <w:noWrap/>
            <w:vAlign w:val="bottom"/>
            <w:hideMark/>
          </w:tcPr>
          <w:p w14:paraId="69436F3D"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77A8665A"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7A9F853F" w14:textId="7977C1AB"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54C7CD54"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número de operaciones</w:t>
            </w:r>
          </w:p>
        </w:tc>
        <w:tc>
          <w:tcPr>
            <w:tcW w:w="992" w:type="dxa"/>
            <w:tcBorders>
              <w:top w:val="nil"/>
              <w:left w:val="nil"/>
              <w:bottom w:val="single" w:sz="4" w:space="0" w:color="auto"/>
              <w:right w:val="single" w:sz="4" w:space="0" w:color="auto"/>
            </w:tcBorders>
            <w:shd w:val="clear" w:color="auto" w:fill="auto"/>
            <w:noWrap/>
            <w:vAlign w:val="center"/>
            <w:hideMark/>
          </w:tcPr>
          <w:p w14:paraId="101CEAB5"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34,12%</w:t>
            </w:r>
          </w:p>
        </w:tc>
        <w:tc>
          <w:tcPr>
            <w:tcW w:w="1089" w:type="dxa"/>
            <w:tcBorders>
              <w:top w:val="nil"/>
              <w:left w:val="nil"/>
              <w:bottom w:val="single" w:sz="4" w:space="0" w:color="auto"/>
              <w:right w:val="single" w:sz="4" w:space="0" w:color="auto"/>
            </w:tcBorders>
            <w:shd w:val="clear" w:color="auto" w:fill="auto"/>
            <w:noWrap/>
            <w:vAlign w:val="bottom"/>
            <w:hideMark/>
          </w:tcPr>
          <w:p w14:paraId="4064D76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26852FE5"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126B8608" w14:textId="024DAB92"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lastRenderedPageBreak/>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420193C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Equidad de género en órganos de dirección, </w:t>
            </w:r>
            <w:proofErr w:type="spellStart"/>
            <w:r>
              <w:rPr>
                <w:rFonts w:ascii="Arial Narrow" w:hAnsi="Arial Narrow" w:cs="Calibri"/>
                <w:color w:val="000000"/>
                <w:sz w:val="16"/>
                <w:szCs w:val="16"/>
                <w:lang w:val="es-CO" w:eastAsia="es-CO"/>
              </w:rPr>
              <w:t>admón</w:t>
            </w:r>
            <w:proofErr w:type="spellEnd"/>
            <w:r w:rsidRPr="00110659">
              <w:rPr>
                <w:rFonts w:ascii="Arial Narrow" w:hAnsi="Arial Narrow" w:cs="Calibri"/>
                <w:color w:val="000000"/>
                <w:sz w:val="16"/>
                <w:szCs w:val="16"/>
                <w:lang w:val="es-CO" w:eastAsia="es-CO"/>
              </w:rPr>
              <w:t xml:space="preserve"> y control</w:t>
            </w:r>
          </w:p>
        </w:tc>
        <w:tc>
          <w:tcPr>
            <w:tcW w:w="992" w:type="dxa"/>
            <w:tcBorders>
              <w:top w:val="nil"/>
              <w:left w:val="nil"/>
              <w:bottom w:val="single" w:sz="4" w:space="0" w:color="auto"/>
              <w:right w:val="single" w:sz="4" w:space="0" w:color="auto"/>
            </w:tcBorders>
            <w:shd w:val="clear" w:color="auto" w:fill="auto"/>
            <w:noWrap/>
            <w:vAlign w:val="center"/>
            <w:hideMark/>
          </w:tcPr>
          <w:p w14:paraId="518F464F"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9,09%</w:t>
            </w:r>
          </w:p>
        </w:tc>
        <w:tc>
          <w:tcPr>
            <w:tcW w:w="1089" w:type="dxa"/>
            <w:tcBorders>
              <w:top w:val="nil"/>
              <w:left w:val="nil"/>
              <w:bottom w:val="single" w:sz="4" w:space="0" w:color="auto"/>
              <w:right w:val="single" w:sz="4" w:space="0" w:color="auto"/>
            </w:tcBorders>
            <w:shd w:val="clear" w:color="auto" w:fill="auto"/>
            <w:noWrap/>
            <w:vAlign w:val="bottom"/>
            <w:hideMark/>
          </w:tcPr>
          <w:p w14:paraId="008918B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7A8579DA"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5E8B25C1" w14:textId="78BBA99F"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1B343FFC"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Fondeo tomado del sector solidario</w:t>
            </w:r>
          </w:p>
        </w:tc>
        <w:tc>
          <w:tcPr>
            <w:tcW w:w="992" w:type="dxa"/>
            <w:tcBorders>
              <w:top w:val="nil"/>
              <w:left w:val="nil"/>
              <w:bottom w:val="single" w:sz="4" w:space="0" w:color="auto"/>
              <w:right w:val="single" w:sz="4" w:space="0" w:color="auto"/>
            </w:tcBorders>
            <w:shd w:val="clear" w:color="auto" w:fill="auto"/>
            <w:noWrap/>
            <w:vAlign w:val="center"/>
            <w:hideMark/>
          </w:tcPr>
          <w:p w14:paraId="3E8760B1"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6A953E5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42D84226"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DA08FC3" w14:textId="526731B3"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43B8178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Fuentes de financiación externa</w:t>
            </w:r>
          </w:p>
        </w:tc>
        <w:tc>
          <w:tcPr>
            <w:tcW w:w="992" w:type="dxa"/>
            <w:tcBorders>
              <w:top w:val="nil"/>
              <w:left w:val="nil"/>
              <w:bottom w:val="single" w:sz="4" w:space="0" w:color="auto"/>
              <w:right w:val="single" w:sz="4" w:space="0" w:color="auto"/>
            </w:tcBorders>
            <w:shd w:val="clear" w:color="auto" w:fill="auto"/>
            <w:noWrap/>
            <w:vAlign w:val="center"/>
            <w:hideMark/>
          </w:tcPr>
          <w:p w14:paraId="086AD72F"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05CDCA5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34C2E18D"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7D6E7DC6" w14:textId="5BEA7106"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12DC0A32"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Gastos y contribuciones en favor de las comunidades</w:t>
            </w:r>
          </w:p>
        </w:tc>
        <w:tc>
          <w:tcPr>
            <w:tcW w:w="992" w:type="dxa"/>
            <w:tcBorders>
              <w:top w:val="nil"/>
              <w:left w:val="nil"/>
              <w:bottom w:val="single" w:sz="4" w:space="0" w:color="auto"/>
              <w:right w:val="single" w:sz="4" w:space="0" w:color="auto"/>
            </w:tcBorders>
            <w:shd w:val="clear" w:color="auto" w:fill="auto"/>
            <w:noWrap/>
            <w:vAlign w:val="center"/>
            <w:hideMark/>
          </w:tcPr>
          <w:p w14:paraId="1E7FDDFB"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2A73BA6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592F5D52"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3353B9C9" w14:textId="4BFEDA95"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2E0B2C8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Indicador de patrocinios</w:t>
            </w:r>
          </w:p>
        </w:tc>
        <w:tc>
          <w:tcPr>
            <w:tcW w:w="992" w:type="dxa"/>
            <w:tcBorders>
              <w:top w:val="nil"/>
              <w:left w:val="nil"/>
              <w:bottom w:val="single" w:sz="4" w:space="0" w:color="auto"/>
              <w:right w:val="single" w:sz="4" w:space="0" w:color="auto"/>
            </w:tcBorders>
            <w:shd w:val="clear" w:color="auto" w:fill="auto"/>
            <w:noWrap/>
            <w:vAlign w:val="center"/>
            <w:hideMark/>
          </w:tcPr>
          <w:p w14:paraId="7DB764EB"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7FA7889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7FBF2DB2"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091BFE9D" w14:textId="0B145315"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12038F2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Inversiones con el sector solidario</w:t>
            </w:r>
          </w:p>
        </w:tc>
        <w:tc>
          <w:tcPr>
            <w:tcW w:w="992" w:type="dxa"/>
            <w:tcBorders>
              <w:top w:val="nil"/>
              <w:left w:val="nil"/>
              <w:bottom w:val="single" w:sz="4" w:space="0" w:color="auto"/>
              <w:right w:val="single" w:sz="4" w:space="0" w:color="auto"/>
            </w:tcBorders>
            <w:shd w:val="clear" w:color="auto" w:fill="auto"/>
            <w:noWrap/>
            <w:vAlign w:val="center"/>
            <w:hideMark/>
          </w:tcPr>
          <w:p w14:paraId="2D967A0B"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3,82%</w:t>
            </w:r>
          </w:p>
        </w:tc>
        <w:tc>
          <w:tcPr>
            <w:tcW w:w="1089" w:type="dxa"/>
            <w:tcBorders>
              <w:top w:val="nil"/>
              <w:left w:val="nil"/>
              <w:bottom w:val="single" w:sz="4" w:space="0" w:color="auto"/>
              <w:right w:val="single" w:sz="4" w:space="0" w:color="auto"/>
            </w:tcBorders>
            <w:shd w:val="clear" w:color="auto" w:fill="auto"/>
            <w:noWrap/>
            <w:vAlign w:val="bottom"/>
            <w:hideMark/>
          </w:tcPr>
          <w:p w14:paraId="00D4D36A"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4BE3689D"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448FB9A" w14:textId="25C41503"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5EE9249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de la educación, formación e información.</w:t>
            </w:r>
          </w:p>
        </w:tc>
        <w:tc>
          <w:tcPr>
            <w:tcW w:w="992" w:type="dxa"/>
            <w:tcBorders>
              <w:top w:val="nil"/>
              <w:left w:val="nil"/>
              <w:bottom w:val="single" w:sz="4" w:space="0" w:color="auto"/>
              <w:right w:val="single" w:sz="4" w:space="0" w:color="auto"/>
            </w:tcBorders>
            <w:shd w:val="clear" w:color="auto" w:fill="auto"/>
            <w:noWrap/>
            <w:vAlign w:val="center"/>
            <w:hideMark/>
          </w:tcPr>
          <w:p w14:paraId="312D0F3E"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28AE9052"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6A1D8589"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E312C2B" w14:textId="6E66D965"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6F78655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democrática asistencia delegados o asociados</w:t>
            </w:r>
          </w:p>
        </w:tc>
        <w:tc>
          <w:tcPr>
            <w:tcW w:w="992" w:type="dxa"/>
            <w:tcBorders>
              <w:top w:val="nil"/>
              <w:left w:val="nil"/>
              <w:bottom w:val="single" w:sz="4" w:space="0" w:color="auto"/>
              <w:right w:val="single" w:sz="4" w:space="0" w:color="auto"/>
            </w:tcBorders>
            <w:shd w:val="clear" w:color="auto" w:fill="auto"/>
            <w:noWrap/>
            <w:vAlign w:val="center"/>
            <w:hideMark/>
          </w:tcPr>
          <w:p w14:paraId="78D53816"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24,58%</w:t>
            </w:r>
          </w:p>
        </w:tc>
        <w:tc>
          <w:tcPr>
            <w:tcW w:w="1089" w:type="dxa"/>
            <w:tcBorders>
              <w:top w:val="nil"/>
              <w:left w:val="nil"/>
              <w:bottom w:val="single" w:sz="4" w:space="0" w:color="auto"/>
              <w:right w:val="single" w:sz="4" w:space="0" w:color="auto"/>
            </w:tcBorders>
            <w:shd w:val="clear" w:color="auto" w:fill="auto"/>
            <w:noWrap/>
            <w:vAlign w:val="bottom"/>
            <w:hideMark/>
          </w:tcPr>
          <w:p w14:paraId="26D590B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7965CBDF"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0998B66F" w14:textId="7AAEF891"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429B75C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democrática votación delegados</w:t>
            </w:r>
          </w:p>
        </w:tc>
        <w:tc>
          <w:tcPr>
            <w:tcW w:w="992" w:type="dxa"/>
            <w:tcBorders>
              <w:top w:val="nil"/>
              <w:left w:val="nil"/>
              <w:bottom w:val="single" w:sz="4" w:space="0" w:color="auto"/>
              <w:right w:val="single" w:sz="4" w:space="0" w:color="auto"/>
            </w:tcBorders>
            <w:shd w:val="clear" w:color="auto" w:fill="auto"/>
            <w:noWrap/>
            <w:vAlign w:val="center"/>
            <w:hideMark/>
          </w:tcPr>
          <w:p w14:paraId="61010DC8"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24,58%</w:t>
            </w:r>
          </w:p>
        </w:tc>
        <w:tc>
          <w:tcPr>
            <w:tcW w:w="1089" w:type="dxa"/>
            <w:tcBorders>
              <w:top w:val="nil"/>
              <w:left w:val="nil"/>
              <w:bottom w:val="single" w:sz="4" w:space="0" w:color="auto"/>
              <w:right w:val="single" w:sz="4" w:space="0" w:color="auto"/>
            </w:tcBorders>
            <w:shd w:val="clear" w:color="auto" w:fill="auto"/>
            <w:noWrap/>
            <w:vAlign w:val="bottom"/>
            <w:hideMark/>
          </w:tcPr>
          <w:p w14:paraId="007A92FE"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096C7687"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514B33A8" w14:textId="2582BCB4"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4D098CF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en procesos de educación</w:t>
            </w:r>
            <w:r>
              <w:rPr>
                <w:rFonts w:ascii="Arial Narrow" w:hAnsi="Arial Narrow" w:cs="Calibri"/>
                <w:color w:val="000000"/>
                <w:sz w:val="16"/>
                <w:szCs w:val="16"/>
                <w:lang w:val="es-CO" w:eastAsia="es-CO"/>
              </w:rPr>
              <w:t xml:space="preserve"> </w:t>
            </w:r>
            <w:r w:rsidRPr="00110659">
              <w:rPr>
                <w:rFonts w:ascii="Arial Narrow" w:hAnsi="Arial Narrow" w:cs="Calibri"/>
                <w:color w:val="000000"/>
                <w:sz w:val="16"/>
                <w:szCs w:val="16"/>
                <w:lang w:val="es-CO" w:eastAsia="es-CO"/>
              </w:rPr>
              <w:t>para directivos</w:t>
            </w:r>
          </w:p>
        </w:tc>
        <w:tc>
          <w:tcPr>
            <w:tcW w:w="992" w:type="dxa"/>
            <w:tcBorders>
              <w:top w:val="nil"/>
              <w:left w:val="nil"/>
              <w:bottom w:val="single" w:sz="4" w:space="0" w:color="auto"/>
              <w:right w:val="single" w:sz="4" w:space="0" w:color="auto"/>
            </w:tcBorders>
            <w:shd w:val="clear" w:color="auto" w:fill="auto"/>
            <w:noWrap/>
            <w:vAlign w:val="center"/>
            <w:hideMark/>
          </w:tcPr>
          <w:p w14:paraId="0271F73D"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40,68%</w:t>
            </w:r>
          </w:p>
        </w:tc>
        <w:tc>
          <w:tcPr>
            <w:tcW w:w="1089" w:type="dxa"/>
            <w:tcBorders>
              <w:top w:val="nil"/>
              <w:left w:val="nil"/>
              <w:bottom w:val="single" w:sz="4" w:space="0" w:color="auto"/>
              <w:right w:val="single" w:sz="4" w:space="0" w:color="auto"/>
            </w:tcBorders>
            <w:shd w:val="clear" w:color="auto" w:fill="auto"/>
            <w:noWrap/>
            <w:vAlign w:val="bottom"/>
            <w:hideMark/>
          </w:tcPr>
          <w:p w14:paraId="69269D46"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12CFA662"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210BD955" w14:textId="238DF9C4"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5E9D65DF"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Población joven en asamblea</w:t>
            </w:r>
          </w:p>
        </w:tc>
        <w:tc>
          <w:tcPr>
            <w:tcW w:w="992" w:type="dxa"/>
            <w:tcBorders>
              <w:top w:val="nil"/>
              <w:left w:val="nil"/>
              <w:bottom w:val="single" w:sz="4" w:space="0" w:color="auto"/>
              <w:right w:val="single" w:sz="4" w:space="0" w:color="auto"/>
            </w:tcBorders>
            <w:shd w:val="clear" w:color="auto" w:fill="auto"/>
            <w:noWrap/>
            <w:vAlign w:val="center"/>
            <w:hideMark/>
          </w:tcPr>
          <w:p w14:paraId="575A0D9A"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7,69%</w:t>
            </w:r>
          </w:p>
        </w:tc>
        <w:tc>
          <w:tcPr>
            <w:tcW w:w="1089" w:type="dxa"/>
            <w:tcBorders>
              <w:top w:val="nil"/>
              <w:left w:val="nil"/>
              <w:bottom w:val="single" w:sz="4" w:space="0" w:color="auto"/>
              <w:right w:val="single" w:sz="4" w:space="0" w:color="auto"/>
            </w:tcBorders>
            <w:shd w:val="clear" w:color="auto" w:fill="auto"/>
            <w:noWrap/>
            <w:vAlign w:val="bottom"/>
            <w:hideMark/>
          </w:tcPr>
          <w:p w14:paraId="34C8B4DF"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109B9EC9"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432EA923" w14:textId="18B3ACC5"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701B6BA5"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Población joven en órganos de dirección, administración y control</w:t>
            </w:r>
          </w:p>
        </w:tc>
        <w:tc>
          <w:tcPr>
            <w:tcW w:w="992" w:type="dxa"/>
            <w:tcBorders>
              <w:top w:val="nil"/>
              <w:left w:val="nil"/>
              <w:bottom w:val="single" w:sz="4" w:space="0" w:color="auto"/>
              <w:right w:val="single" w:sz="4" w:space="0" w:color="auto"/>
            </w:tcBorders>
            <w:shd w:val="clear" w:color="auto" w:fill="auto"/>
            <w:noWrap/>
            <w:vAlign w:val="center"/>
            <w:hideMark/>
          </w:tcPr>
          <w:p w14:paraId="66FD812A"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0,00%</w:t>
            </w:r>
          </w:p>
        </w:tc>
        <w:tc>
          <w:tcPr>
            <w:tcW w:w="1089" w:type="dxa"/>
            <w:tcBorders>
              <w:top w:val="nil"/>
              <w:left w:val="nil"/>
              <w:bottom w:val="single" w:sz="4" w:space="0" w:color="auto"/>
              <w:right w:val="single" w:sz="4" w:space="0" w:color="auto"/>
            </w:tcBorders>
            <w:shd w:val="clear" w:color="auto" w:fill="auto"/>
            <w:noWrap/>
            <w:vAlign w:val="bottom"/>
            <w:hideMark/>
          </w:tcPr>
          <w:p w14:paraId="26511B9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35FCC15A"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3D274A54" w14:textId="3FF7CFDE"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6 - Servicio a la comunidad</w:t>
            </w:r>
          </w:p>
        </w:tc>
        <w:tc>
          <w:tcPr>
            <w:tcW w:w="4111" w:type="dxa"/>
            <w:tcBorders>
              <w:top w:val="nil"/>
              <w:left w:val="nil"/>
              <w:bottom w:val="single" w:sz="4" w:space="0" w:color="auto"/>
              <w:right w:val="single" w:sz="4" w:space="0" w:color="auto"/>
            </w:tcBorders>
            <w:shd w:val="clear" w:color="auto" w:fill="auto"/>
            <w:noWrap/>
            <w:vAlign w:val="bottom"/>
            <w:hideMark/>
          </w:tcPr>
          <w:p w14:paraId="275B530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Promoción proveedores locales</w:t>
            </w:r>
          </w:p>
        </w:tc>
        <w:tc>
          <w:tcPr>
            <w:tcW w:w="992" w:type="dxa"/>
            <w:tcBorders>
              <w:top w:val="nil"/>
              <w:left w:val="nil"/>
              <w:bottom w:val="single" w:sz="4" w:space="0" w:color="auto"/>
              <w:right w:val="single" w:sz="4" w:space="0" w:color="auto"/>
            </w:tcBorders>
            <w:shd w:val="clear" w:color="auto" w:fill="auto"/>
            <w:noWrap/>
            <w:vAlign w:val="center"/>
            <w:hideMark/>
          </w:tcPr>
          <w:p w14:paraId="758D1D90"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73,47%</w:t>
            </w:r>
          </w:p>
        </w:tc>
        <w:tc>
          <w:tcPr>
            <w:tcW w:w="1089" w:type="dxa"/>
            <w:tcBorders>
              <w:top w:val="nil"/>
              <w:left w:val="nil"/>
              <w:bottom w:val="single" w:sz="4" w:space="0" w:color="auto"/>
              <w:right w:val="single" w:sz="4" w:space="0" w:color="auto"/>
            </w:tcBorders>
            <w:shd w:val="clear" w:color="auto" w:fill="auto"/>
            <w:noWrap/>
            <w:vAlign w:val="bottom"/>
            <w:hideMark/>
          </w:tcPr>
          <w:p w14:paraId="41B41E5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4EA9F1A6"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3C927A0E" w14:textId="20EE4A5F"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5A61353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Rentabilidad social</w:t>
            </w:r>
          </w:p>
        </w:tc>
        <w:tc>
          <w:tcPr>
            <w:tcW w:w="992" w:type="dxa"/>
            <w:tcBorders>
              <w:top w:val="nil"/>
              <w:left w:val="nil"/>
              <w:bottom w:val="single" w:sz="4" w:space="0" w:color="auto"/>
              <w:right w:val="single" w:sz="4" w:space="0" w:color="auto"/>
            </w:tcBorders>
            <w:shd w:val="clear" w:color="auto" w:fill="auto"/>
            <w:noWrap/>
            <w:vAlign w:val="center"/>
            <w:hideMark/>
          </w:tcPr>
          <w:p w14:paraId="5E4264ED"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29,62%</w:t>
            </w:r>
          </w:p>
        </w:tc>
        <w:tc>
          <w:tcPr>
            <w:tcW w:w="1089" w:type="dxa"/>
            <w:tcBorders>
              <w:top w:val="nil"/>
              <w:left w:val="nil"/>
              <w:bottom w:val="single" w:sz="4" w:space="0" w:color="auto"/>
              <w:right w:val="single" w:sz="4" w:space="0" w:color="auto"/>
            </w:tcBorders>
            <w:shd w:val="clear" w:color="auto" w:fill="auto"/>
            <w:noWrap/>
            <w:vAlign w:val="bottom"/>
            <w:hideMark/>
          </w:tcPr>
          <w:p w14:paraId="3426C6E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3. </w:t>
            </w:r>
            <w:proofErr w:type="spellStart"/>
            <w:r w:rsidRPr="00110659">
              <w:rPr>
                <w:rFonts w:ascii="Arial Narrow" w:hAnsi="Arial Narrow" w:cs="Calibri"/>
                <w:color w:val="000000"/>
                <w:sz w:val="16"/>
                <w:szCs w:val="16"/>
                <w:lang w:val="es-CO" w:eastAsia="es-CO"/>
              </w:rPr>
              <w:t>Oport</w:t>
            </w:r>
            <w:proofErr w:type="spellEnd"/>
            <w:r w:rsidRPr="00110659">
              <w:rPr>
                <w:rFonts w:ascii="Arial Narrow" w:hAnsi="Arial Narrow" w:cs="Calibri"/>
                <w:color w:val="000000"/>
                <w:sz w:val="16"/>
                <w:szCs w:val="16"/>
                <w:lang w:val="es-CO" w:eastAsia="es-CO"/>
              </w:rPr>
              <w:t>. Mejora</w:t>
            </w:r>
          </w:p>
        </w:tc>
      </w:tr>
      <w:tr w:rsidR="007E21BD" w:rsidRPr="00110659" w14:paraId="048F93EF"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8A843B2" w14:textId="70A7E65E"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1A39EE11"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Diversidad de participantes dirección, </w:t>
            </w:r>
            <w:r>
              <w:rPr>
                <w:rFonts w:ascii="Arial Narrow" w:hAnsi="Arial Narrow" w:cs="Calibri"/>
                <w:color w:val="000000"/>
                <w:sz w:val="16"/>
                <w:szCs w:val="16"/>
                <w:lang w:val="es-CO" w:eastAsia="es-CO"/>
              </w:rPr>
              <w:t>admón.</w:t>
            </w:r>
            <w:r w:rsidRPr="00110659">
              <w:rPr>
                <w:rFonts w:ascii="Arial Narrow" w:hAnsi="Arial Narrow" w:cs="Calibri"/>
                <w:color w:val="000000"/>
                <w:sz w:val="16"/>
                <w:szCs w:val="16"/>
                <w:lang w:val="es-CO" w:eastAsia="es-CO"/>
              </w:rPr>
              <w:t xml:space="preserve"> y control</w:t>
            </w:r>
          </w:p>
        </w:tc>
        <w:tc>
          <w:tcPr>
            <w:tcW w:w="992" w:type="dxa"/>
            <w:tcBorders>
              <w:top w:val="nil"/>
              <w:left w:val="nil"/>
              <w:bottom w:val="single" w:sz="4" w:space="0" w:color="auto"/>
              <w:right w:val="single" w:sz="4" w:space="0" w:color="auto"/>
            </w:tcBorders>
            <w:shd w:val="clear" w:color="auto" w:fill="auto"/>
            <w:noWrap/>
            <w:vAlign w:val="center"/>
            <w:hideMark/>
          </w:tcPr>
          <w:p w14:paraId="3B6EB2F4"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61,54%</w:t>
            </w:r>
          </w:p>
        </w:tc>
        <w:tc>
          <w:tcPr>
            <w:tcW w:w="1089" w:type="dxa"/>
            <w:tcBorders>
              <w:top w:val="nil"/>
              <w:left w:val="nil"/>
              <w:bottom w:val="single" w:sz="4" w:space="0" w:color="auto"/>
              <w:right w:val="single" w:sz="4" w:space="0" w:color="auto"/>
            </w:tcBorders>
            <w:shd w:val="clear" w:color="auto" w:fill="auto"/>
            <w:noWrap/>
            <w:vAlign w:val="bottom"/>
            <w:hideMark/>
          </w:tcPr>
          <w:p w14:paraId="20D41DFF"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7E21BD" w:rsidRPr="00110659" w14:paraId="68650B9D"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132AF891" w14:textId="743D856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728E83C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asamblea</w:t>
            </w:r>
          </w:p>
        </w:tc>
        <w:tc>
          <w:tcPr>
            <w:tcW w:w="992" w:type="dxa"/>
            <w:tcBorders>
              <w:top w:val="nil"/>
              <w:left w:val="nil"/>
              <w:bottom w:val="single" w:sz="4" w:space="0" w:color="auto"/>
              <w:right w:val="single" w:sz="4" w:space="0" w:color="auto"/>
            </w:tcBorders>
            <w:shd w:val="clear" w:color="auto" w:fill="auto"/>
            <w:noWrap/>
            <w:vAlign w:val="center"/>
            <w:hideMark/>
          </w:tcPr>
          <w:p w14:paraId="60615BFA"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42,31%</w:t>
            </w:r>
          </w:p>
        </w:tc>
        <w:tc>
          <w:tcPr>
            <w:tcW w:w="1089" w:type="dxa"/>
            <w:tcBorders>
              <w:top w:val="nil"/>
              <w:left w:val="nil"/>
              <w:bottom w:val="single" w:sz="4" w:space="0" w:color="auto"/>
              <w:right w:val="single" w:sz="4" w:space="0" w:color="auto"/>
            </w:tcBorders>
            <w:shd w:val="clear" w:color="auto" w:fill="auto"/>
            <w:noWrap/>
            <w:vAlign w:val="bottom"/>
            <w:hideMark/>
          </w:tcPr>
          <w:p w14:paraId="12127026"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7E21BD" w:rsidRPr="00110659" w14:paraId="01F9D1BC"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077B6D84" w14:textId="7733B7ED"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25250E8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Nivel de satisfacción de asociados</w:t>
            </w:r>
          </w:p>
        </w:tc>
        <w:tc>
          <w:tcPr>
            <w:tcW w:w="992" w:type="dxa"/>
            <w:tcBorders>
              <w:top w:val="nil"/>
              <w:left w:val="nil"/>
              <w:bottom w:val="single" w:sz="4" w:space="0" w:color="auto"/>
              <w:right w:val="single" w:sz="4" w:space="0" w:color="auto"/>
            </w:tcBorders>
            <w:shd w:val="clear" w:color="auto" w:fill="auto"/>
            <w:noWrap/>
            <w:vAlign w:val="center"/>
            <w:hideMark/>
          </w:tcPr>
          <w:p w14:paraId="19AA7BDA"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84,00%</w:t>
            </w:r>
          </w:p>
        </w:tc>
        <w:tc>
          <w:tcPr>
            <w:tcW w:w="1089" w:type="dxa"/>
            <w:tcBorders>
              <w:top w:val="nil"/>
              <w:left w:val="nil"/>
              <w:bottom w:val="single" w:sz="4" w:space="0" w:color="auto"/>
              <w:right w:val="single" w:sz="4" w:space="0" w:color="auto"/>
            </w:tcBorders>
            <w:shd w:val="clear" w:color="auto" w:fill="auto"/>
            <w:noWrap/>
            <w:vAlign w:val="bottom"/>
            <w:hideMark/>
          </w:tcPr>
          <w:p w14:paraId="3C5E1FE1"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7E21BD" w:rsidRPr="00110659" w14:paraId="39A05FE1"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7EFC85A" w14:textId="1623F483"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2: Adhesión Abierta, </w:t>
            </w:r>
            <w:r>
              <w:rPr>
                <w:rFonts w:ascii="Arial Narrow" w:hAnsi="Arial Narrow" w:cs="Calibri"/>
                <w:color w:val="000000"/>
                <w:sz w:val="16"/>
                <w:szCs w:val="16"/>
                <w:lang w:val="es-CO" w:eastAsia="es-CO"/>
              </w:rPr>
              <w:t>responsable</w:t>
            </w:r>
            <w:r w:rsidRPr="00110659">
              <w:rPr>
                <w:rFonts w:ascii="Arial Narrow" w:hAnsi="Arial Narrow" w:cs="Calibri"/>
                <w:color w:val="000000"/>
                <w:sz w:val="16"/>
                <w:szCs w:val="16"/>
                <w:lang w:val="es-CO" w:eastAsia="es-CO"/>
              </w:rPr>
              <w:t xml:space="preserve"> y Voluntaria</w:t>
            </w:r>
          </w:p>
        </w:tc>
        <w:tc>
          <w:tcPr>
            <w:tcW w:w="4111" w:type="dxa"/>
            <w:tcBorders>
              <w:top w:val="nil"/>
              <w:left w:val="nil"/>
              <w:bottom w:val="single" w:sz="4" w:space="0" w:color="auto"/>
              <w:right w:val="single" w:sz="4" w:space="0" w:color="auto"/>
            </w:tcBorders>
            <w:shd w:val="clear" w:color="auto" w:fill="auto"/>
            <w:noWrap/>
            <w:vAlign w:val="bottom"/>
            <w:hideMark/>
          </w:tcPr>
          <w:p w14:paraId="74E6013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Relevo generacional</w:t>
            </w:r>
          </w:p>
        </w:tc>
        <w:tc>
          <w:tcPr>
            <w:tcW w:w="992" w:type="dxa"/>
            <w:tcBorders>
              <w:top w:val="nil"/>
              <w:left w:val="nil"/>
              <w:bottom w:val="single" w:sz="4" w:space="0" w:color="auto"/>
              <w:right w:val="single" w:sz="4" w:space="0" w:color="auto"/>
            </w:tcBorders>
            <w:shd w:val="clear" w:color="auto" w:fill="auto"/>
            <w:noWrap/>
            <w:vAlign w:val="center"/>
            <w:hideMark/>
          </w:tcPr>
          <w:p w14:paraId="36CA31CA"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49,32%</w:t>
            </w:r>
          </w:p>
        </w:tc>
        <w:tc>
          <w:tcPr>
            <w:tcW w:w="1089" w:type="dxa"/>
            <w:tcBorders>
              <w:top w:val="nil"/>
              <w:left w:val="nil"/>
              <w:bottom w:val="single" w:sz="4" w:space="0" w:color="auto"/>
              <w:right w:val="single" w:sz="4" w:space="0" w:color="auto"/>
            </w:tcBorders>
            <w:shd w:val="clear" w:color="auto" w:fill="auto"/>
            <w:noWrap/>
            <w:vAlign w:val="bottom"/>
            <w:hideMark/>
          </w:tcPr>
          <w:p w14:paraId="05E4E7E1"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2. Aceptable</w:t>
            </w:r>
          </w:p>
        </w:tc>
      </w:tr>
      <w:tr w:rsidR="007E21BD" w:rsidRPr="00110659" w14:paraId="0208C0BA"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588B1CF8" w14:textId="7C68115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6BE334F3"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Asociados activos</w:t>
            </w:r>
          </w:p>
        </w:tc>
        <w:tc>
          <w:tcPr>
            <w:tcW w:w="992" w:type="dxa"/>
            <w:tcBorders>
              <w:top w:val="nil"/>
              <w:left w:val="nil"/>
              <w:bottom w:val="single" w:sz="4" w:space="0" w:color="auto"/>
              <w:right w:val="single" w:sz="4" w:space="0" w:color="auto"/>
            </w:tcBorders>
            <w:shd w:val="clear" w:color="auto" w:fill="auto"/>
            <w:noWrap/>
            <w:vAlign w:val="center"/>
            <w:hideMark/>
          </w:tcPr>
          <w:p w14:paraId="06734CD6"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93,80%</w:t>
            </w:r>
          </w:p>
        </w:tc>
        <w:tc>
          <w:tcPr>
            <w:tcW w:w="1089" w:type="dxa"/>
            <w:tcBorders>
              <w:top w:val="nil"/>
              <w:left w:val="nil"/>
              <w:bottom w:val="single" w:sz="4" w:space="0" w:color="auto"/>
              <w:right w:val="single" w:sz="4" w:space="0" w:color="auto"/>
            </w:tcBorders>
            <w:shd w:val="clear" w:color="auto" w:fill="auto"/>
            <w:noWrap/>
            <w:vAlign w:val="bottom"/>
            <w:hideMark/>
          </w:tcPr>
          <w:p w14:paraId="1057594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2D4A72C7"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24D6616F" w14:textId="3F6E28F2"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4F64AC34"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Capital institucional</w:t>
            </w:r>
          </w:p>
        </w:tc>
        <w:tc>
          <w:tcPr>
            <w:tcW w:w="992" w:type="dxa"/>
            <w:tcBorders>
              <w:top w:val="nil"/>
              <w:left w:val="nil"/>
              <w:bottom w:val="single" w:sz="4" w:space="0" w:color="auto"/>
              <w:right w:val="single" w:sz="4" w:space="0" w:color="auto"/>
            </w:tcBorders>
            <w:shd w:val="clear" w:color="auto" w:fill="auto"/>
            <w:noWrap/>
            <w:vAlign w:val="center"/>
            <w:hideMark/>
          </w:tcPr>
          <w:p w14:paraId="642F1F4E"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18,70%</w:t>
            </w:r>
          </w:p>
        </w:tc>
        <w:tc>
          <w:tcPr>
            <w:tcW w:w="1089" w:type="dxa"/>
            <w:tcBorders>
              <w:top w:val="nil"/>
              <w:left w:val="nil"/>
              <w:bottom w:val="single" w:sz="4" w:space="0" w:color="auto"/>
              <w:right w:val="single" w:sz="4" w:space="0" w:color="auto"/>
            </w:tcBorders>
            <w:shd w:val="clear" w:color="auto" w:fill="auto"/>
            <w:noWrap/>
            <w:vAlign w:val="bottom"/>
            <w:hideMark/>
          </w:tcPr>
          <w:p w14:paraId="7ED0DA0F"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687F6AF1"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1C22038D" w14:textId="0025ACF3"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5FEF081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Cobertura en procesos de educación para asociados</w:t>
            </w:r>
          </w:p>
        </w:tc>
        <w:tc>
          <w:tcPr>
            <w:tcW w:w="992" w:type="dxa"/>
            <w:tcBorders>
              <w:top w:val="nil"/>
              <w:left w:val="nil"/>
              <w:bottom w:val="single" w:sz="4" w:space="0" w:color="auto"/>
              <w:right w:val="single" w:sz="4" w:space="0" w:color="auto"/>
            </w:tcBorders>
            <w:shd w:val="clear" w:color="auto" w:fill="auto"/>
            <w:noWrap/>
            <w:vAlign w:val="center"/>
            <w:hideMark/>
          </w:tcPr>
          <w:p w14:paraId="701672AF"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11,69%</w:t>
            </w:r>
          </w:p>
        </w:tc>
        <w:tc>
          <w:tcPr>
            <w:tcW w:w="1089" w:type="dxa"/>
            <w:tcBorders>
              <w:top w:val="nil"/>
              <w:left w:val="nil"/>
              <w:bottom w:val="single" w:sz="4" w:space="0" w:color="auto"/>
              <w:right w:val="single" w:sz="4" w:space="0" w:color="auto"/>
            </w:tcBorders>
            <w:shd w:val="clear" w:color="auto" w:fill="auto"/>
            <w:noWrap/>
            <w:vAlign w:val="bottom"/>
            <w:hideMark/>
          </w:tcPr>
          <w:p w14:paraId="283A87F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78388735"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7B3699AE" w14:textId="4068A25F"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78B2AB42"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Concentración de créditos</w:t>
            </w:r>
          </w:p>
        </w:tc>
        <w:tc>
          <w:tcPr>
            <w:tcW w:w="992" w:type="dxa"/>
            <w:tcBorders>
              <w:top w:val="nil"/>
              <w:left w:val="nil"/>
              <w:bottom w:val="single" w:sz="4" w:space="0" w:color="auto"/>
              <w:right w:val="single" w:sz="4" w:space="0" w:color="auto"/>
            </w:tcBorders>
            <w:shd w:val="clear" w:color="auto" w:fill="auto"/>
            <w:noWrap/>
            <w:vAlign w:val="center"/>
            <w:hideMark/>
          </w:tcPr>
          <w:p w14:paraId="7960F756"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46,76%</w:t>
            </w:r>
          </w:p>
        </w:tc>
        <w:tc>
          <w:tcPr>
            <w:tcW w:w="1089" w:type="dxa"/>
            <w:tcBorders>
              <w:top w:val="nil"/>
              <w:left w:val="nil"/>
              <w:bottom w:val="single" w:sz="4" w:space="0" w:color="auto"/>
              <w:right w:val="single" w:sz="4" w:space="0" w:color="auto"/>
            </w:tcBorders>
            <w:shd w:val="clear" w:color="auto" w:fill="auto"/>
            <w:noWrap/>
            <w:vAlign w:val="bottom"/>
            <w:hideMark/>
          </w:tcPr>
          <w:p w14:paraId="17FDA1E5"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23AEEB64"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2BA80539" w14:textId="0929E3EB"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5 - Autonomía Autodeterminación y Autogobierno</w:t>
            </w:r>
          </w:p>
        </w:tc>
        <w:tc>
          <w:tcPr>
            <w:tcW w:w="4111" w:type="dxa"/>
            <w:tcBorders>
              <w:top w:val="nil"/>
              <w:left w:val="nil"/>
              <w:bottom w:val="single" w:sz="4" w:space="0" w:color="auto"/>
              <w:right w:val="single" w:sz="4" w:space="0" w:color="auto"/>
            </w:tcBorders>
            <w:shd w:val="clear" w:color="auto" w:fill="auto"/>
            <w:noWrap/>
            <w:vAlign w:val="bottom"/>
            <w:hideMark/>
          </w:tcPr>
          <w:p w14:paraId="67DD370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Concentración de depósitos</w:t>
            </w:r>
          </w:p>
        </w:tc>
        <w:tc>
          <w:tcPr>
            <w:tcW w:w="992" w:type="dxa"/>
            <w:tcBorders>
              <w:top w:val="nil"/>
              <w:left w:val="nil"/>
              <w:bottom w:val="single" w:sz="4" w:space="0" w:color="auto"/>
              <w:right w:val="single" w:sz="4" w:space="0" w:color="auto"/>
            </w:tcBorders>
            <w:shd w:val="clear" w:color="auto" w:fill="auto"/>
            <w:noWrap/>
            <w:vAlign w:val="center"/>
            <w:hideMark/>
          </w:tcPr>
          <w:p w14:paraId="2C958AF2"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26,23%</w:t>
            </w:r>
          </w:p>
        </w:tc>
        <w:tc>
          <w:tcPr>
            <w:tcW w:w="1089" w:type="dxa"/>
            <w:tcBorders>
              <w:top w:val="nil"/>
              <w:left w:val="nil"/>
              <w:bottom w:val="single" w:sz="4" w:space="0" w:color="auto"/>
              <w:right w:val="single" w:sz="4" w:space="0" w:color="auto"/>
            </w:tcBorders>
            <w:shd w:val="clear" w:color="auto" w:fill="auto"/>
            <w:noWrap/>
            <w:vAlign w:val="bottom"/>
            <w:hideMark/>
          </w:tcPr>
          <w:p w14:paraId="0000399D"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3D1F2ABD"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08892D61" w14:textId="27196239"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7 - Integración con otras organizaciones del sector</w:t>
            </w:r>
          </w:p>
        </w:tc>
        <w:tc>
          <w:tcPr>
            <w:tcW w:w="4111" w:type="dxa"/>
            <w:tcBorders>
              <w:top w:val="nil"/>
              <w:left w:val="nil"/>
              <w:bottom w:val="single" w:sz="4" w:space="0" w:color="auto"/>
              <w:right w:val="single" w:sz="4" w:space="0" w:color="auto"/>
            </w:tcBorders>
            <w:shd w:val="clear" w:color="auto" w:fill="auto"/>
            <w:noWrap/>
            <w:vAlign w:val="bottom"/>
            <w:hideMark/>
          </w:tcPr>
          <w:p w14:paraId="119E9F88"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Contribuciones voluntarias para el sector solidario</w:t>
            </w:r>
          </w:p>
        </w:tc>
        <w:tc>
          <w:tcPr>
            <w:tcW w:w="992" w:type="dxa"/>
            <w:tcBorders>
              <w:top w:val="nil"/>
              <w:left w:val="nil"/>
              <w:bottom w:val="single" w:sz="4" w:space="0" w:color="auto"/>
              <w:right w:val="single" w:sz="4" w:space="0" w:color="auto"/>
            </w:tcBorders>
            <w:shd w:val="clear" w:color="auto" w:fill="auto"/>
            <w:noWrap/>
            <w:vAlign w:val="center"/>
            <w:hideMark/>
          </w:tcPr>
          <w:p w14:paraId="0D5AEE37"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3,85%</w:t>
            </w:r>
          </w:p>
        </w:tc>
        <w:tc>
          <w:tcPr>
            <w:tcW w:w="1089" w:type="dxa"/>
            <w:tcBorders>
              <w:top w:val="nil"/>
              <w:left w:val="nil"/>
              <w:bottom w:val="single" w:sz="4" w:space="0" w:color="auto"/>
              <w:right w:val="single" w:sz="4" w:space="0" w:color="auto"/>
            </w:tcBorders>
            <w:shd w:val="clear" w:color="auto" w:fill="auto"/>
            <w:noWrap/>
            <w:vAlign w:val="bottom"/>
            <w:hideMark/>
          </w:tcPr>
          <w:p w14:paraId="7471643B"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616F972E"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FB75F83" w14:textId="13D9F2DC"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68D81009"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Cultura de ahorro</w:t>
            </w:r>
          </w:p>
        </w:tc>
        <w:tc>
          <w:tcPr>
            <w:tcW w:w="992" w:type="dxa"/>
            <w:tcBorders>
              <w:top w:val="nil"/>
              <w:left w:val="nil"/>
              <w:bottom w:val="single" w:sz="4" w:space="0" w:color="auto"/>
              <w:right w:val="single" w:sz="4" w:space="0" w:color="auto"/>
            </w:tcBorders>
            <w:shd w:val="clear" w:color="auto" w:fill="auto"/>
            <w:noWrap/>
            <w:vAlign w:val="center"/>
            <w:hideMark/>
          </w:tcPr>
          <w:p w14:paraId="43EC1564"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100,79%</w:t>
            </w:r>
          </w:p>
        </w:tc>
        <w:tc>
          <w:tcPr>
            <w:tcW w:w="1089" w:type="dxa"/>
            <w:tcBorders>
              <w:top w:val="nil"/>
              <w:left w:val="nil"/>
              <w:bottom w:val="single" w:sz="4" w:space="0" w:color="auto"/>
              <w:right w:val="single" w:sz="4" w:space="0" w:color="auto"/>
            </w:tcBorders>
            <w:shd w:val="clear" w:color="auto" w:fill="auto"/>
            <w:noWrap/>
            <w:vAlign w:val="bottom"/>
            <w:hideMark/>
          </w:tcPr>
          <w:p w14:paraId="52FD7B4A"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5638A3AE"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11079CA0" w14:textId="2B46A6B5"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 Administración Democrática, participativa, autogestionaria</w:t>
            </w:r>
          </w:p>
        </w:tc>
        <w:tc>
          <w:tcPr>
            <w:tcW w:w="4111" w:type="dxa"/>
            <w:tcBorders>
              <w:top w:val="nil"/>
              <w:left w:val="nil"/>
              <w:bottom w:val="single" w:sz="4" w:space="0" w:color="auto"/>
              <w:right w:val="single" w:sz="4" w:space="0" w:color="auto"/>
            </w:tcBorders>
            <w:shd w:val="clear" w:color="auto" w:fill="auto"/>
            <w:noWrap/>
            <w:vAlign w:val="bottom"/>
            <w:hideMark/>
          </w:tcPr>
          <w:p w14:paraId="6C10629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Diversidad democrática</w:t>
            </w:r>
          </w:p>
        </w:tc>
        <w:tc>
          <w:tcPr>
            <w:tcW w:w="992" w:type="dxa"/>
            <w:tcBorders>
              <w:top w:val="nil"/>
              <w:left w:val="nil"/>
              <w:bottom w:val="single" w:sz="4" w:space="0" w:color="auto"/>
              <w:right w:val="single" w:sz="4" w:space="0" w:color="auto"/>
            </w:tcBorders>
            <w:shd w:val="clear" w:color="auto" w:fill="auto"/>
            <w:noWrap/>
            <w:vAlign w:val="center"/>
            <w:hideMark/>
          </w:tcPr>
          <w:p w14:paraId="4BA32B19"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100,00%</w:t>
            </w:r>
          </w:p>
        </w:tc>
        <w:tc>
          <w:tcPr>
            <w:tcW w:w="1089" w:type="dxa"/>
            <w:tcBorders>
              <w:top w:val="nil"/>
              <w:left w:val="nil"/>
              <w:bottom w:val="single" w:sz="4" w:space="0" w:color="auto"/>
              <w:right w:val="single" w:sz="4" w:space="0" w:color="auto"/>
            </w:tcBorders>
            <w:shd w:val="clear" w:color="auto" w:fill="auto"/>
            <w:noWrap/>
            <w:vAlign w:val="bottom"/>
            <w:hideMark/>
          </w:tcPr>
          <w:p w14:paraId="4DB93BD1"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5E2C4653"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55EC337C" w14:textId="50763DDA"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617FFDC0"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Equidad de género en volumen de negocio</w:t>
            </w:r>
          </w:p>
        </w:tc>
        <w:tc>
          <w:tcPr>
            <w:tcW w:w="992" w:type="dxa"/>
            <w:tcBorders>
              <w:top w:val="nil"/>
              <w:left w:val="nil"/>
              <w:bottom w:val="single" w:sz="4" w:space="0" w:color="auto"/>
              <w:right w:val="single" w:sz="4" w:space="0" w:color="auto"/>
            </w:tcBorders>
            <w:shd w:val="clear" w:color="auto" w:fill="auto"/>
            <w:noWrap/>
            <w:vAlign w:val="center"/>
            <w:hideMark/>
          </w:tcPr>
          <w:p w14:paraId="0636A990"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1,45</w:t>
            </w:r>
          </w:p>
        </w:tc>
        <w:tc>
          <w:tcPr>
            <w:tcW w:w="1089" w:type="dxa"/>
            <w:tcBorders>
              <w:top w:val="nil"/>
              <w:left w:val="nil"/>
              <w:bottom w:val="single" w:sz="4" w:space="0" w:color="auto"/>
              <w:right w:val="single" w:sz="4" w:space="0" w:color="auto"/>
            </w:tcBorders>
            <w:shd w:val="clear" w:color="auto" w:fill="auto"/>
            <w:noWrap/>
            <w:vAlign w:val="bottom"/>
            <w:hideMark/>
          </w:tcPr>
          <w:p w14:paraId="7A13A19F"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34A20854"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6392B7D7" w14:textId="632FB4B3"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0EA39D35"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Inclusión financiera</w:t>
            </w:r>
          </w:p>
        </w:tc>
        <w:tc>
          <w:tcPr>
            <w:tcW w:w="992" w:type="dxa"/>
            <w:tcBorders>
              <w:top w:val="nil"/>
              <w:left w:val="nil"/>
              <w:bottom w:val="single" w:sz="4" w:space="0" w:color="auto"/>
              <w:right w:val="single" w:sz="4" w:space="0" w:color="auto"/>
            </w:tcBorders>
            <w:shd w:val="clear" w:color="auto" w:fill="auto"/>
            <w:noWrap/>
            <w:vAlign w:val="center"/>
            <w:hideMark/>
          </w:tcPr>
          <w:p w14:paraId="35D2B586"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62,05%</w:t>
            </w:r>
          </w:p>
        </w:tc>
        <w:tc>
          <w:tcPr>
            <w:tcW w:w="1089" w:type="dxa"/>
            <w:tcBorders>
              <w:top w:val="nil"/>
              <w:left w:val="nil"/>
              <w:bottom w:val="single" w:sz="4" w:space="0" w:color="auto"/>
              <w:right w:val="single" w:sz="4" w:space="0" w:color="auto"/>
            </w:tcBorders>
            <w:shd w:val="clear" w:color="auto" w:fill="auto"/>
            <w:noWrap/>
            <w:vAlign w:val="bottom"/>
            <w:hideMark/>
          </w:tcPr>
          <w:p w14:paraId="6F8AA327"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1D543A1F"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47264D6A" w14:textId="3834356F"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 xml:space="preserve">4 - Formación e información permanente </w:t>
            </w:r>
          </w:p>
        </w:tc>
        <w:tc>
          <w:tcPr>
            <w:tcW w:w="4111" w:type="dxa"/>
            <w:tcBorders>
              <w:top w:val="nil"/>
              <w:left w:val="nil"/>
              <w:bottom w:val="single" w:sz="4" w:space="0" w:color="auto"/>
              <w:right w:val="single" w:sz="4" w:space="0" w:color="auto"/>
            </w:tcBorders>
            <w:shd w:val="clear" w:color="auto" w:fill="auto"/>
            <w:noWrap/>
            <w:vAlign w:val="bottom"/>
            <w:hideMark/>
          </w:tcPr>
          <w:p w14:paraId="2374BF9D"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Participación en procesos de educación para empleados.</w:t>
            </w:r>
          </w:p>
        </w:tc>
        <w:tc>
          <w:tcPr>
            <w:tcW w:w="992" w:type="dxa"/>
            <w:tcBorders>
              <w:top w:val="nil"/>
              <w:left w:val="nil"/>
              <w:bottom w:val="single" w:sz="4" w:space="0" w:color="auto"/>
              <w:right w:val="single" w:sz="4" w:space="0" w:color="auto"/>
            </w:tcBorders>
            <w:shd w:val="clear" w:color="auto" w:fill="auto"/>
            <w:noWrap/>
            <w:vAlign w:val="center"/>
            <w:hideMark/>
          </w:tcPr>
          <w:p w14:paraId="50E7B749"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100,00%</w:t>
            </w:r>
          </w:p>
        </w:tc>
        <w:tc>
          <w:tcPr>
            <w:tcW w:w="1089" w:type="dxa"/>
            <w:tcBorders>
              <w:top w:val="nil"/>
              <w:left w:val="nil"/>
              <w:bottom w:val="single" w:sz="4" w:space="0" w:color="auto"/>
              <w:right w:val="single" w:sz="4" w:space="0" w:color="auto"/>
            </w:tcBorders>
            <w:shd w:val="clear" w:color="auto" w:fill="auto"/>
            <w:noWrap/>
            <w:vAlign w:val="bottom"/>
            <w:hideMark/>
          </w:tcPr>
          <w:p w14:paraId="646F4FC6"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1021A385" w14:textId="77777777" w:rsidTr="00975F7F">
        <w:trPr>
          <w:trHeight w:val="113"/>
        </w:trPr>
        <w:tc>
          <w:tcPr>
            <w:tcW w:w="3964" w:type="dxa"/>
            <w:tcBorders>
              <w:top w:val="nil"/>
              <w:left w:val="single" w:sz="4" w:space="0" w:color="auto"/>
              <w:bottom w:val="single" w:sz="4" w:space="0" w:color="auto"/>
              <w:right w:val="single" w:sz="4" w:space="0" w:color="auto"/>
            </w:tcBorders>
            <w:shd w:val="clear" w:color="auto" w:fill="auto"/>
            <w:noWrap/>
            <w:vAlign w:val="bottom"/>
            <w:hideMark/>
          </w:tcPr>
          <w:p w14:paraId="43466CE9" w14:textId="45F2A736"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3 - Participación económica de los asociados</w:t>
            </w:r>
          </w:p>
        </w:tc>
        <w:tc>
          <w:tcPr>
            <w:tcW w:w="4111" w:type="dxa"/>
            <w:tcBorders>
              <w:top w:val="nil"/>
              <w:left w:val="nil"/>
              <w:bottom w:val="single" w:sz="4" w:space="0" w:color="auto"/>
              <w:right w:val="single" w:sz="4" w:space="0" w:color="auto"/>
            </w:tcBorders>
            <w:shd w:val="clear" w:color="auto" w:fill="auto"/>
            <w:noWrap/>
            <w:vAlign w:val="bottom"/>
            <w:hideMark/>
          </w:tcPr>
          <w:p w14:paraId="7FCD0294"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Crecimiento en fondos sociales por asociado beneficiado</w:t>
            </w:r>
          </w:p>
        </w:tc>
        <w:tc>
          <w:tcPr>
            <w:tcW w:w="992" w:type="dxa"/>
            <w:tcBorders>
              <w:top w:val="nil"/>
              <w:left w:val="nil"/>
              <w:bottom w:val="single" w:sz="4" w:space="0" w:color="auto"/>
              <w:right w:val="single" w:sz="4" w:space="0" w:color="auto"/>
            </w:tcBorders>
            <w:shd w:val="clear" w:color="auto" w:fill="auto"/>
            <w:noWrap/>
            <w:vAlign w:val="center"/>
            <w:hideMark/>
          </w:tcPr>
          <w:p w14:paraId="76E8E318" w14:textId="77777777" w:rsidR="007E21BD" w:rsidRPr="00110659" w:rsidRDefault="007E21BD" w:rsidP="00DA4A09">
            <w:pPr>
              <w:jc w:val="center"/>
              <w:rPr>
                <w:rFonts w:ascii="Arial Narrow" w:hAnsi="Arial Narrow" w:cs="Calibri"/>
                <w:color w:val="000000"/>
                <w:lang w:val="es-CO" w:eastAsia="es-CO"/>
              </w:rPr>
            </w:pPr>
            <w:r w:rsidRPr="00110659">
              <w:rPr>
                <w:rFonts w:ascii="Arial Narrow" w:hAnsi="Arial Narrow" w:cs="Calibri"/>
                <w:color w:val="000000"/>
                <w:lang w:val="es-CO" w:eastAsia="es-CO"/>
              </w:rPr>
              <w:t>184,82%</w:t>
            </w:r>
          </w:p>
        </w:tc>
        <w:tc>
          <w:tcPr>
            <w:tcW w:w="1089" w:type="dxa"/>
            <w:tcBorders>
              <w:top w:val="nil"/>
              <w:left w:val="nil"/>
              <w:bottom w:val="single" w:sz="4" w:space="0" w:color="auto"/>
              <w:right w:val="single" w:sz="4" w:space="0" w:color="auto"/>
            </w:tcBorders>
            <w:shd w:val="clear" w:color="auto" w:fill="auto"/>
            <w:noWrap/>
            <w:vAlign w:val="bottom"/>
            <w:hideMark/>
          </w:tcPr>
          <w:p w14:paraId="5F5D0F52" w14:textId="77777777" w:rsidR="007E21BD" w:rsidRPr="00110659" w:rsidRDefault="007E21BD" w:rsidP="00DA4A09">
            <w:pPr>
              <w:rPr>
                <w:rFonts w:ascii="Arial Narrow" w:hAnsi="Arial Narrow" w:cs="Calibri"/>
                <w:color w:val="000000"/>
                <w:sz w:val="16"/>
                <w:szCs w:val="16"/>
                <w:lang w:val="es-CO" w:eastAsia="es-CO"/>
              </w:rPr>
            </w:pPr>
            <w:r w:rsidRPr="00110659">
              <w:rPr>
                <w:rFonts w:ascii="Arial Narrow" w:hAnsi="Arial Narrow" w:cs="Calibri"/>
                <w:color w:val="000000"/>
                <w:sz w:val="16"/>
                <w:szCs w:val="16"/>
                <w:lang w:val="es-CO" w:eastAsia="es-CO"/>
              </w:rPr>
              <w:t>1. Satisfactorio</w:t>
            </w:r>
          </w:p>
        </w:tc>
      </w:tr>
      <w:tr w:rsidR="007E21BD" w:rsidRPr="00110659" w14:paraId="000EA28E"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758AD9EA" w14:textId="09058BD3"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1 - Administración Democrática, participativa, autogestionaria</w:t>
            </w:r>
          </w:p>
        </w:tc>
        <w:tc>
          <w:tcPr>
            <w:tcW w:w="992" w:type="dxa"/>
            <w:tcBorders>
              <w:top w:val="nil"/>
              <w:left w:val="nil"/>
              <w:bottom w:val="single" w:sz="4" w:space="0" w:color="auto"/>
              <w:right w:val="single" w:sz="4" w:space="0" w:color="auto"/>
            </w:tcBorders>
            <w:shd w:val="clear" w:color="000000" w:fill="002060"/>
            <w:noWrap/>
            <w:vAlign w:val="center"/>
            <w:hideMark/>
          </w:tcPr>
          <w:p w14:paraId="6AD6D37A"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44%</w:t>
            </w:r>
          </w:p>
        </w:tc>
        <w:tc>
          <w:tcPr>
            <w:tcW w:w="1089" w:type="dxa"/>
            <w:tcBorders>
              <w:top w:val="nil"/>
              <w:left w:val="nil"/>
              <w:bottom w:val="single" w:sz="4" w:space="0" w:color="auto"/>
              <w:right w:val="single" w:sz="4" w:space="0" w:color="auto"/>
            </w:tcBorders>
            <w:shd w:val="clear" w:color="000000" w:fill="002060"/>
            <w:noWrap/>
            <w:vAlign w:val="bottom"/>
            <w:hideMark/>
          </w:tcPr>
          <w:p w14:paraId="4E7BD7B2" w14:textId="77777777"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 </w:t>
            </w:r>
          </w:p>
        </w:tc>
      </w:tr>
      <w:tr w:rsidR="007E21BD" w:rsidRPr="00110659" w14:paraId="76B7FFA4"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4C7EE1B9" w14:textId="34D1E2E3"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 xml:space="preserve">2: Adhesión Abierta, </w:t>
            </w:r>
            <w:r>
              <w:rPr>
                <w:rFonts w:ascii="Arial Narrow" w:hAnsi="Arial Narrow" w:cs="Calibri"/>
                <w:b/>
                <w:bCs/>
                <w:color w:val="FFFFFF"/>
                <w:sz w:val="16"/>
                <w:szCs w:val="16"/>
                <w:lang w:val="es-CO" w:eastAsia="es-CO"/>
              </w:rPr>
              <w:t>responsable</w:t>
            </w:r>
            <w:r w:rsidRPr="00110659">
              <w:rPr>
                <w:rFonts w:ascii="Arial Narrow" w:hAnsi="Arial Narrow" w:cs="Calibri"/>
                <w:b/>
                <w:bCs/>
                <w:color w:val="FFFFFF"/>
                <w:sz w:val="16"/>
                <w:szCs w:val="16"/>
                <w:lang w:val="es-CO" w:eastAsia="es-CO"/>
              </w:rPr>
              <w:t xml:space="preserve"> y Voluntaria</w:t>
            </w:r>
          </w:p>
        </w:tc>
        <w:tc>
          <w:tcPr>
            <w:tcW w:w="992" w:type="dxa"/>
            <w:tcBorders>
              <w:top w:val="nil"/>
              <w:left w:val="nil"/>
              <w:bottom w:val="single" w:sz="4" w:space="0" w:color="auto"/>
              <w:right w:val="single" w:sz="4" w:space="0" w:color="auto"/>
            </w:tcBorders>
            <w:shd w:val="clear" w:color="000000" w:fill="002060"/>
            <w:noWrap/>
            <w:vAlign w:val="center"/>
            <w:hideMark/>
          </w:tcPr>
          <w:p w14:paraId="3AA662A1"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40%</w:t>
            </w:r>
          </w:p>
        </w:tc>
        <w:tc>
          <w:tcPr>
            <w:tcW w:w="1089" w:type="dxa"/>
            <w:tcBorders>
              <w:top w:val="nil"/>
              <w:left w:val="nil"/>
              <w:bottom w:val="single" w:sz="4" w:space="0" w:color="auto"/>
              <w:right w:val="single" w:sz="4" w:space="0" w:color="auto"/>
            </w:tcBorders>
            <w:shd w:val="clear" w:color="000000" w:fill="002060"/>
            <w:noWrap/>
            <w:vAlign w:val="bottom"/>
            <w:hideMark/>
          </w:tcPr>
          <w:p w14:paraId="1C229B99" w14:textId="77777777" w:rsidR="007E21BD" w:rsidRPr="00110659" w:rsidRDefault="007E21BD" w:rsidP="00DA4A09">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7E21BD" w:rsidRPr="00110659" w14:paraId="3EB1247A"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0BD7263A" w14:textId="72F9F202"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3 - Participación económica de los asociados, en justicia y equidad</w:t>
            </w:r>
          </w:p>
        </w:tc>
        <w:tc>
          <w:tcPr>
            <w:tcW w:w="992" w:type="dxa"/>
            <w:tcBorders>
              <w:top w:val="nil"/>
              <w:left w:val="nil"/>
              <w:bottom w:val="single" w:sz="4" w:space="0" w:color="auto"/>
              <w:right w:val="single" w:sz="4" w:space="0" w:color="auto"/>
            </w:tcBorders>
            <w:shd w:val="clear" w:color="000000" w:fill="002060"/>
            <w:noWrap/>
            <w:vAlign w:val="center"/>
            <w:hideMark/>
          </w:tcPr>
          <w:p w14:paraId="57E2250F"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63%</w:t>
            </w:r>
          </w:p>
        </w:tc>
        <w:tc>
          <w:tcPr>
            <w:tcW w:w="1089" w:type="dxa"/>
            <w:tcBorders>
              <w:top w:val="nil"/>
              <w:left w:val="nil"/>
              <w:bottom w:val="single" w:sz="4" w:space="0" w:color="auto"/>
              <w:right w:val="single" w:sz="4" w:space="0" w:color="auto"/>
            </w:tcBorders>
            <w:shd w:val="clear" w:color="000000" w:fill="002060"/>
            <w:noWrap/>
            <w:vAlign w:val="bottom"/>
            <w:hideMark/>
          </w:tcPr>
          <w:p w14:paraId="19B48DD0" w14:textId="77777777" w:rsidR="007E21BD" w:rsidRPr="00110659" w:rsidRDefault="007E21BD" w:rsidP="00DA4A09">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7E21BD" w:rsidRPr="00110659" w14:paraId="52209C44"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2CD133D7" w14:textId="79C624DE"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 xml:space="preserve">4 - Formación e información permanente </w:t>
            </w:r>
          </w:p>
        </w:tc>
        <w:tc>
          <w:tcPr>
            <w:tcW w:w="992" w:type="dxa"/>
            <w:tcBorders>
              <w:top w:val="nil"/>
              <w:left w:val="nil"/>
              <w:bottom w:val="single" w:sz="4" w:space="0" w:color="auto"/>
              <w:right w:val="single" w:sz="4" w:space="0" w:color="auto"/>
            </w:tcBorders>
            <w:shd w:val="clear" w:color="000000" w:fill="002060"/>
            <w:noWrap/>
            <w:vAlign w:val="center"/>
            <w:hideMark/>
          </w:tcPr>
          <w:p w14:paraId="70BE7893"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33%</w:t>
            </w:r>
          </w:p>
        </w:tc>
        <w:tc>
          <w:tcPr>
            <w:tcW w:w="1089" w:type="dxa"/>
            <w:tcBorders>
              <w:top w:val="nil"/>
              <w:left w:val="nil"/>
              <w:bottom w:val="single" w:sz="4" w:space="0" w:color="auto"/>
              <w:right w:val="single" w:sz="4" w:space="0" w:color="auto"/>
            </w:tcBorders>
            <w:shd w:val="clear" w:color="000000" w:fill="002060"/>
            <w:noWrap/>
            <w:vAlign w:val="bottom"/>
            <w:hideMark/>
          </w:tcPr>
          <w:p w14:paraId="56248574" w14:textId="77777777" w:rsidR="007E21BD" w:rsidRPr="00110659" w:rsidRDefault="007E21BD" w:rsidP="00DA4A09">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7E21BD" w:rsidRPr="00110659" w14:paraId="32AC03E4"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4817B079" w14:textId="41815973"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5 - Autonomía Autodeterminación y Autogobierno</w:t>
            </w:r>
          </w:p>
        </w:tc>
        <w:tc>
          <w:tcPr>
            <w:tcW w:w="992" w:type="dxa"/>
            <w:tcBorders>
              <w:top w:val="nil"/>
              <w:left w:val="nil"/>
              <w:bottom w:val="single" w:sz="4" w:space="0" w:color="auto"/>
              <w:right w:val="single" w:sz="4" w:space="0" w:color="auto"/>
            </w:tcBorders>
            <w:shd w:val="clear" w:color="000000" w:fill="002060"/>
            <w:noWrap/>
            <w:vAlign w:val="center"/>
            <w:hideMark/>
          </w:tcPr>
          <w:p w14:paraId="4FD9EEA5"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40%</w:t>
            </w:r>
          </w:p>
        </w:tc>
        <w:tc>
          <w:tcPr>
            <w:tcW w:w="1089" w:type="dxa"/>
            <w:tcBorders>
              <w:top w:val="nil"/>
              <w:left w:val="nil"/>
              <w:bottom w:val="single" w:sz="4" w:space="0" w:color="auto"/>
              <w:right w:val="single" w:sz="4" w:space="0" w:color="auto"/>
            </w:tcBorders>
            <w:shd w:val="clear" w:color="000000" w:fill="002060"/>
            <w:noWrap/>
            <w:vAlign w:val="bottom"/>
            <w:hideMark/>
          </w:tcPr>
          <w:p w14:paraId="76A4FDDD" w14:textId="77777777" w:rsidR="007E21BD" w:rsidRPr="00110659" w:rsidRDefault="007E21BD" w:rsidP="00DA4A09">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7E21BD" w:rsidRPr="00110659" w14:paraId="610DA550"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0C1E1E5E" w14:textId="1A5173E9"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6 - Servicio a la comunidad</w:t>
            </w:r>
          </w:p>
        </w:tc>
        <w:tc>
          <w:tcPr>
            <w:tcW w:w="992" w:type="dxa"/>
            <w:tcBorders>
              <w:top w:val="nil"/>
              <w:left w:val="nil"/>
              <w:bottom w:val="single" w:sz="4" w:space="0" w:color="auto"/>
              <w:right w:val="single" w:sz="4" w:space="0" w:color="auto"/>
            </w:tcBorders>
            <w:shd w:val="clear" w:color="000000" w:fill="002060"/>
            <w:noWrap/>
            <w:vAlign w:val="center"/>
            <w:hideMark/>
          </w:tcPr>
          <w:p w14:paraId="7A7FBC22"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0%</w:t>
            </w:r>
          </w:p>
        </w:tc>
        <w:tc>
          <w:tcPr>
            <w:tcW w:w="1089" w:type="dxa"/>
            <w:tcBorders>
              <w:top w:val="nil"/>
              <w:left w:val="nil"/>
              <w:bottom w:val="single" w:sz="4" w:space="0" w:color="auto"/>
              <w:right w:val="single" w:sz="4" w:space="0" w:color="auto"/>
            </w:tcBorders>
            <w:shd w:val="clear" w:color="000000" w:fill="002060"/>
            <w:noWrap/>
            <w:vAlign w:val="bottom"/>
            <w:hideMark/>
          </w:tcPr>
          <w:p w14:paraId="11616934" w14:textId="77777777" w:rsidR="007E21BD" w:rsidRPr="00110659" w:rsidRDefault="007E21BD" w:rsidP="00DA4A09">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r w:rsidR="007E21BD" w:rsidRPr="00110659" w14:paraId="70476008" w14:textId="77777777" w:rsidTr="00975F7F">
        <w:trPr>
          <w:trHeight w:val="113"/>
        </w:trPr>
        <w:tc>
          <w:tcPr>
            <w:tcW w:w="8080" w:type="dxa"/>
            <w:gridSpan w:val="2"/>
            <w:tcBorders>
              <w:top w:val="nil"/>
              <w:left w:val="single" w:sz="4" w:space="0" w:color="auto"/>
              <w:bottom w:val="single" w:sz="4" w:space="0" w:color="auto"/>
              <w:right w:val="single" w:sz="4" w:space="0" w:color="auto"/>
            </w:tcBorders>
            <w:shd w:val="clear" w:color="000000" w:fill="002060"/>
            <w:noWrap/>
            <w:vAlign w:val="bottom"/>
            <w:hideMark/>
          </w:tcPr>
          <w:p w14:paraId="638BDB75" w14:textId="41D87109" w:rsidR="007E21BD" w:rsidRPr="00110659" w:rsidRDefault="007E21BD" w:rsidP="00DA4A09">
            <w:pPr>
              <w:rPr>
                <w:rFonts w:ascii="Arial Narrow" w:hAnsi="Arial Narrow" w:cs="Calibri"/>
                <w:b/>
                <w:bCs/>
                <w:color w:val="FFFFFF"/>
                <w:sz w:val="16"/>
                <w:szCs w:val="16"/>
                <w:lang w:val="es-CO" w:eastAsia="es-CO"/>
              </w:rPr>
            </w:pPr>
            <w:r w:rsidRPr="00110659">
              <w:rPr>
                <w:rFonts w:ascii="Arial Narrow" w:hAnsi="Arial Narrow" w:cs="Calibri"/>
                <w:b/>
                <w:bCs/>
                <w:color w:val="FFFFFF"/>
                <w:sz w:val="16"/>
                <w:szCs w:val="16"/>
                <w:lang w:val="es-CO" w:eastAsia="es-CO"/>
              </w:rPr>
              <w:t>7 - Integración con otras organizaciones del sector</w:t>
            </w:r>
          </w:p>
        </w:tc>
        <w:tc>
          <w:tcPr>
            <w:tcW w:w="992" w:type="dxa"/>
            <w:tcBorders>
              <w:top w:val="nil"/>
              <w:left w:val="nil"/>
              <w:bottom w:val="single" w:sz="4" w:space="0" w:color="auto"/>
              <w:right w:val="single" w:sz="4" w:space="0" w:color="auto"/>
            </w:tcBorders>
            <w:shd w:val="clear" w:color="000000" w:fill="002060"/>
            <w:noWrap/>
            <w:vAlign w:val="center"/>
            <w:hideMark/>
          </w:tcPr>
          <w:p w14:paraId="076EF8D7" w14:textId="77777777" w:rsidR="007E21BD" w:rsidRPr="00110659" w:rsidRDefault="007E21BD" w:rsidP="00DA4A09">
            <w:pPr>
              <w:jc w:val="center"/>
              <w:rPr>
                <w:rFonts w:ascii="Arial Narrow" w:hAnsi="Arial Narrow" w:cs="Calibri"/>
                <w:b/>
                <w:bCs/>
                <w:color w:val="FFFFFF"/>
                <w:lang w:val="es-CO" w:eastAsia="es-CO"/>
              </w:rPr>
            </w:pPr>
            <w:r w:rsidRPr="00110659">
              <w:rPr>
                <w:rFonts w:ascii="Arial Narrow" w:hAnsi="Arial Narrow" w:cs="Calibri"/>
                <w:b/>
                <w:bCs/>
                <w:color w:val="FFFFFF"/>
                <w:lang w:val="es-CO" w:eastAsia="es-CO"/>
              </w:rPr>
              <w:t>25%</w:t>
            </w:r>
          </w:p>
        </w:tc>
        <w:tc>
          <w:tcPr>
            <w:tcW w:w="1089" w:type="dxa"/>
            <w:tcBorders>
              <w:top w:val="nil"/>
              <w:left w:val="nil"/>
              <w:bottom w:val="single" w:sz="4" w:space="0" w:color="auto"/>
              <w:right w:val="single" w:sz="4" w:space="0" w:color="auto"/>
            </w:tcBorders>
            <w:shd w:val="clear" w:color="000000" w:fill="002060"/>
            <w:noWrap/>
            <w:vAlign w:val="bottom"/>
            <w:hideMark/>
          </w:tcPr>
          <w:p w14:paraId="474D01B5" w14:textId="77777777" w:rsidR="007E21BD" w:rsidRPr="00110659" w:rsidRDefault="007E21BD" w:rsidP="00DA4A09">
            <w:pPr>
              <w:rPr>
                <w:rFonts w:ascii="Arial Narrow" w:hAnsi="Arial Narrow" w:cs="Calibri"/>
                <w:b/>
                <w:bCs/>
                <w:color w:val="FFFFFF"/>
                <w:lang w:val="es-CO" w:eastAsia="es-CO"/>
              </w:rPr>
            </w:pPr>
            <w:r w:rsidRPr="00110659">
              <w:rPr>
                <w:rFonts w:ascii="Arial Narrow" w:hAnsi="Arial Narrow" w:cs="Calibri"/>
                <w:b/>
                <w:bCs/>
                <w:color w:val="FFFFFF"/>
                <w:lang w:val="es-CO" w:eastAsia="es-CO"/>
              </w:rPr>
              <w:t> </w:t>
            </w:r>
          </w:p>
        </w:tc>
      </w:tr>
    </w:tbl>
    <w:p w14:paraId="7D3C0698" w14:textId="77777777" w:rsidR="007E21BD" w:rsidRPr="00B25089" w:rsidRDefault="007E21BD" w:rsidP="007E21BD">
      <w:pPr>
        <w:rPr>
          <w:rFonts w:ascii="Arial Narrow" w:hAnsi="Arial Narrow" w:cstheme="minorHAnsi"/>
          <w:bCs/>
          <w:sz w:val="24"/>
          <w:szCs w:val="24"/>
          <w:lang w:val="es-CO"/>
        </w:rPr>
      </w:pPr>
    </w:p>
    <w:tbl>
      <w:tblPr>
        <w:tblW w:w="9320" w:type="dxa"/>
        <w:tblCellMar>
          <w:left w:w="70" w:type="dxa"/>
          <w:right w:w="70" w:type="dxa"/>
        </w:tblCellMar>
        <w:tblLook w:val="04A0" w:firstRow="1" w:lastRow="0" w:firstColumn="1" w:lastColumn="0" w:noHBand="0" w:noVBand="1"/>
      </w:tblPr>
      <w:tblGrid>
        <w:gridCol w:w="7240"/>
        <w:gridCol w:w="2080"/>
      </w:tblGrid>
      <w:tr w:rsidR="007E21BD" w:rsidRPr="00B25089" w14:paraId="20960929" w14:textId="77777777" w:rsidTr="00DA4A09">
        <w:trPr>
          <w:trHeight w:val="288"/>
        </w:trPr>
        <w:tc>
          <w:tcPr>
            <w:tcW w:w="7240" w:type="dxa"/>
            <w:tcBorders>
              <w:top w:val="nil"/>
              <w:left w:val="nil"/>
              <w:bottom w:val="single" w:sz="4" w:space="0" w:color="8EA9DB"/>
              <w:right w:val="nil"/>
            </w:tcBorders>
            <w:shd w:val="clear" w:color="D9E1F2" w:fill="D9E1F2"/>
            <w:noWrap/>
            <w:vAlign w:val="bottom"/>
            <w:hideMark/>
          </w:tcPr>
          <w:p w14:paraId="02D5E072" w14:textId="77777777" w:rsidR="007E21BD" w:rsidRPr="00B25089" w:rsidRDefault="007E21BD" w:rsidP="00DA4A09">
            <w:pPr>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Evaluación / Principio</w:t>
            </w:r>
          </w:p>
        </w:tc>
        <w:tc>
          <w:tcPr>
            <w:tcW w:w="2080" w:type="dxa"/>
            <w:tcBorders>
              <w:top w:val="nil"/>
              <w:left w:val="nil"/>
              <w:bottom w:val="single" w:sz="4" w:space="0" w:color="8EA9DB"/>
              <w:right w:val="nil"/>
            </w:tcBorders>
            <w:shd w:val="clear" w:color="D9E1F2" w:fill="D9E1F2"/>
            <w:noWrap/>
            <w:vAlign w:val="bottom"/>
            <w:hideMark/>
          </w:tcPr>
          <w:p w14:paraId="62102631" w14:textId="77777777" w:rsidR="007E21BD" w:rsidRPr="00B25089" w:rsidRDefault="007E21BD" w:rsidP="00DA4A09">
            <w:pPr>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w:t>
            </w:r>
          </w:p>
        </w:tc>
      </w:tr>
      <w:tr w:rsidR="007E21BD" w:rsidRPr="00B25089" w14:paraId="6E4C1FFC" w14:textId="77777777" w:rsidTr="00DA4A09">
        <w:trPr>
          <w:trHeight w:val="288"/>
        </w:trPr>
        <w:tc>
          <w:tcPr>
            <w:tcW w:w="7240" w:type="dxa"/>
            <w:tcBorders>
              <w:top w:val="nil"/>
              <w:left w:val="nil"/>
              <w:bottom w:val="single" w:sz="4" w:space="0" w:color="8EA9DB"/>
              <w:right w:val="nil"/>
            </w:tcBorders>
            <w:shd w:val="clear" w:color="auto" w:fill="auto"/>
            <w:noWrap/>
            <w:vAlign w:val="bottom"/>
            <w:hideMark/>
          </w:tcPr>
          <w:p w14:paraId="36EA2ED4" w14:textId="77777777" w:rsidR="007E21BD" w:rsidRPr="00B25089" w:rsidRDefault="007E21BD" w:rsidP="00DA4A09">
            <w:pPr>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1. Satisfactorio</w:t>
            </w:r>
          </w:p>
        </w:tc>
        <w:tc>
          <w:tcPr>
            <w:tcW w:w="2080" w:type="dxa"/>
            <w:tcBorders>
              <w:top w:val="nil"/>
              <w:left w:val="nil"/>
              <w:bottom w:val="single" w:sz="4" w:space="0" w:color="8EA9DB"/>
              <w:right w:val="nil"/>
            </w:tcBorders>
            <w:shd w:val="clear" w:color="auto" w:fill="auto"/>
            <w:noWrap/>
            <w:vAlign w:val="bottom"/>
            <w:hideMark/>
          </w:tcPr>
          <w:p w14:paraId="5113590D" w14:textId="77777777" w:rsidR="007E21BD" w:rsidRPr="00B25089" w:rsidRDefault="007E21BD" w:rsidP="00DA4A09">
            <w:pPr>
              <w:jc w:val="right"/>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12</w:t>
            </w:r>
          </w:p>
        </w:tc>
      </w:tr>
      <w:tr w:rsidR="007E21BD" w:rsidRPr="00B25089" w14:paraId="1C52AF1A" w14:textId="77777777" w:rsidTr="00DA4A09">
        <w:trPr>
          <w:trHeight w:val="288"/>
        </w:trPr>
        <w:tc>
          <w:tcPr>
            <w:tcW w:w="7240" w:type="dxa"/>
            <w:tcBorders>
              <w:top w:val="nil"/>
              <w:left w:val="nil"/>
              <w:bottom w:val="nil"/>
              <w:right w:val="nil"/>
            </w:tcBorders>
            <w:shd w:val="clear" w:color="auto" w:fill="auto"/>
            <w:noWrap/>
            <w:vAlign w:val="bottom"/>
            <w:hideMark/>
          </w:tcPr>
          <w:p w14:paraId="797405B2"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1 - Administración Democrática, participativa, autogestionaria</w:t>
            </w:r>
          </w:p>
        </w:tc>
        <w:tc>
          <w:tcPr>
            <w:tcW w:w="2080" w:type="dxa"/>
            <w:tcBorders>
              <w:top w:val="nil"/>
              <w:left w:val="nil"/>
              <w:bottom w:val="nil"/>
              <w:right w:val="nil"/>
            </w:tcBorders>
            <w:shd w:val="clear" w:color="auto" w:fill="auto"/>
            <w:noWrap/>
            <w:vAlign w:val="bottom"/>
            <w:hideMark/>
          </w:tcPr>
          <w:p w14:paraId="730B874E"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2</w:t>
            </w:r>
          </w:p>
        </w:tc>
      </w:tr>
      <w:tr w:rsidR="007E21BD" w:rsidRPr="00B25089" w14:paraId="5BD71D87" w14:textId="77777777" w:rsidTr="00DA4A09">
        <w:trPr>
          <w:trHeight w:val="288"/>
        </w:trPr>
        <w:tc>
          <w:tcPr>
            <w:tcW w:w="7240" w:type="dxa"/>
            <w:tcBorders>
              <w:top w:val="nil"/>
              <w:left w:val="nil"/>
              <w:bottom w:val="nil"/>
              <w:right w:val="nil"/>
            </w:tcBorders>
            <w:shd w:val="clear" w:color="auto" w:fill="auto"/>
            <w:noWrap/>
            <w:vAlign w:val="bottom"/>
            <w:hideMark/>
          </w:tcPr>
          <w:p w14:paraId="2B144459"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3 - Participación económica de los asociados, en justicia y equidad</w:t>
            </w:r>
          </w:p>
        </w:tc>
        <w:tc>
          <w:tcPr>
            <w:tcW w:w="2080" w:type="dxa"/>
            <w:tcBorders>
              <w:top w:val="nil"/>
              <w:left w:val="nil"/>
              <w:bottom w:val="nil"/>
              <w:right w:val="nil"/>
            </w:tcBorders>
            <w:shd w:val="clear" w:color="auto" w:fill="auto"/>
            <w:noWrap/>
            <w:vAlign w:val="bottom"/>
            <w:hideMark/>
          </w:tcPr>
          <w:p w14:paraId="438EE43F"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5</w:t>
            </w:r>
          </w:p>
        </w:tc>
      </w:tr>
      <w:tr w:rsidR="007E21BD" w:rsidRPr="00B25089" w14:paraId="07EB21FE" w14:textId="77777777" w:rsidTr="00DA4A09">
        <w:trPr>
          <w:trHeight w:val="288"/>
        </w:trPr>
        <w:tc>
          <w:tcPr>
            <w:tcW w:w="7240" w:type="dxa"/>
            <w:tcBorders>
              <w:top w:val="nil"/>
              <w:left w:val="nil"/>
              <w:bottom w:val="nil"/>
              <w:right w:val="nil"/>
            </w:tcBorders>
            <w:shd w:val="clear" w:color="auto" w:fill="auto"/>
            <w:noWrap/>
            <w:vAlign w:val="bottom"/>
            <w:hideMark/>
          </w:tcPr>
          <w:p w14:paraId="6694994F"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 xml:space="preserve">Principio 4 - Formación e información permanente </w:t>
            </w:r>
          </w:p>
        </w:tc>
        <w:tc>
          <w:tcPr>
            <w:tcW w:w="2080" w:type="dxa"/>
            <w:tcBorders>
              <w:top w:val="nil"/>
              <w:left w:val="nil"/>
              <w:bottom w:val="nil"/>
              <w:right w:val="nil"/>
            </w:tcBorders>
            <w:shd w:val="clear" w:color="auto" w:fill="auto"/>
            <w:noWrap/>
            <w:vAlign w:val="bottom"/>
            <w:hideMark/>
          </w:tcPr>
          <w:p w14:paraId="6DCA60A9"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2</w:t>
            </w:r>
          </w:p>
        </w:tc>
      </w:tr>
      <w:tr w:rsidR="007E21BD" w:rsidRPr="00B25089" w14:paraId="6A2225F0" w14:textId="77777777" w:rsidTr="00DA4A09">
        <w:trPr>
          <w:trHeight w:val="288"/>
        </w:trPr>
        <w:tc>
          <w:tcPr>
            <w:tcW w:w="7240" w:type="dxa"/>
            <w:tcBorders>
              <w:top w:val="nil"/>
              <w:left w:val="nil"/>
              <w:bottom w:val="nil"/>
              <w:right w:val="nil"/>
            </w:tcBorders>
            <w:shd w:val="clear" w:color="auto" w:fill="auto"/>
            <w:noWrap/>
            <w:vAlign w:val="bottom"/>
            <w:hideMark/>
          </w:tcPr>
          <w:p w14:paraId="6283C4A5"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5 - Autonomía Autodeterminación y Autogobierno</w:t>
            </w:r>
          </w:p>
        </w:tc>
        <w:tc>
          <w:tcPr>
            <w:tcW w:w="2080" w:type="dxa"/>
            <w:tcBorders>
              <w:top w:val="nil"/>
              <w:left w:val="nil"/>
              <w:bottom w:val="nil"/>
              <w:right w:val="nil"/>
            </w:tcBorders>
            <w:shd w:val="clear" w:color="auto" w:fill="auto"/>
            <w:noWrap/>
            <w:vAlign w:val="bottom"/>
            <w:hideMark/>
          </w:tcPr>
          <w:p w14:paraId="741BD0B2"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2</w:t>
            </w:r>
          </w:p>
        </w:tc>
      </w:tr>
      <w:tr w:rsidR="007E21BD" w:rsidRPr="00B25089" w14:paraId="386E67C8" w14:textId="77777777" w:rsidTr="00DA4A09">
        <w:trPr>
          <w:trHeight w:val="288"/>
        </w:trPr>
        <w:tc>
          <w:tcPr>
            <w:tcW w:w="7240" w:type="dxa"/>
            <w:tcBorders>
              <w:top w:val="nil"/>
              <w:left w:val="nil"/>
              <w:bottom w:val="nil"/>
              <w:right w:val="nil"/>
            </w:tcBorders>
            <w:shd w:val="clear" w:color="auto" w:fill="auto"/>
            <w:noWrap/>
            <w:vAlign w:val="bottom"/>
            <w:hideMark/>
          </w:tcPr>
          <w:p w14:paraId="3B1649F8"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7 - Integración con otras organizaciones del sector</w:t>
            </w:r>
          </w:p>
        </w:tc>
        <w:tc>
          <w:tcPr>
            <w:tcW w:w="2080" w:type="dxa"/>
            <w:tcBorders>
              <w:top w:val="nil"/>
              <w:left w:val="nil"/>
              <w:bottom w:val="nil"/>
              <w:right w:val="nil"/>
            </w:tcBorders>
            <w:shd w:val="clear" w:color="auto" w:fill="auto"/>
            <w:noWrap/>
            <w:vAlign w:val="bottom"/>
            <w:hideMark/>
          </w:tcPr>
          <w:p w14:paraId="61208A81"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1</w:t>
            </w:r>
          </w:p>
        </w:tc>
      </w:tr>
      <w:tr w:rsidR="007E21BD" w:rsidRPr="00B25089" w14:paraId="0B8DEDA5" w14:textId="77777777" w:rsidTr="00DA4A09">
        <w:trPr>
          <w:trHeight w:val="288"/>
        </w:trPr>
        <w:tc>
          <w:tcPr>
            <w:tcW w:w="7240" w:type="dxa"/>
            <w:tcBorders>
              <w:top w:val="nil"/>
              <w:left w:val="nil"/>
              <w:bottom w:val="single" w:sz="4" w:space="0" w:color="8EA9DB"/>
              <w:right w:val="nil"/>
            </w:tcBorders>
            <w:shd w:val="clear" w:color="auto" w:fill="auto"/>
            <w:noWrap/>
            <w:vAlign w:val="bottom"/>
            <w:hideMark/>
          </w:tcPr>
          <w:p w14:paraId="7E90333A" w14:textId="77777777" w:rsidR="007E21BD" w:rsidRPr="00B25089" w:rsidRDefault="007E21BD" w:rsidP="00DA4A09">
            <w:pPr>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2. Aceptable</w:t>
            </w:r>
          </w:p>
        </w:tc>
        <w:tc>
          <w:tcPr>
            <w:tcW w:w="2080" w:type="dxa"/>
            <w:tcBorders>
              <w:top w:val="nil"/>
              <w:left w:val="nil"/>
              <w:bottom w:val="single" w:sz="4" w:space="0" w:color="8EA9DB"/>
              <w:right w:val="nil"/>
            </w:tcBorders>
            <w:shd w:val="clear" w:color="auto" w:fill="auto"/>
            <w:noWrap/>
            <w:vAlign w:val="bottom"/>
            <w:hideMark/>
          </w:tcPr>
          <w:p w14:paraId="7D0A3486" w14:textId="77777777" w:rsidR="007E21BD" w:rsidRPr="00B25089" w:rsidRDefault="007E21BD" w:rsidP="00DA4A09">
            <w:pPr>
              <w:jc w:val="right"/>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4</w:t>
            </w:r>
          </w:p>
        </w:tc>
      </w:tr>
      <w:tr w:rsidR="007E21BD" w:rsidRPr="00B25089" w14:paraId="3439137E" w14:textId="77777777" w:rsidTr="00DA4A09">
        <w:trPr>
          <w:trHeight w:val="288"/>
        </w:trPr>
        <w:tc>
          <w:tcPr>
            <w:tcW w:w="7240" w:type="dxa"/>
            <w:tcBorders>
              <w:top w:val="nil"/>
              <w:left w:val="nil"/>
              <w:bottom w:val="nil"/>
              <w:right w:val="nil"/>
            </w:tcBorders>
            <w:shd w:val="clear" w:color="auto" w:fill="auto"/>
            <w:noWrap/>
            <w:vAlign w:val="bottom"/>
            <w:hideMark/>
          </w:tcPr>
          <w:p w14:paraId="5EE29B3F"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1 - Administración Democrática, participativa, autogestionaria</w:t>
            </w:r>
          </w:p>
        </w:tc>
        <w:tc>
          <w:tcPr>
            <w:tcW w:w="2080" w:type="dxa"/>
            <w:tcBorders>
              <w:top w:val="nil"/>
              <w:left w:val="nil"/>
              <w:bottom w:val="nil"/>
              <w:right w:val="nil"/>
            </w:tcBorders>
            <w:shd w:val="clear" w:color="auto" w:fill="auto"/>
            <w:noWrap/>
            <w:vAlign w:val="bottom"/>
            <w:hideMark/>
          </w:tcPr>
          <w:p w14:paraId="366AA497"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2</w:t>
            </w:r>
          </w:p>
        </w:tc>
      </w:tr>
      <w:tr w:rsidR="007E21BD" w:rsidRPr="00B25089" w14:paraId="368FA20E" w14:textId="77777777" w:rsidTr="00DA4A09">
        <w:trPr>
          <w:trHeight w:val="288"/>
        </w:trPr>
        <w:tc>
          <w:tcPr>
            <w:tcW w:w="7240" w:type="dxa"/>
            <w:tcBorders>
              <w:top w:val="nil"/>
              <w:left w:val="nil"/>
              <w:bottom w:val="nil"/>
              <w:right w:val="nil"/>
            </w:tcBorders>
            <w:shd w:val="clear" w:color="auto" w:fill="auto"/>
            <w:noWrap/>
            <w:vAlign w:val="bottom"/>
            <w:hideMark/>
          </w:tcPr>
          <w:p w14:paraId="0CAD8C10"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2: Adhesión Abierta, responsable y Voluntaria</w:t>
            </w:r>
          </w:p>
        </w:tc>
        <w:tc>
          <w:tcPr>
            <w:tcW w:w="2080" w:type="dxa"/>
            <w:tcBorders>
              <w:top w:val="nil"/>
              <w:left w:val="nil"/>
              <w:bottom w:val="nil"/>
              <w:right w:val="nil"/>
            </w:tcBorders>
            <w:shd w:val="clear" w:color="auto" w:fill="auto"/>
            <w:noWrap/>
            <w:vAlign w:val="bottom"/>
            <w:hideMark/>
          </w:tcPr>
          <w:p w14:paraId="78E2F9A2"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2</w:t>
            </w:r>
          </w:p>
        </w:tc>
      </w:tr>
      <w:tr w:rsidR="007E21BD" w:rsidRPr="00B25089" w14:paraId="61002183" w14:textId="77777777" w:rsidTr="00DA4A09">
        <w:trPr>
          <w:trHeight w:val="288"/>
        </w:trPr>
        <w:tc>
          <w:tcPr>
            <w:tcW w:w="7240" w:type="dxa"/>
            <w:tcBorders>
              <w:top w:val="nil"/>
              <w:left w:val="nil"/>
              <w:bottom w:val="single" w:sz="4" w:space="0" w:color="8EA9DB"/>
              <w:right w:val="nil"/>
            </w:tcBorders>
            <w:shd w:val="clear" w:color="auto" w:fill="auto"/>
            <w:noWrap/>
            <w:vAlign w:val="bottom"/>
            <w:hideMark/>
          </w:tcPr>
          <w:p w14:paraId="3F48C3A2" w14:textId="77777777" w:rsidR="007E21BD" w:rsidRPr="00B25089" w:rsidRDefault="007E21BD" w:rsidP="00DA4A09">
            <w:pPr>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 xml:space="preserve">3. </w:t>
            </w:r>
            <w:proofErr w:type="spellStart"/>
            <w:r w:rsidRPr="00B25089">
              <w:rPr>
                <w:rFonts w:ascii="Arial Narrow" w:hAnsi="Arial Narrow" w:cs="Calibri"/>
                <w:b/>
                <w:bCs/>
                <w:color w:val="000000"/>
                <w:sz w:val="24"/>
                <w:szCs w:val="24"/>
                <w:lang w:val="es-CO" w:eastAsia="es-CO"/>
              </w:rPr>
              <w:t>Oport</w:t>
            </w:r>
            <w:proofErr w:type="spellEnd"/>
            <w:r w:rsidRPr="00B25089">
              <w:rPr>
                <w:rFonts w:ascii="Arial Narrow" w:hAnsi="Arial Narrow" w:cs="Calibri"/>
                <w:b/>
                <w:bCs/>
                <w:color w:val="000000"/>
                <w:sz w:val="24"/>
                <w:szCs w:val="24"/>
                <w:lang w:val="es-CO" w:eastAsia="es-CO"/>
              </w:rPr>
              <w:t>. Mejora</w:t>
            </w:r>
          </w:p>
        </w:tc>
        <w:tc>
          <w:tcPr>
            <w:tcW w:w="2080" w:type="dxa"/>
            <w:tcBorders>
              <w:top w:val="nil"/>
              <w:left w:val="nil"/>
              <w:bottom w:val="single" w:sz="4" w:space="0" w:color="8EA9DB"/>
              <w:right w:val="nil"/>
            </w:tcBorders>
            <w:shd w:val="clear" w:color="auto" w:fill="auto"/>
            <w:noWrap/>
            <w:vAlign w:val="bottom"/>
            <w:hideMark/>
          </w:tcPr>
          <w:p w14:paraId="658601CE" w14:textId="77777777" w:rsidR="007E21BD" w:rsidRPr="00B25089" w:rsidRDefault="007E21BD" w:rsidP="00DA4A09">
            <w:pPr>
              <w:jc w:val="right"/>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26</w:t>
            </w:r>
          </w:p>
        </w:tc>
      </w:tr>
      <w:tr w:rsidR="007E21BD" w:rsidRPr="00B25089" w14:paraId="4ECD5004" w14:textId="77777777" w:rsidTr="00DA4A09">
        <w:trPr>
          <w:trHeight w:val="288"/>
        </w:trPr>
        <w:tc>
          <w:tcPr>
            <w:tcW w:w="7240" w:type="dxa"/>
            <w:tcBorders>
              <w:top w:val="nil"/>
              <w:left w:val="nil"/>
              <w:bottom w:val="nil"/>
              <w:right w:val="nil"/>
            </w:tcBorders>
            <w:shd w:val="clear" w:color="auto" w:fill="auto"/>
            <w:noWrap/>
            <w:vAlign w:val="bottom"/>
            <w:hideMark/>
          </w:tcPr>
          <w:p w14:paraId="5D128B16"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1 - Administración Democrática, participativa, autogestionaria</w:t>
            </w:r>
          </w:p>
        </w:tc>
        <w:tc>
          <w:tcPr>
            <w:tcW w:w="2080" w:type="dxa"/>
            <w:tcBorders>
              <w:top w:val="nil"/>
              <w:left w:val="nil"/>
              <w:bottom w:val="nil"/>
              <w:right w:val="nil"/>
            </w:tcBorders>
            <w:shd w:val="clear" w:color="auto" w:fill="auto"/>
            <w:noWrap/>
            <w:vAlign w:val="bottom"/>
            <w:hideMark/>
          </w:tcPr>
          <w:p w14:paraId="2B6EA56F"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5</w:t>
            </w:r>
          </w:p>
        </w:tc>
      </w:tr>
      <w:tr w:rsidR="007E21BD" w:rsidRPr="00B25089" w14:paraId="4C214E8B" w14:textId="77777777" w:rsidTr="00DA4A09">
        <w:trPr>
          <w:trHeight w:val="288"/>
        </w:trPr>
        <w:tc>
          <w:tcPr>
            <w:tcW w:w="7240" w:type="dxa"/>
            <w:tcBorders>
              <w:top w:val="nil"/>
              <w:left w:val="nil"/>
              <w:bottom w:val="nil"/>
              <w:right w:val="nil"/>
            </w:tcBorders>
            <w:shd w:val="clear" w:color="auto" w:fill="auto"/>
            <w:noWrap/>
            <w:vAlign w:val="bottom"/>
            <w:hideMark/>
          </w:tcPr>
          <w:p w14:paraId="3583883D"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6 - Servicio a la comunidad</w:t>
            </w:r>
          </w:p>
        </w:tc>
        <w:tc>
          <w:tcPr>
            <w:tcW w:w="2080" w:type="dxa"/>
            <w:tcBorders>
              <w:top w:val="nil"/>
              <w:left w:val="nil"/>
              <w:bottom w:val="nil"/>
              <w:right w:val="nil"/>
            </w:tcBorders>
            <w:shd w:val="clear" w:color="auto" w:fill="auto"/>
            <w:noWrap/>
            <w:vAlign w:val="bottom"/>
            <w:hideMark/>
          </w:tcPr>
          <w:p w14:paraId="120E5D63"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5</w:t>
            </w:r>
          </w:p>
        </w:tc>
      </w:tr>
      <w:tr w:rsidR="007E21BD" w:rsidRPr="00B25089" w14:paraId="6EDED543" w14:textId="77777777" w:rsidTr="00DA4A09">
        <w:trPr>
          <w:trHeight w:val="288"/>
        </w:trPr>
        <w:tc>
          <w:tcPr>
            <w:tcW w:w="7240" w:type="dxa"/>
            <w:tcBorders>
              <w:top w:val="nil"/>
              <w:left w:val="nil"/>
              <w:bottom w:val="nil"/>
              <w:right w:val="nil"/>
            </w:tcBorders>
            <w:shd w:val="clear" w:color="auto" w:fill="auto"/>
            <w:noWrap/>
            <w:vAlign w:val="bottom"/>
            <w:hideMark/>
          </w:tcPr>
          <w:p w14:paraId="34CF1173"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2: Adhesión Abierta, responsable y Voluntaria</w:t>
            </w:r>
          </w:p>
        </w:tc>
        <w:tc>
          <w:tcPr>
            <w:tcW w:w="2080" w:type="dxa"/>
            <w:tcBorders>
              <w:top w:val="nil"/>
              <w:left w:val="nil"/>
              <w:bottom w:val="nil"/>
              <w:right w:val="nil"/>
            </w:tcBorders>
            <w:shd w:val="clear" w:color="auto" w:fill="auto"/>
            <w:noWrap/>
            <w:vAlign w:val="bottom"/>
            <w:hideMark/>
          </w:tcPr>
          <w:p w14:paraId="06DD3249"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4</w:t>
            </w:r>
          </w:p>
        </w:tc>
      </w:tr>
      <w:tr w:rsidR="007E21BD" w:rsidRPr="00B25089" w14:paraId="0E90BD33" w14:textId="77777777" w:rsidTr="00DA4A09">
        <w:trPr>
          <w:trHeight w:val="288"/>
        </w:trPr>
        <w:tc>
          <w:tcPr>
            <w:tcW w:w="7240" w:type="dxa"/>
            <w:tcBorders>
              <w:top w:val="nil"/>
              <w:left w:val="nil"/>
              <w:bottom w:val="nil"/>
              <w:right w:val="nil"/>
            </w:tcBorders>
            <w:shd w:val="clear" w:color="auto" w:fill="auto"/>
            <w:noWrap/>
            <w:vAlign w:val="bottom"/>
            <w:hideMark/>
          </w:tcPr>
          <w:p w14:paraId="75A854C3"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 xml:space="preserve">Principio 4 - Formación e información permanente </w:t>
            </w:r>
          </w:p>
        </w:tc>
        <w:tc>
          <w:tcPr>
            <w:tcW w:w="2080" w:type="dxa"/>
            <w:tcBorders>
              <w:top w:val="nil"/>
              <w:left w:val="nil"/>
              <w:bottom w:val="nil"/>
              <w:right w:val="nil"/>
            </w:tcBorders>
            <w:shd w:val="clear" w:color="auto" w:fill="auto"/>
            <w:noWrap/>
            <w:vAlign w:val="bottom"/>
            <w:hideMark/>
          </w:tcPr>
          <w:p w14:paraId="55C8AC8F"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4</w:t>
            </w:r>
          </w:p>
        </w:tc>
      </w:tr>
      <w:tr w:rsidR="007E21BD" w:rsidRPr="00B25089" w14:paraId="6D394CB3" w14:textId="77777777" w:rsidTr="00DA4A09">
        <w:trPr>
          <w:trHeight w:val="288"/>
        </w:trPr>
        <w:tc>
          <w:tcPr>
            <w:tcW w:w="7240" w:type="dxa"/>
            <w:tcBorders>
              <w:top w:val="nil"/>
              <w:left w:val="nil"/>
              <w:bottom w:val="nil"/>
              <w:right w:val="nil"/>
            </w:tcBorders>
            <w:shd w:val="clear" w:color="auto" w:fill="auto"/>
            <w:noWrap/>
            <w:vAlign w:val="bottom"/>
            <w:hideMark/>
          </w:tcPr>
          <w:p w14:paraId="61B6F96F"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lastRenderedPageBreak/>
              <w:t>Principio 5 - Autonomía Autodeterminación y Autogobierno</w:t>
            </w:r>
          </w:p>
        </w:tc>
        <w:tc>
          <w:tcPr>
            <w:tcW w:w="2080" w:type="dxa"/>
            <w:tcBorders>
              <w:top w:val="nil"/>
              <w:left w:val="nil"/>
              <w:bottom w:val="nil"/>
              <w:right w:val="nil"/>
            </w:tcBorders>
            <w:shd w:val="clear" w:color="auto" w:fill="auto"/>
            <w:noWrap/>
            <w:vAlign w:val="bottom"/>
            <w:hideMark/>
          </w:tcPr>
          <w:p w14:paraId="438C0219"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3</w:t>
            </w:r>
          </w:p>
        </w:tc>
      </w:tr>
      <w:tr w:rsidR="007E21BD" w:rsidRPr="00B25089" w14:paraId="17DD1941" w14:textId="77777777" w:rsidTr="00DA4A09">
        <w:trPr>
          <w:trHeight w:val="288"/>
        </w:trPr>
        <w:tc>
          <w:tcPr>
            <w:tcW w:w="7240" w:type="dxa"/>
            <w:tcBorders>
              <w:top w:val="nil"/>
              <w:left w:val="nil"/>
              <w:bottom w:val="nil"/>
              <w:right w:val="nil"/>
            </w:tcBorders>
            <w:shd w:val="clear" w:color="auto" w:fill="auto"/>
            <w:noWrap/>
            <w:vAlign w:val="bottom"/>
            <w:hideMark/>
          </w:tcPr>
          <w:p w14:paraId="4A406424"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7 - Integración con otras organizaciones del sector</w:t>
            </w:r>
          </w:p>
        </w:tc>
        <w:tc>
          <w:tcPr>
            <w:tcW w:w="2080" w:type="dxa"/>
            <w:tcBorders>
              <w:top w:val="nil"/>
              <w:left w:val="nil"/>
              <w:bottom w:val="nil"/>
              <w:right w:val="nil"/>
            </w:tcBorders>
            <w:shd w:val="clear" w:color="auto" w:fill="auto"/>
            <w:noWrap/>
            <w:vAlign w:val="bottom"/>
            <w:hideMark/>
          </w:tcPr>
          <w:p w14:paraId="234E8F53"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3</w:t>
            </w:r>
          </w:p>
        </w:tc>
      </w:tr>
      <w:tr w:rsidR="007E21BD" w:rsidRPr="00B25089" w14:paraId="2D4E6BD8" w14:textId="77777777" w:rsidTr="00DA4A09">
        <w:trPr>
          <w:trHeight w:val="288"/>
        </w:trPr>
        <w:tc>
          <w:tcPr>
            <w:tcW w:w="7240" w:type="dxa"/>
            <w:tcBorders>
              <w:top w:val="nil"/>
              <w:left w:val="nil"/>
              <w:bottom w:val="nil"/>
              <w:right w:val="nil"/>
            </w:tcBorders>
            <w:shd w:val="clear" w:color="auto" w:fill="auto"/>
            <w:noWrap/>
            <w:vAlign w:val="bottom"/>
            <w:hideMark/>
          </w:tcPr>
          <w:p w14:paraId="181E8BA3" w14:textId="77777777" w:rsidR="007E21BD" w:rsidRPr="00B25089" w:rsidRDefault="007E21BD" w:rsidP="00DA4A09">
            <w:pPr>
              <w:ind w:firstLineChars="100" w:firstLine="240"/>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Principio 3 - Participación económica de los asociados, en justicia y equidad</w:t>
            </w:r>
          </w:p>
        </w:tc>
        <w:tc>
          <w:tcPr>
            <w:tcW w:w="2080" w:type="dxa"/>
            <w:tcBorders>
              <w:top w:val="nil"/>
              <w:left w:val="nil"/>
              <w:bottom w:val="nil"/>
              <w:right w:val="nil"/>
            </w:tcBorders>
            <w:shd w:val="clear" w:color="auto" w:fill="auto"/>
            <w:noWrap/>
            <w:vAlign w:val="bottom"/>
            <w:hideMark/>
          </w:tcPr>
          <w:p w14:paraId="66DFA875" w14:textId="77777777" w:rsidR="007E21BD" w:rsidRPr="00B25089" w:rsidRDefault="007E21BD" w:rsidP="00DA4A09">
            <w:pPr>
              <w:jc w:val="right"/>
              <w:rPr>
                <w:rFonts w:ascii="Arial Narrow" w:hAnsi="Arial Narrow" w:cs="Calibri"/>
                <w:color w:val="000000"/>
                <w:sz w:val="24"/>
                <w:szCs w:val="24"/>
                <w:lang w:val="es-CO" w:eastAsia="es-CO"/>
              </w:rPr>
            </w:pPr>
            <w:r w:rsidRPr="00B25089">
              <w:rPr>
                <w:rFonts w:ascii="Arial Narrow" w:hAnsi="Arial Narrow" w:cs="Calibri"/>
                <w:color w:val="000000"/>
                <w:sz w:val="24"/>
                <w:szCs w:val="24"/>
                <w:lang w:val="es-CO" w:eastAsia="es-CO"/>
              </w:rPr>
              <w:t>2</w:t>
            </w:r>
          </w:p>
        </w:tc>
      </w:tr>
      <w:tr w:rsidR="007E21BD" w:rsidRPr="00B25089" w14:paraId="04485361" w14:textId="77777777" w:rsidTr="00DA4A09">
        <w:trPr>
          <w:trHeight w:val="288"/>
        </w:trPr>
        <w:tc>
          <w:tcPr>
            <w:tcW w:w="7240" w:type="dxa"/>
            <w:tcBorders>
              <w:top w:val="single" w:sz="4" w:space="0" w:color="8EA9DB"/>
              <w:left w:val="nil"/>
              <w:bottom w:val="nil"/>
              <w:right w:val="nil"/>
            </w:tcBorders>
            <w:shd w:val="clear" w:color="D9E1F2" w:fill="D9E1F2"/>
            <w:noWrap/>
            <w:vAlign w:val="bottom"/>
            <w:hideMark/>
          </w:tcPr>
          <w:p w14:paraId="348C010E" w14:textId="77777777" w:rsidR="007E21BD" w:rsidRPr="00B25089" w:rsidRDefault="007E21BD" w:rsidP="00DA4A09">
            <w:pPr>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Total general</w:t>
            </w:r>
          </w:p>
        </w:tc>
        <w:tc>
          <w:tcPr>
            <w:tcW w:w="2080" w:type="dxa"/>
            <w:tcBorders>
              <w:top w:val="single" w:sz="4" w:space="0" w:color="8EA9DB"/>
              <w:left w:val="nil"/>
              <w:bottom w:val="nil"/>
              <w:right w:val="nil"/>
            </w:tcBorders>
            <w:shd w:val="clear" w:color="D9E1F2" w:fill="D9E1F2"/>
            <w:noWrap/>
            <w:vAlign w:val="bottom"/>
            <w:hideMark/>
          </w:tcPr>
          <w:p w14:paraId="7A1149C7" w14:textId="77777777" w:rsidR="007E21BD" w:rsidRPr="00B25089" w:rsidRDefault="007E21BD" w:rsidP="00DA4A09">
            <w:pPr>
              <w:jc w:val="right"/>
              <w:rPr>
                <w:rFonts w:ascii="Arial Narrow" w:hAnsi="Arial Narrow" w:cs="Calibri"/>
                <w:b/>
                <w:bCs/>
                <w:color w:val="000000"/>
                <w:sz w:val="24"/>
                <w:szCs w:val="24"/>
                <w:lang w:val="es-CO" w:eastAsia="es-CO"/>
              </w:rPr>
            </w:pPr>
            <w:r w:rsidRPr="00B25089">
              <w:rPr>
                <w:rFonts w:ascii="Arial Narrow" w:hAnsi="Arial Narrow" w:cs="Calibri"/>
                <w:b/>
                <w:bCs/>
                <w:color w:val="000000"/>
                <w:sz w:val="24"/>
                <w:szCs w:val="24"/>
                <w:lang w:val="es-CO" w:eastAsia="es-CO"/>
              </w:rPr>
              <w:t>42</w:t>
            </w:r>
          </w:p>
        </w:tc>
      </w:tr>
    </w:tbl>
    <w:p w14:paraId="65B35BEB" w14:textId="77777777" w:rsidR="007E21BD" w:rsidRPr="00B25089" w:rsidRDefault="007E21BD" w:rsidP="007E21BD">
      <w:pPr>
        <w:rPr>
          <w:rFonts w:ascii="Arial Narrow" w:hAnsi="Arial Narrow" w:cstheme="minorHAnsi"/>
          <w:bCs/>
          <w:sz w:val="24"/>
          <w:szCs w:val="24"/>
          <w:lang w:val="es-CO"/>
        </w:rPr>
      </w:pPr>
    </w:p>
    <w:p w14:paraId="2CDA429B" w14:textId="77777777" w:rsidR="007E21BD" w:rsidRPr="00B25089" w:rsidRDefault="007E21BD" w:rsidP="007E21BD">
      <w:pPr>
        <w:jc w:val="both"/>
        <w:rPr>
          <w:rFonts w:ascii="Arial Narrow" w:hAnsi="Arial Narrow" w:cstheme="minorHAnsi"/>
          <w:bCs/>
          <w:sz w:val="24"/>
          <w:szCs w:val="24"/>
          <w:lang w:val="es-CO"/>
        </w:rPr>
      </w:pPr>
      <w:r w:rsidRPr="00B25089">
        <w:rPr>
          <w:rFonts w:ascii="Arial Narrow" w:hAnsi="Arial Narrow" w:cstheme="minorHAnsi"/>
          <w:bCs/>
          <w:sz w:val="24"/>
          <w:szCs w:val="24"/>
          <w:lang w:val="es-CO"/>
        </w:rPr>
        <w:t>La mayoría de oportunidades de mejora tienen que ver con administración democrática, servicio a la comunidad, adhesión abierta, responsable y voluntaria y formación e información permanente, motivo por el cual tendrá especial relevancia en los planes educativos del PESEM para la vigencia 2021-2025.  Algunos de éstos indicadores sin embargo, arrojan un resultado bajo por problemas en la medición ya que en el reporte efectuado a la Supersolidaria solo se reportó como “gasto” lo que efectivamente se contabilizó en la cuenta “5” y no se tuvo en cuenta las erogaciones de los fondos sociales cuenta “26” que en sentido estricto no son gasto, así que para el Balance Social del 2021 deberá consultarse si el concepto de “gasto” del instructivo de Balance Social debe interpretarse como “inversión” que incluye la efectuada con cargo a los fondos sociales y con cargo al gasto.</w:t>
      </w:r>
    </w:p>
    <w:p w14:paraId="394EFE01" w14:textId="77777777" w:rsidR="00381EE0" w:rsidRPr="007F09C3" w:rsidRDefault="00381EE0" w:rsidP="007F09C3">
      <w:pPr>
        <w:rPr>
          <w:rFonts w:ascii="Arial Narrow" w:eastAsia="Calibri" w:hAnsi="Arial Narrow"/>
          <w:sz w:val="24"/>
          <w:szCs w:val="24"/>
          <w:lang w:val="es-CO"/>
        </w:rPr>
      </w:pPr>
    </w:p>
    <w:p w14:paraId="26734B39" w14:textId="0A9AEC91" w:rsidR="00381EE0" w:rsidRPr="000E041A" w:rsidRDefault="000E041A" w:rsidP="007E21BD">
      <w:pPr>
        <w:pStyle w:val="Prrafodelista"/>
        <w:numPr>
          <w:ilvl w:val="0"/>
          <w:numId w:val="1"/>
        </w:numPr>
        <w:shd w:val="clear" w:color="auto" w:fill="385623" w:themeFill="accent6" w:themeFillShade="80"/>
        <w:ind w:right="48"/>
        <w:contextualSpacing/>
        <w:jc w:val="center"/>
        <w:rPr>
          <w:rFonts w:ascii="Arial Narrow" w:hAnsi="Arial Narrow" w:cs="Calibri"/>
          <w:b/>
          <w:color w:val="FFFFFF" w:themeColor="background1"/>
          <w:sz w:val="24"/>
          <w:szCs w:val="24"/>
          <w:lang w:val="es-CO"/>
        </w:rPr>
      </w:pPr>
      <w:r w:rsidRPr="000E041A">
        <w:rPr>
          <w:rFonts w:ascii="Arial Narrow" w:hAnsi="Arial Narrow" w:cs="Calibri"/>
          <w:b/>
          <w:color w:val="FFFFFF" w:themeColor="background1"/>
          <w:sz w:val="24"/>
          <w:szCs w:val="24"/>
          <w:lang w:val="es-CO"/>
        </w:rPr>
        <w:t>DECLARACIONES DE LEY</w:t>
      </w:r>
    </w:p>
    <w:p w14:paraId="3019A1E6" w14:textId="77777777" w:rsidR="00381EE0" w:rsidRPr="007F09C3" w:rsidRDefault="00381EE0" w:rsidP="007F09C3">
      <w:pPr>
        <w:widowControl w:val="0"/>
        <w:shd w:val="clear" w:color="auto" w:fill="FFFFFF"/>
        <w:ind w:right="48"/>
        <w:jc w:val="both"/>
        <w:rPr>
          <w:rFonts w:ascii="Arial Narrow" w:hAnsi="Arial Narrow"/>
          <w:sz w:val="24"/>
          <w:szCs w:val="24"/>
        </w:rPr>
      </w:pPr>
    </w:p>
    <w:p w14:paraId="6264C660" w14:textId="77777777" w:rsidR="00381EE0" w:rsidRPr="007F09C3" w:rsidRDefault="00381EE0" w:rsidP="007F09C3">
      <w:pPr>
        <w:widowControl w:val="0"/>
        <w:shd w:val="clear" w:color="auto" w:fill="FFFFFF"/>
        <w:ind w:right="48"/>
        <w:jc w:val="both"/>
        <w:rPr>
          <w:rFonts w:ascii="Arial Narrow" w:hAnsi="Arial Narrow"/>
          <w:sz w:val="24"/>
          <w:szCs w:val="24"/>
        </w:rPr>
      </w:pPr>
      <w:r w:rsidRPr="007F09C3">
        <w:rPr>
          <w:rFonts w:ascii="Arial Narrow" w:hAnsi="Arial Narrow"/>
          <w:sz w:val="24"/>
          <w:szCs w:val="24"/>
        </w:rPr>
        <w:t xml:space="preserve">A la fecha de elaboración del presente informe, no se han presentado hechos importantes que deban ser dados a conocer a los Asociados o eventos que afecten los resultados del ejercicio o la posición financiera presentada en los Estados Financieros dados a conocer. </w:t>
      </w:r>
    </w:p>
    <w:p w14:paraId="4F1B3833" w14:textId="77777777" w:rsidR="00381EE0" w:rsidRPr="007F09C3" w:rsidRDefault="00381EE0" w:rsidP="007F09C3">
      <w:pPr>
        <w:widowControl w:val="0"/>
        <w:shd w:val="clear" w:color="auto" w:fill="FFFFFF"/>
        <w:ind w:right="48"/>
        <w:jc w:val="both"/>
        <w:rPr>
          <w:rFonts w:ascii="Arial Narrow" w:hAnsi="Arial Narrow"/>
          <w:sz w:val="24"/>
          <w:szCs w:val="24"/>
        </w:rPr>
      </w:pPr>
    </w:p>
    <w:p w14:paraId="6247E8DF" w14:textId="334BD443" w:rsidR="00381EE0" w:rsidRPr="007F09C3" w:rsidRDefault="001B4286" w:rsidP="007F09C3">
      <w:pPr>
        <w:widowControl w:val="0"/>
        <w:shd w:val="clear" w:color="auto" w:fill="FFFFFF"/>
        <w:ind w:right="48"/>
        <w:jc w:val="both"/>
        <w:rPr>
          <w:rFonts w:ascii="Arial Narrow" w:hAnsi="Arial Narrow"/>
          <w:sz w:val="24"/>
          <w:szCs w:val="24"/>
        </w:rPr>
      </w:pPr>
      <w:r>
        <w:rPr>
          <w:rFonts w:ascii="Arial Narrow" w:hAnsi="Arial Narrow"/>
          <w:sz w:val="24"/>
          <w:szCs w:val="24"/>
        </w:rPr>
        <w:t>L</w:t>
      </w:r>
      <w:r w:rsidR="00381EE0" w:rsidRPr="007F09C3">
        <w:rPr>
          <w:rFonts w:ascii="Arial Narrow" w:hAnsi="Arial Narrow"/>
          <w:sz w:val="24"/>
          <w:szCs w:val="24"/>
        </w:rPr>
        <w:t xml:space="preserve">as perspectivas del mercado permiten prever un año de mucha competencia crediticia </w:t>
      </w:r>
      <w:r>
        <w:rPr>
          <w:rFonts w:ascii="Arial Narrow" w:hAnsi="Arial Narrow"/>
          <w:sz w:val="24"/>
          <w:szCs w:val="24"/>
        </w:rPr>
        <w:t>con incremento de las</w:t>
      </w:r>
      <w:r w:rsidR="00381EE0" w:rsidRPr="007F09C3">
        <w:rPr>
          <w:rFonts w:ascii="Arial Narrow" w:hAnsi="Arial Narrow"/>
          <w:sz w:val="24"/>
          <w:szCs w:val="24"/>
        </w:rPr>
        <w:t xml:space="preserve"> tasas de interés, que sin embargo serán contrarrestadas con estrategias campañas de colocación de crédito como se hizo durante el </w:t>
      </w:r>
      <w:r w:rsidR="000E7401">
        <w:rPr>
          <w:rFonts w:ascii="Arial Narrow" w:hAnsi="Arial Narrow"/>
          <w:sz w:val="24"/>
          <w:szCs w:val="24"/>
        </w:rPr>
        <w:t>2021</w:t>
      </w:r>
      <w:r w:rsidR="00381EE0" w:rsidRPr="007F09C3">
        <w:rPr>
          <w:rFonts w:ascii="Arial Narrow" w:hAnsi="Arial Narrow"/>
          <w:sz w:val="24"/>
          <w:szCs w:val="24"/>
        </w:rPr>
        <w:t xml:space="preserve"> y de difusión de los beneficios adicionales del </w:t>
      </w:r>
      <w:r w:rsidR="00096788">
        <w:rPr>
          <w:rFonts w:ascii="Arial Narrow" w:hAnsi="Arial Narrow"/>
          <w:sz w:val="24"/>
          <w:szCs w:val="24"/>
        </w:rPr>
        <w:t>Cooperativa</w:t>
      </w:r>
      <w:r w:rsidR="00381EE0" w:rsidRPr="007F09C3">
        <w:rPr>
          <w:rFonts w:ascii="Arial Narrow" w:hAnsi="Arial Narrow"/>
          <w:sz w:val="24"/>
          <w:szCs w:val="24"/>
        </w:rPr>
        <w:t>.</w:t>
      </w:r>
    </w:p>
    <w:p w14:paraId="7BBDA5E0" w14:textId="77777777" w:rsidR="00381EE0" w:rsidRPr="007F09C3" w:rsidRDefault="00381EE0" w:rsidP="007F09C3">
      <w:pPr>
        <w:widowControl w:val="0"/>
        <w:shd w:val="clear" w:color="auto" w:fill="FFFFFF"/>
        <w:ind w:right="48"/>
        <w:jc w:val="both"/>
        <w:rPr>
          <w:rFonts w:ascii="Arial Narrow" w:hAnsi="Arial Narrow"/>
          <w:sz w:val="24"/>
          <w:szCs w:val="24"/>
        </w:rPr>
      </w:pPr>
    </w:p>
    <w:p w14:paraId="35916DAC" w14:textId="3BC1ACA7" w:rsidR="00381EE0" w:rsidRPr="007F09C3" w:rsidRDefault="00832291" w:rsidP="007F09C3">
      <w:pPr>
        <w:widowControl w:val="0"/>
        <w:jc w:val="both"/>
        <w:rPr>
          <w:rFonts w:ascii="Arial Narrow" w:hAnsi="Arial Narrow" w:cs="Calibri"/>
          <w:sz w:val="24"/>
          <w:szCs w:val="24"/>
        </w:rPr>
      </w:pPr>
      <w:r>
        <w:rPr>
          <w:rFonts w:ascii="Arial Narrow" w:hAnsi="Arial Narrow" w:cs="Calibri"/>
          <w:sz w:val="24"/>
          <w:szCs w:val="24"/>
        </w:rPr>
        <w:t>COOPEJEMPLO</w:t>
      </w:r>
      <w:r w:rsidR="00381EE0" w:rsidRPr="007F09C3">
        <w:rPr>
          <w:rFonts w:ascii="Arial Narrow" w:hAnsi="Arial Narrow" w:cs="Calibri"/>
          <w:sz w:val="24"/>
          <w:szCs w:val="24"/>
        </w:rPr>
        <w:t xml:space="preserve"> realiza operaciones y transacciones con sus partes relacionadas. Se consideran para el efecto partes relacionadas quienes tienen control o influencia significativa en </w:t>
      </w:r>
      <w:r>
        <w:rPr>
          <w:rFonts w:ascii="Arial Narrow" w:hAnsi="Arial Narrow" w:cs="Calibri"/>
          <w:sz w:val="24"/>
          <w:szCs w:val="24"/>
        </w:rPr>
        <w:t>COOPEJEMPLO</w:t>
      </w:r>
      <w:r w:rsidR="00381EE0" w:rsidRPr="007F09C3">
        <w:rPr>
          <w:rFonts w:ascii="Arial Narrow" w:hAnsi="Arial Narrow" w:cs="Calibri"/>
          <w:sz w:val="24"/>
          <w:szCs w:val="24"/>
        </w:rPr>
        <w:t xml:space="preserve">.  Ellos son: La Gerencia, </w:t>
      </w:r>
      <w:r w:rsidR="000E7401">
        <w:rPr>
          <w:rFonts w:ascii="Arial Narrow" w:hAnsi="Arial Narrow" w:cs="Calibri"/>
          <w:sz w:val="24"/>
          <w:szCs w:val="24"/>
        </w:rPr>
        <w:t>el Consejo de Administración</w:t>
      </w:r>
      <w:r w:rsidR="00381EE0" w:rsidRPr="007F09C3">
        <w:rPr>
          <w:rFonts w:ascii="Arial Narrow" w:hAnsi="Arial Narrow" w:cs="Calibri"/>
          <w:sz w:val="24"/>
          <w:szCs w:val="24"/>
        </w:rPr>
        <w:t xml:space="preserve"> y </w:t>
      </w:r>
      <w:r w:rsidR="00FF6290">
        <w:rPr>
          <w:rFonts w:ascii="Arial Narrow" w:hAnsi="Arial Narrow" w:cs="Calibri"/>
          <w:sz w:val="24"/>
          <w:szCs w:val="24"/>
        </w:rPr>
        <w:t>la Junta de Vigilancia</w:t>
      </w:r>
      <w:r w:rsidR="00381EE0" w:rsidRPr="007F09C3">
        <w:rPr>
          <w:rFonts w:ascii="Arial Narrow" w:hAnsi="Arial Narrow" w:cs="Calibri"/>
          <w:sz w:val="24"/>
          <w:szCs w:val="24"/>
        </w:rPr>
        <w:t xml:space="preserve">.  Las operaciones activas y pasivas, así como el otorgamiento de cualquier beneficio o auxilio a estas personas se hacen aplicando sin excepción los reglamentos generales que se aplican para cualquier asociado sin beneficio, preferencia o prebenda.  Tales operaciones son aprobadas por </w:t>
      </w:r>
      <w:r w:rsidR="000E7401">
        <w:rPr>
          <w:rFonts w:ascii="Arial Narrow" w:hAnsi="Arial Narrow" w:cs="Calibri"/>
          <w:sz w:val="24"/>
          <w:szCs w:val="24"/>
        </w:rPr>
        <w:t>el Consejo de Administración</w:t>
      </w:r>
      <w:r w:rsidR="00381EE0" w:rsidRPr="007F09C3">
        <w:rPr>
          <w:rFonts w:ascii="Arial Narrow" w:hAnsi="Arial Narrow" w:cs="Calibri"/>
          <w:sz w:val="24"/>
          <w:szCs w:val="24"/>
        </w:rPr>
        <w:t xml:space="preserve"> en pleno como lo establece el reglamento.</w:t>
      </w:r>
    </w:p>
    <w:p w14:paraId="27293D85" w14:textId="77777777" w:rsidR="00381EE0" w:rsidRPr="007F09C3" w:rsidRDefault="00381EE0" w:rsidP="007F09C3">
      <w:pPr>
        <w:widowControl w:val="0"/>
        <w:shd w:val="clear" w:color="auto" w:fill="FFFFFF"/>
        <w:ind w:right="48"/>
        <w:jc w:val="both"/>
        <w:rPr>
          <w:rFonts w:ascii="Arial Narrow" w:hAnsi="Arial Narrow"/>
          <w:sz w:val="24"/>
          <w:szCs w:val="24"/>
        </w:rPr>
      </w:pPr>
    </w:p>
    <w:p w14:paraId="7429EF94" w14:textId="1C494130" w:rsidR="00381EE0" w:rsidRPr="007F09C3" w:rsidRDefault="00832291" w:rsidP="007F09C3">
      <w:pPr>
        <w:widowControl w:val="0"/>
        <w:shd w:val="clear" w:color="auto" w:fill="FFFFFF"/>
        <w:ind w:right="48"/>
        <w:jc w:val="both"/>
        <w:rPr>
          <w:rFonts w:ascii="Arial Narrow" w:hAnsi="Arial Narrow"/>
          <w:sz w:val="24"/>
          <w:szCs w:val="24"/>
        </w:rPr>
      </w:pPr>
      <w:r>
        <w:rPr>
          <w:rFonts w:ascii="Arial Narrow" w:hAnsi="Arial Narrow"/>
          <w:sz w:val="24"/>
          <w:szCs w:val="24"/>
        </w:rPr>
        <w:t>COOPEJEMPLO</w:t>
      </w:r>
      <w:r w:rsidR="00381EE0" w:rsidRPr="007F09C3">
        <w:rPr>
          <w:rFonts w:ascii="Arial Narrow" w:hAnsi="Arial Narrow"/>
          <w:sz w:val="24"/>
          <w:szCs w:val="24"/>
        </w:rPr>
        <w:t xml:space="preserve"> ha cumplido con las normas de Seguridad Social, de acuerdo con el Decreto 1406 de 1999. Finalmente, en cumplimiento al artículo 1 de la Ley 603 de julio 27 de 2000 nos permitimos informar el estado de cumplimiento, de normas sobre propiedad intelectual y derechos de autor por parte de la Organización sobre las que podemos garantizar ante los asociados y ante autoridades que los productos protegidos por derecho de propiedad intelectual están siendo  utilizados en forma legal, es decir con el cumplimiento de las normas respectivas y con las debidas autorizaciones; y en el caso específico del Software de acuerdo con las licencias  de uso que viene con cada programa.   </w:t>
      </w:r>
    </w:p>
    <w:p w14:paraId="2244827F" w14:textId="77777777" w:rsidR="00381EE0" w:rsidRPr="007F09C3" w:rsidRDefault="00381EE0" w:rsidP="007F09C3">
      <w:pPr>
        <w:rPr>
          <w:rFonts w:ascii="Arial Narrow" w:hAnsi="Arial Narrow"/>
          <w:color w:val="333333"/>
          <w:sz w:val="24"/>
          <w:szCs w:val="24"/>
        </w:rPr>
      </w:pPr>
    </w:p>
    <w:sectPr w:rsidR="00381EE0" w:rsidRPr="007F09C3" w:rsidSect="00977BE3">
      <w:headerReference w:type="default" r:id="rId20"/>
      <w:pgSz w:w="11906" w:h="16838"/>
      <w:pgMar w:top="1440" w:right="1274" w:bottom="1440" w:left="1080" w:header="397"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E6343" w14:textId="77777777" w:rsidR="00AA7C9B" w:rsidRDefault="00AA7C9B" w:rsidP="00D77F0C">
      <w:r>
        <w:separator/>
      </w:r>
    </w:p>
  </w:endnote>
  <w:endnote w:type="continuationSeparator" w:id="0">
    <w:p w14:paraId="12F9540F" w14:textId="77777777" w:rsidR="00AA7C9B" w:rsidRDefault="00AA7C9B" w:rsidP="00D77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EABFA" w14:textId="77777777" w:rsidR="00AA7C9B" w:rsidRDefault="00AA7C9B" w:rsidP="00D77F0C">
      <w:r>
        <w:separator/>
      </w:r>
    </w:p>
  </w:footnote>
  <w:footnote w:type="continuationSeparator" w:id="0">
    <w:p w14:paraId="3CEB55D0" w14:textId="77777777" w:rsidR="00AA7C9B" w:rsidRDefault="00AA7C9B" w:rsidP="00D77F0C">
      <w:r>
        <w:continuationSeparator/>
      </w:r>
    </w:p>
  </w:footnote>
  <w:footnote w:id="1">
    <w:p w14:paraId="2232FCCF" w14:textId="140A7A6D" w:rsidR="00CB3F0B" w:rsidRPr="00CB3F0B" w:rsidRDefault="00CB3F0B">
      <w:pPr>
        <w:pStyle w:val="Textonotapie"/>
        <w:rPr>
          <w:lang w:val="es-CO"/>
        </w:rPr>
      </w:pPr>
      <w:r>
        <w:rPr>
          <w:rStyle w:val="Refdenotaalpie"/>
        </w:rPr>
        <w:footnoteRef/>
      </w:r>
      <w:r>
        <w:t xml:space="preserve"> </w:t>
      </w:r>
      <w:hyperlink r:id="rId1" w:history="1">
        <w:r w:rsidRPr="00C5298A">
          <w:rPr>
            <w:rStyle w:val="Hipervnculo"/>
          </w:rPr>
          <w:t>https://www.banrep.gov.co/es/estadisticas/encuesta-mensual-expectativas-analistas-economicos</w:t>
        </w:r>
      </w:hyperlink>
      <w:r>
        <w:t xml:space="preserve"> </w:t>
      </w:r>
    </w:p>
  </w:footnote>
  <w:footnote w:id="2">
    <w:p w14:paraId="009E5F8E" w14:textId="22BC0B5B" w:rsidR="00E724A8" w:rsidRPr="00E724A8" w:rsidRDefault="00E724A8">
      <w:pPr>
        <w:pStyle w:val="Textonotapie"/>
        <w:rPr>
          <w:lang w:val="es-CO"/>
        </w:rPr>
      </w:pPr>
      <w:r>
        <w:rPr>
          <w:rStyle w:val="Refdenotaalpie"/>
        </w:rPr>
        <w:footnoteRef/>
      </w:r>
      <w:r>
        <w:t xml:space="preserve"> </w:t>
      </w:r>
      <w:hyperlink r:id="rId2" w:anchor="ibr" w:history="1">
        <w:r w:rsidRPr="00C5298A">
          <w:rPr>
            <w:rStyle w:val="Hipervnculo"/>
          </w:rPr>
          <w:t>https://www.banrep.gov.co/es/estadisticas/catalogo#ibr</w:t>
        </w:r>
      </w:hyperlink>
      <w:r>
        <w:t xml:space="preserve"> </w:t>
      </w:r>
    </w:p>
  </w:footnote>
  <w:footnote w:id="3">
    <w:p w14:paraId="731DD636" w14:textId="0B247C44" w:rsidR="00E724A8" w:rsidRPr="00E724A8" w:rsidRDefault="00E724A8">
      <w:pPr>
        <w:pStyle w:val="Textonotapie"/>
        <w:rPr>
          <w:lang w:val="es-CO"/>
        </w:rPr>
      </w:pPr>
      <w:r>
        <w:rPr>
          <w:rStyle w:val="Refdenotaalpie"/>
        </w:rPr>
        <w:footnoteRef/>
      </w:r>
      <w:r>
        <w:t xml:space="preserve"> </w:t>
      </w:r>
      <w:hyperlink r:id="rId3" w:history="1">
        <w:r w:rsidRPr="00C5298A">
          <w:rPr>
            <w:rStyle w:val="Hipervnculo"/>
          </w:rPr>
          <w:t>https://www.superfinanciera.gov.co/inicio/simulador-y-tarifas-de-servicios-financieros/tasas-de-interes/tasas-de-interes-pasivas-por-tipo-de-deposito-61300</w:t>
        </w:r>
      </w:hyperlink>
      <w:r>
        <w:t xml:space="preserve"> </w:t>
      </w:r>
    </w:p>
  </w:footnote>
  <w:footnote w:id="4">
    <w:p w14:paraId="3E07FD3B" w14:textId="7818D68F" w:rsidR="0075512C" w:rsidRPr="0075512C" w:rsidRDefault="0075512C" w:rsidP="0075512C">
      <w:pPr>
        <w:pStyle w:val="Textonotapie"/>
        <w:jc w:val="both"/>
        <w:rPr>
          <w:lang w:val="es-CO"/>
        </w:rPr>
      </w:pPr>
      <w:r>
        <w:rPr>
          <w:rStyle w:val="Refdenotaalpie"/>
        </w:rPr>
        <w:footnoteRef/>
      </w:r>
      <w:r>
        <w:t xml:space="preserve"> </w:t>
      </w:r>
      <w:r>
        <w:rPr>
          <w:lang w:val="es-CO"/>
        </w:rPr>
        <w:t>No se incluyeron los datos de las 6 cooperativas con actividad financiera que han desaparecido en los ultimos 3 años.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shd w:val="clear" w:color="auto" w:fill="385623" w:themeFill="accent6" w:themeFillShade="80"/>
      <w:tblLook w:val="04A0" w:firstRow="1" w:lastRow="0" w:firstColumn="1" w:lastColumn="0" w:noHBand="0" w:noVBand="1"/>
    </w:tblPr>
    <w:tblGrid>
      <w:gridCol w:w="8075"/>
      <w:gridCol w:w="1467"/>
    </w:tblGrid>
    <w:tr w:rsidR="006E1175" w:rsidRPr="006E1175" w14:paraId="745B0D0F" w14:textId="77777777" w:rsidTr="006E1175">
      <w:tc>
        <w:tcPr>
          <w:tcW w:w="8075" w:type="dxa"/>
          <w:shd w:val="clear" w:color="auto" w:fill="385623" w:themeFill="accent6" w:themeFillShade="80"/>
        </w:tcPr>
        <w:p w14:paraId="5B01A489" w14:textId="5EB32CED" w:rsidR="006E1175" w:rsidRPr="006E1175" w:rsidRDefault="006E1175" w:rsidP="006E1175">
          <w:pPr>
            <w:pStyle w:val="Encabezado"/>
            <w:rPr>
              <w:rFonts w:ascii="Arial Narrow" w:hAnsi="Arial Narrow"/>
              <w:b/>
              <w:bCs/>
              <w:color w:val="FFFFFF" w:themeColor="background1"/>
              <w:sz w:val="28"/>
              <w:szCs w:val="28"/>
              <w:lang w:val="es-CO"/>
            </w:rPr>
          </w:pPr>
          <w:r w:rsidRPr="006E1175">
            <w:rPr>
              <w:rFonts w:ascii="Arial Narrow" w:hAnsi="Arial Narrow"/>
              <w:b/>
              <w:bCs/>
              <w:color w:val="FFFFFF" w:themeColor="background1"/>
              <w:sz w:val="28"/>
              <w:szCs w:val="28"/>
              <w:lang w:val="es-CO"/>
            </w:rPr>
            <w:t>COOPEJEMPLO BALANCE ECONOMICO Y SOCIAL 2021</w:t>
          </w:r>
        </w:p>
      </w:tc>
      <w:tc>
        <w:tcPr>
          <w:tcW w:w="1467" w:type="dxa"/>
          <w:shd w:val="clear" w:color="auto" w:fill="385623" w:themeFill="accent6" w:themeFillShade="80"/>
        </w:tcPr>
        <w:p w14:paraId="69120BC9" w14:textId="63079D0E" w:rsidR="006E1175" w:rsidRPr="006E1175" w:rsidRDefault="006E1175" w:rsidP="006E1175">
          <w:pPr>
            <w:pStyle w:val="Encabezado"/>
            <w:rPr>
              <w:rFonts w:ascii="Arial Narrow" w:hAnsi="Arial Narrow"/>
              <w:color w:val="FFFFFF" w:themeColor="background1"/>
              <w:sz w:val="16"/>
              <w:szCs w:val="16"/>
            </w:rPr>
          </w:pPr>
          <w:r w:rsidRPr="006E1175">
            <w:rPr>
              <w:rFonts w:ascii="Arial Narrow" w:hAnsi="Arial Narrow"/>
              <w:color w:val="FFFFFF" w:themeColor="background1"/>
              <w:sz w:val="16"/>
              <w:szCs w:val="16"/>
              <w:lang w:val="es-ES"/>
            </w:rPr>
            <w:t xml:space="preserve">Página </w:t>
          </w:r>
          <w:r w:rsidRPr="006E1175">
            <w:rPr>
              <w:rFonts w:ascii="Arial Narrow" w:hAnsi="Arial Narrow"/>
              <w:color w:val="FFFFFF" w:themeColor="background1"/>
              <w:sz w:val="16"/>
              <w:szCs w:val="16"/>
            </w:rPr>
            <w:fldChar w:fldCharType="begin"/>
          </w:r>
          <w:r w:rsidRPr="006E1175">
            <w:rPr>
              <w:rFonts w:ascii="Arial Narrow" w:hAnsi="Arial Narrow"/>
              <w:color w:val="FFFFFF" w:themeColor="background1"/>
              <w:sz w:val="16"/>
              <w:szCs w:val="16"/>
            </w:rPr>
            <w:instrText>PAGE  \* Arabic  \* MERGEFORMAT</w:instrText>
          </w:r>
          <w:r w:rsidRPr="006E1175">
            <w:rPr>
              <w:rFonts w:ascii="Arial Narrow" w:hAnsi="Arial Narrow"/>
              <w:color w:val="FFFFFF" w:themeColor="background1"/>
              <w:sz w:val="16"/>
              <w:szCs w:val="16"/>
            </w:rPr>
            <w:fldChar w:fldCharType="separate"/>
          </w:r>
          <w:r w:rsidRPr="006E1175">
            <w:rPr>
              <w:rFonts w:ascii="Arial Narrow" w:hAnsi="Arial Narrow"/>
              <w:color w:val="FFFFFF" w:themeColor="background1"/>
              <w:sz w:val="16"/>
              <w:szCs w:val="16"/>
              <w:lang w:val="es-ES"/>
            </w:rPr>
            <w:t>1</w:t>
          </w:r>
          <w:r w:rsidRPr="006E1175">
            <w:rPr>
              <w:rFonts w:ascii="Arial Narrow" w:hAnsi="Arial Narrow"/>
              <w:color w:val="FFFFFF" w:themeColor="background1"/>
              <w:sz w:val="16"/>
              <w:szCs w:val="16"/>
            </w:rPr>
            <w:fldChar w:fldCharType="end"/>
          </w:r>
          <w:r w:rsidRPr="006E1175">
            <w:rPr>
              <w:rFonts w:ascii="Arial Narrow" w:hAnsi="Arial Narrow"/>
              <w:color w:val="FFFFFF" w:themeColor="background1"/>
              <w:sz w:val="16"/>
              <w:szCs w:val="16"/>
              <w:lang w:val="es-ES"/>
            </w:rPr>
            <w:t xml:space="preserve"> de </w:t>
          </w:r>
          <w:r w:rsidRPr="006E1175">
            <w:rPr>
              <w:rFonts w:ascii="Arial Narrow" w:hAnsi="Arial Narrow"/>
              <w:color w:val="FFFFFF" w:themeColor="background1"/>
              <w:sz w:val="16"/>
              <w:szCs w:val="16"/>
            </w:rPr>
            <w:fldChar w:fldCharType="begin"/>
          </w:r>
          <w:r w:rsidRPr="006E1175">
            <w:rPr>
              <w:rFonts w:ascii="Arial Narrow" w:hAnsi="Arial Narrow"/>
              <w:color w:val="FFFFFF" w:themeColor="background1"/>
              <w:sz w:val="16"/>
              <w:szCs w:val="16"/>
            </w:rPr>
            <w:instrText>NUMPAGES  \* Arabic  \* MERGEFORMAT</w:instrText>
          </w:r>
          <w:r w:rsidRPr="006E1175">
            <w:rPr>
              <w:rFonts w:ascii="Arial Narrow" w:hAnsi="Arial Narrow"/>
              <w:color w:val="FFFFFF" w:themeColor="background1"/>
              <w:sz w:val="16"/>
              <w:szCs w:val="16"/>
            </w:rPr>
            <w:fldChar w:fldCharType="separate"/>
          </w:r>
          <w:r w:rsidRPr="006E1175">
            <w:rPr>
              <w:rFonts w:ascii="Arial Narrow" w:hAnsi="Arial Narrow"/>
              <w:color w:val="FFFFFF" w:themeColor="background1"/>
              <w:sz w:val="16"/>
              <w:szCs w:val="16"/>
              <w:lang w:val="es-ES"/>
            </w:rPr>
            <w:t>2</w:t>
          </w:r>
          <w:r w:rsidRPr="006E1175">
            <w:rPr>
              <w:rFonts w:ascii="Arial Narrow" w:hAnsi="Arial Narrow"/>
              <w:color w:val="FFFFFF" w:themeColor="background1"/>
              <w:sz w:val="16"/>
              <w:szCs w:val="16"/>
            </w:rPr>
            <w:fldChar w:fldCharType="end"/>
          </w:r>
        </w:p>
      </w:tc>
    </w:tr>
  </w:tbl>
  <w:p w14:paraId="60BDA6DD" w14:textId="2D1EEE4B" w:rsidR="006E1175" w:rsidRPr="006E1175" w:rsidRDefault="006E1175" w:rsidP="006E1175">
    <w:pPr>
      <w:pStyle w:val="Encabezado"/>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664"/>
    <w:multiLevelType w:val="multilevel"/>
    <w:tmpl w:val="D8B2E4F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0E0494B"/>
    <w:multiLevelType w:val="hybridMultilevel"/>
    <w:tmpl w:val="07FA4ECE"/>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0343496E"/>
    <w:multiLevelType w:val="multilevel"/>
    <w:tmpl w:val="ABC09A38"/>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6342F7D"/>
    <w:multiLevelType w:val="hybridMultilevel"/>
    <w:tmpl w:val="091CBAB0"/>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24C2497"/>
    <w:multiLevelType w:val="hybridMultilevel"/>
    <w:tmpl w:val="FD8A4A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DBF4EDD"/>
    <w:multiLevelType w:val="hybridMultilevel"/>
    <w:tmpl w:val="6D6412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0C30357"/>
    <w:multiLevelType w:val="hybridMultilevel"/>
    <w:tmpl w:val="87BA56FC"/>
    <w:lvl w:ilvl="0" w:tplc="57A6FD3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A676E94"/>
    <w:multiLevelType w:val="hybridMultilevel"/>
    <w:tmpl w:val="FFF88C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E62237B"/>
    <w:multiLevelType w:val="hybridMultilevel"/>
    <w:tmpl w:val="DC402A3A"/>
    <w:lvl w:ilvl="0" w:tplc="24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31AF3D46"/>
    <w:multiLevelType w:val="multilevel"/>
    <w:tmpl w:val="39A26B20"/>
    <w:lvl w:ilvl="0">
      <w:start w:val="1"/>
      <w:numFmt w:val="decimal"/>
      <w:lvlText w:val="%1."/>
      <w:lvlJc w:val="left"/>
      <w:pPr>
        <w:ind w:left="720" w:hanging="360"/>
      </w:pPr>
      <w:rPr>
        <w:rFonts w:cs="Calibri"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37642386"/>
    <w:multiLevelType w:val="multilevel"/>
    <w:tmpl w:val="F200B1A8"/>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3E981EC3"/>
    <w:multiLevelType w:val="hybridMultilevel"/>
    <w:tmpl w:val="90B27242"/>
    <w:lvl w:ilvl="0" w:tplc="240A0017">
      <w:start w:val="1"/>
      <w:numFmt w:val="lowerLetter"/>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47BE0889"/>
    <w:multiLevelType w:val="multilevel"/>
    <w:tmpl w:val="31FABA3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4CC039DD"/>
    <w:multiLevelType w:val="hybridMultilevel"/>
    <w:tmpl w:val="87BA56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D143C97"/>
    <w:multiLevelType w:val="hybridMultilevel"/>
    <w:tmpl w:val="FF143C9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A681961"/>
    <w:multiLevelType w:val="hybridMultilevel"/>
    <w:tmpl w:val="B59CCF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6" w15:restartNumberingAfterBreak="0">
    <w:nsid w:val="5D8454C9"/>
    <w:multiLevelType w:val="hybridMultilevel"/>
    <w:tmpl w:val="F4A29E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5E94992"/>
    <w:multiLevelType w:val="hybridMultilevel"/>
    <w:tmpl w:val="4F5AA6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63C3D45"/>
    <w:multiLevelType w:val="hybridMultilevel"/>
    <w:tmpl w:val="ECCC09A6"/>
    <w:lvl w:ilvl="0" w:tplc="50867B34">
      <w:numFmt w:val="bullet"/>
      <w:lvlText w:val="-"/>
      <w:lvlJc w:val="left"/>
      <w:pPr>
        <w:ind w:left="720" w:hanging="360"/>
      </w:pPr>
      <w:rPr>
        <w:rFonts w:ascii="Trebuchet MS" w:eastAsia="Times New Roman" w:hAnsi="Trebuchet MS" w:cstheme="minorHAns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7BA95E4E"/>
    <w:multiLevelType w:val="multilevel"/>
    <w:tmpl w:val="39A26B20"/>
    <w:lvl w:ilvl="0">
      <w:start w:val="1"/>
      <w:numFmt w:val="decimal"/>
      <w:lvlText w:val="%1."/>
      <w:lvlJc w:val="left"/>
      <w:pPr>
        <w:ind w:left="720" w:hanging="360"/>
      </w:pPr>
      <w:rPr>
        <w:rFonts w:cs="Calibri"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7BBF13E1"/>
    <w:multiLevelType w:val="multilevel"/>
    <w:tmpl w:val="ABC09A38"/>
    <w:lvl w:ilvl="0">
      <w:start w:val="1"/>
      <w:numFmt w:val="bullet"/>
      <w:lvlText w:val=""/>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7C4373FD"/>
    <w:multiLevelType w:val="hybridMultilevel"/>
    <w:tmpl w:val="A5426B34"/>
    <w:lvl w:ilvl="0" w:tplc="4F00425E">
      <w:numFmt w:val="bullet"/>
      <w:lvlText w:val="-"/>
      <w:lvlJc w:val="left"/>
      <w:pPr>
        <w:ind w:left="360" w:hanging="360"/>
      </w:pPr>
      <w:rPr>
        <w:rFonts w:ascii="Trebuchet MS" w:eastAsiaTheme="minorHAnsi" w:hAnsi="Trebuchet MS" w:cstheme="minorBidi"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15:restartNumberingAfterBreak="0">
    <w:nsid w:val="7D7077ED"/>
    <w:multiLevelType w:val="hybridMultilevel"/>
    <w:tmpl w:val="07CC81E2"/>
    <w:lvl w:ilvl="0" w:tplc="57A6FD3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9"/>
  </w:num>
  <w:num w:numId="2">
    <w:abstractNumId w:val="18"/>
  </w:num>
  <w:num w:numId="3">
    <w:abstractNumId w:val="20"/>
  </w:num>
  <w:num w:numId="4">
    <w:abstractNumId w:val="2"/>
  </w:num>
  <w:num w:numId="5">
    <w:abstractNumId w:val="0"/>
  </w:num>
  <w:num w:numId="6">
    <w:abstractNumId w:val="12"/>
  </w:num>
  <w:num w:numId="7">
    <w:abstractNumId w:val="21"/>
  </w:num>
  <w:num w:numId="8">
    <w:abstractNumId w:val="17"/>
  </w:num>
  <w:num w:numId="9">
    <w:abstractNumId w:val="15"/>
  </w:num>
  <w:num w:numId="10">
    <w:abstractNumId w:val="7"/>
  </w:num>
  <w:num w:numId="11">
    <w:abstractNumId w:val="5"/>
  </w:num>
  <w:num w:numId="12">
    <w:abstractNumId w:val="1"/>
  </w:num>
  <w:num w:numId="13">
    <w:abstractNumId w:val="4"/>
  </w:num>
  <w:num w:numId="14">
    <w:abstractNumId w:val="16"/>
  </w:num>
  <w:num w:numId="15">
    <w:abstractNumId w:val="22"/>
  </w:num>
  <w:num w:numId="16">
    <w:abstractNumId w:val="11"/>
  </w:num>
  <w:num w:numId="17">
    <w:abstractNumId w:val="10"/>
  </w:num>
  <w:num w:numId="18">
    <w:abstractNumId w:val="14"/>
  </w:num>
  <w:num w:numId="19">
    <w:abstractNumId w:val="3"/>
  </w:num>
  <w:num w:numId="20">
    <w:abstractNumId w:val="6"/>
  </w:num>
  <w:num w:numId="21">
    <w:abstractNumId w:val="13"/>
  </w:num>
  <w:num w:numId="22">
    <w:abstractNumId w:val="8"/>
  </w:num>
  <w:num w:numId="23">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510"/>
    <w:rsid w:val="00004E8B"/>
    <w:rsid w:val="00011D5E"/>
    <w:rsid w:val="00015C8A"/>
    <w:rsid w:val="00021893"/>
    <w:rsid w:val="00026AE0"/>
    <w:rsid w:val="000271B4"/>
    <w:rsid w:val="000278B5"/>
    <w:rsid w:val="00031F32"/>
    <w:rsid w:val="000365CF"/>
    <w:rsid w:val="000405D2"/>
    <w:rsid w:val="000406F1"/>
    <w:rsid w:val="00040F44"/>
    <w:rsid w:val="00042E8D"/>
    <w:rsid w:val="00046586"/>
    <w:rsid w:val="000479B6"/>
    <w:rsid w:val="00047CED"/>
    <w:rsid w:val="00052A22"/>
    <w:rsid w:val="00053F2F"/>
    <w:rsid w:val="0005721C"/>
    <w:rsid w:val="00061A3F"/>
    <w:rsid w:val="00062D01"/>
    <w:rsid w:val="00076397"/>
    <w:rsid w:val="00076F57"/>
    <w:rsid w:val="00084FAD"/>
    <w:rsid w:val="00087AAF"/>
    <w:rsid w:val="00090B0C"/>
    <w:rsid w:val="00093C90"/>
    <w:rsid w:val="00096788"/>
    <w:rsid w:val="00097292"/>
    <w:rsid w:val="000A1645"/>
    <w:rsid w:val="000A54CB"/>
    <w:rsid w:val="000A55C1"/>
    <w:rsid w:val="000A794C"/>
    <w:rsid w:val="000B1A0C"/>
    <w:rsid w:val="000B2EC0"/>
    <w:rsid w:val="000B3F21"/>
    <w:rsid w:val="000C63AA"/>
    <w:rsid w:val="000D1376"/>
    <w:rsid w:val="000D2FDB"/>
    <w:rsid w:val="000D42EA"/>
    <w:rsid w:val="000D4473"/>
    <w:rsid w:val="000E041A"/>
    <w:rsid w:val="000E4AEA"/>
    <w:rsid w:val="000E5070"/>
    <w:rsid w:val="000E7401"/>
    <w:rsid w:val="000F570C"/>
    <w:rsid w:val="0010612C"/>
    <w:rsid w:val="00111D96"/>
    <w:rsid w:val="00112CA5"/>
    <w:rsid w:val="00113611"/>
    <w:rsid w:val="00116EA3"/>
    <w:rsid w:val="0013791B"/>
    <w:rsid w:val="00140358"/>
    <w:rsid w:val="001472A8"/>
    <w:rsid w:val="00151A99"/>
    <w:rsid w:val="0015486B"/>
    <w:rsid w:val="00155502"/>
    <w:rsid w:val="00156A38"/>
    <w:rsid w:val="00163738"/>
    <w:rsid w:val="00165F6A"/>
    <w:rsid w:val="00166343"/>
    <w:rsid w:val="00166D6B"/>
    <w:rsid w:val="00166EDB"/>
    <w:rsid w:val="001711D7"/>
    <w:rsid w:val="00174C09"/>
    <w:rsid w:val="0017756A"/>
    <w:rsid w:val="001800B2"/>
    <w:rsid w:val="00180200"/>
    <w:rsid w:val="00180ECC"/>
    <w:rsid w:val="00192E6F"/>
    <w:rsid w:val="00193435"/>
    <w:rsid w:val="00194DD1"/>
    <w:rsid w:val="001A24D3"/>
    <w:rsid w:val="001A25B8"/>
    <w:rsid w:val="001B0F6B"/>
    <w:rsid w:val="001B25C8"/>
    <w:rsid w:val="001B4286"/>
    <w:rsid w:val="001B6E6E"/>
    <w:rsid w:val="001B7730"/>
    <w:rsid w:val="001C6949"/>
    <w:rsid w:val="001D0456"/>
    <w:rsid w:val="001D1034"/>
    <w:rsid w:val="001D47BD"/>
    <w:rsid w:val="001D5BDF"/>
    <w:rsid w:val="001D7DA5"/>
    <w:rsid w:val="001E14EA"/>
    <w:rsid w:val="001E5921"/>
    <w:rsid w:val="001E5DF0"/>
    <w:rsid w:val="001F0A19"/>
    <w:rsid w:val="001F20B4"/>
    <w:rsid w:val="001F638A"/>
    <w:rsid w:val="001F7602"/>
    <w:rsid w:val="001F77B5"/>
    <w:rsid w:val="00205673"/>
    <w:rsid w:val="00206E94"/>
    <w:rsid w:val="00207560"/>
    <w:rsid w:val="00210063"/>
    <w:rsid w:val="002121DD"/>
    <w:rsid w:val="0021604B"/>
    <w:rsid w:val="00222983"/>
    <w:rsid w:val="002234E9"/>
    <w:rsid w:val="00230846"/>
    <w:rsid w:val="002349BF"/>
    <w:rsid w:val="00235080"/>
    <w:rsid w:val="0023772E"/>
    <w:rsid w:val="00242749"/>
    <w:rsid w:val="00247A6D"/>
    <w:rsid w:val="002523B5"/>
    <w:rsid w:val="00254A5F"/>
    <w:rsid w:val="00265B98"/>
    <w:rsid w:val="00266AD8"/>
    <w:rsid w:val="0027002E"/>
    <w:rsid w:val="00272CAD"/>
    <w:rsid w:val="00280331"/>
    <w:rsid w:val="00283934"/>
    <w:rsid w:val="00290CFC"/>
    <w:rsid w:val="002A735B"/>
    <w:rsid w:val="002A7FF8"/>
    <w:rsid w:val="002B1797"/>
    <w:rsid w:val="002B43E5"/>
    <w:rsid w:val="002B67FC"/>
    <w:rsid w:val="002B6DB7"/>
    <w:rsid w:val="002C08F0"/>
    <w:rsid w:val="002C3DFF"/>
    <w:rsid w:val="002C6045"/>
    <w:rsid w:val="002D746D"/>
    <w:rsid w:val="002E1B12"/>
    <w:rsid w:val="002E26BD"/>
    <w:rsid w:val="002E7B04"/>
    <w:rsid w:val="002F153E"/>
    <w:rsid w:val="002F4D05"/>
    <w:rsid w:val="00302C8C"/>
    <w:rsid w:val="00312757"/>
    <w:rsid w:val="00312CE0"/>
    <w:rsid w:val="00314E69"/>
    <w:rsid w:val="0031730D"/>
    <w:rsid w:val="00317AA2"/>
    <w:rsid w:val="00325A0B"/>
    <w:rsid w:val="0033061F"/>
    <w:rsid w:val="003306F1"/>
    <w:rsid w:val="00330705"/>
    <w:rsid w:val="00330F19"/>
    <w:rsid w:val="00333B6C"/>
    <w:rsid w:val="00336C52"/>
    <w:rsid w:val="00337D27"/>
    <w:rsid w:val="003535D2"/>
    <w:rsid w:val="00354FCC"/>
    <w:rsid w:val="00355704"/>
    <w:rsid w:val="00357E57"/>
    <w:rsid w:val="00362513"/>
    <w:rsid w:val="00363BC5"/>
    <w:rsid w:val="00364239"/>
    <w:rsid w:val="003648D2"/>
    <w:rsid w:val="00370042"/>
    <w:rsid w:val="00370200"/>
    <w:rsid w:val="0037320A"/>
    <w:rsid w:val="00375F55"/>
    <w:rsid w:val="00381EE0"/>
    <w:rsid w:val="0038425C"/>
    <w:rsid w:val="003843AA"/>
    <w:rsid w:val="003851DC"/>
    <w:rsid w:val="0038742F"/>
    <w:rsid w:val="00390464"/>
    <w:rsid w:val="0039063C"/>
    <w:rsid w:val="003937DB"/>
    <w:rsid w:val="00396397"/>
    <w:rsid w:val="003A00FB"/>
    <w:rsid w:val="003A05C8"/>
    <w:rsid w:val="003A08D0"/>
    <w:rsid w:val="003A2814"/>
    <w:rsid w:val="003A406D"/>
    <w:rsid w:val="003A4554"/>
    <w:rsid w:val="003A55FF"/>
    <w:rsid w:val="003A5E83"/>
    <w:rsid w:val="003B2615"/>
    <w:rsid w:val="003B2CB4"/>
    <w:rsid w:val="003B3757"/>
    <w:rsid w:val="003B5258"/>
    <w:rsid w:val="003C4CEA"/>
    <w:rsid w:val="003D073D"/>
    <w:rsid w:val="003D7B18"/>
    <w:rsid w:val="003D7C08"/>
    <w:rsid w:val="003E3AF1"/>
    <w:rsid w:val="003F135B"/>
    <w:rsid w:val="003F1789"/>
    <w:rsid w:val="003F64F3"/>
    <w:rsid w:val="00400781"/>
    <w:rsid w:val="00402A19"/>
    <w:rsid w:val="00405B01"/>
    <w:rsid w:val="00415586"/>
    <w:rsid w:val="00423109"/>
    <w:rsid w:val="00423635"/>
    <w:rsid w:val="0042480E"/>
    <w:rsid w:val="00425345"/>
    <w:rsid w:val="004263F6"/>
    <w:rsid w:val="004334C0"/>
    <w:rsid w:val="00433CFC"/>
    <w:rsid w:val="00434E6D"/>
    <w:rsid w:val="004440BA"/>
    <w:rsid w:val="004544AC"/>
    <w:rsid w:val="00456FCE"/>
    <w:rsid w:val="00460131"/>
    <w:rsid w:val="00462AED"/>
    <w:rsid w:val="00462C70"/>
    <w:rsid w:val="00465059"/>
    <w:rsid w:val="00465572"/>
    <w:rsid w:val="0046798F"/>
    <w:rsid w:val="00467EB3"/>
    <w:rsid w:val="00475E54"/>
    <w:rsid w:val="00476E37"/>
    <w:rsid w:val="004773A7"/>
    <w:rsid w:val="004802FF"/>
    <w:rsid w:val="004850EA"/>
    <w:rsid w:val="00485B86"/>
    <w:rsid w:val="00497AAB"/>
    <w:rsid w:val="004A2037"/>
    <w:rsid w:val="004A41F5"/>
    <w:rsid w:val="004A49F0"/>
    <w:rsid w:val="004A694F"/>
    <w:rsid w:val="004B01B7"/>
    <w:rsid w:val="004B1F5A"/>
    <w:rsid w:val="004B52E9"/>
    <w:rsid w:val="004C124F"/>
    <w:rsid w:val="004C7C0A"/>
    <w:rsid w:val="004D11B7"/>
    <w:rsid w:val="004D3A74"/>
    <w:rsid w:val="004E0525"/>
    <w:rsid w:val="004E297E"/>
    <w:rsid w:val="004E3B6C"/>
    <w:rsid w:val="004E4BCD"/>
    <w:rsid w:val="004E6CDE"/>
    <w:rsid w:val="004E6DC6"/>
    <w:rsid w:val="004F048A"/>
    <w:rsid w:val="004F29D2"/>
    <w:rsid w:val="004F38B9"/>
    <w:rsid w:val="00502FF3"/>
    <w:rsid w:val="005077E2"/>
    <w:rsid w:val="005204F2"/>
    <w:rsid w:val="005316A9"/>
    <w:rsid w:val="00532048"/>
    <w:rsid w:val="005413E5"/>
    <w:rsid w:val="00545400"/>
    <w:rsid w:val="005467D2"/>
    <w:rsid w:val="00553255"/>
    <w:rsid w:val="005617AF"/>
    <w:rsid w:val="00563A88"/>
    <w:rsid w:val="005678A3"/>
    <w:rsid w:val="00571033"/>
    <w:rsid w:val="0057465B"/>
    <w:rsid w:val="00575FFA"/>
    <w:rsid w:val="005765F3"/>
    <w:rsid w:val="00576B28"/>
    <w:rsid w:val="005808B7"/>
    <w:rsid w:val="0058163B"/>
    <w:rsid w:val="005841A6"/>
    <w:rsid w:val="005847C8"/>
    <w:rsid w:val="00584C40"/>
    <w:rsid w:val="00587389"/>
    <w:rsid w:val="005912CC"/>
    <w:rsid w:val="00593DEB"/>
    <w:rsid w:val="005A4C6E"/>
    <w:rsid w:val="005A7194"/>
    <w:rsid w:val="005B131F"/>
    <w:rsid w:val="005B3853"/>
    <w:rsid w:val="005C0D3D"/>
    <w:rsid w:val="005C3F96"/>
    <w:rsid w:val="005D1BE9"/>
    <w:rsid w:val="005D5448"/>
    <w:rsid w:val="005E4EEA"/>
    <w:rsid w:val="005E76D9"/>
    <w:rsid w:val="005F1626"/>
    <w:rsid w:val="005F3A46"/>
    <w:rsid w:val="005F71FC"/>
    <w:rsid w:val="0060144B"/>
    <w:rsid w:val="00602690"/>
    <w:rsid w:val="006065C2"/>
    <w:rsid w:val="006104F2"/>
    <w:rsid w:val="00611A11"/>
    <w:rsid w:val="00620BE4"/>
    <w:rsid w:val="00630268"/>
    <w:rsid w:val="00630DAF"/>
    <w:rsid w:val="00632603"/>
    <w:rsid w:val="00635B7A"/>
    <w:rsid w:val="00635FA5"/>
    <w:rsid w:val="006514A9"/>
    <w:rsid w:val="006558A1"/>
    <w:rsid w:val="00656A07"/>
    <w:rsid w:val="00660AC9"/>
    <w:rsid w:val="00662D26"/>
    <w:rsid w:val="0066336D"/>
    <w:rsid w:val="00667D82"/>
    <w:rsid w:val="00671F49"/>
    <w:rsid w:val="0067242F"/>
    <w:rsid w:val="006742BD"/>
    <w:rsid w:val="00677B55"/>
    <w:rsid w:val="0068049E"/>
    <w:rsid w:val="00686413"/>
    <w:rsid w:val="00690E0E"/>
    <w:rsid w:val="006945EB"/>
    <w:rsid w:val="00696EDC"/>
    <w:rsid w:val="006A394F"/>
    <w:rsid w:val="006A55B2"/>
    <w:rsid w:val="006B37B1"/>
    <w:rsid w:val="006B3971"/>
    <w:rsid w:val="006C1641"/>
    <w:rsid w:val="006C5E00"/>
    <w:rsid w:val="006C61F6"/>
    <w:rsid w:val="006D0CAA"/>
    <w:rsid w:val="006D2AB0"/>
    <w:rsid w:val="006D4793"/>
    <w:rsid w:val="006D6053"/>
    <w:rsid w:val="006D70FC"/>
    <w:rsid w:val="006E1175"/>
    <w:rsid w:val="0070192C"/>
    <w:rsid w:val="00703E9A"/>
    <w:rsid w:val="00707BD0"/>
    <w:rsid w:val="00714A17"/>
    <w:rsid w:val="00716326"/>
    <w:rsid w:val="00722DA9"/>
    <w:rsid w:val="00724ECF"/>
    <w:rsid w:val="00726116"/>
    <w:rsid w:val="00727A22"/>
    <w:rsid w:val="007352C3"/>
    <w:rsid w:val="0073795B"/>
    <w:rsid w:val="0074069B"/>
    <w:rsid w:val="007415AD"/>
    <w:rsid w:val="00743B4F"/>
    <w:rsid w:val="007548C6"/>
    <w:rsid w:val="0075512C"/>
    <w:rsid w:val="00757E88"/>
    <w:rsid w:val="0076002E"/>
    <w:rsid w:val="0076025D"/>
    <w:rsid w:val="007623D1"/>
    <w:rsid w:val="00771AF6"/>
    <w:rsid w:val="00782F0F"/>
    <w:rsid w:val="00784B26"/>
    <w:rsid w:val="0078600A"/>
    <w:rsid w:val="007871B2"/>
    <w:rsid w:val="00795DA6"/>
    <w:rsid w:val="0079754D"/>
    <w:rsid w:val="007A41A2"/>
    <w:rsid w:val="007A4D8E"/>
    <w:rsid w:val="007A5137"/>
    <w:rsid w:val="007A5660"/>
    <w:rsid w:val="007A7BFB"/>
    <w:rsid w:val="007B29B9"/>
    <w:rsid w:val="007B7AF5"/>
    <w:rsid w:val="007C2F87"/>
    <w:rsid w:val="007C6264"/>
    <w:rsid w:val="007C7566"/>
    <w:rsid w:val="007D03B6"/>
    <w:rsid w:val="007D2239"/>
    <w:rsid w:val="007D2A3A"/>
    <w:rsid w:val="007D3259"/>
    <w:rsid w:val="007D3CA6"/>
    <w:rsid w:val="007E1617"/>
    <w:rsid w:val="007E21BD"/>
    <w:rsid w:val="007E2B99"/>
    <w:rsid w:val="007E6831"/>
    <w:rsid w:val="007F03EA"/>
    <w:rsid w:val="007F09C3"/>
    <w:rsid w:val="0080383B"/>
    <w:rsid w:val="00804860"/>
    <w:rsid w:val="00806E91"/>
    <w:rsid w:val="00810BD7"/>
    <w:rsid w:val="00812D43"/>
    <w:rsid w:val="0081384F"/>
    <w:rsid w:val="0082393D"/>
    <w:rsid w:val="00832291"/>
    <w:rsid w:val="008325B1"/>
    <w:rsid w:val="00833DC0"/>
    <w:rsid w:val="0083437F"/>
    <w:rsid w:val="00834C72"/>
    <w:rsid w:val="008422A9"/>
    <w:rsid w:val="00843F78"/>
    <w:rsid w:val="008456A6"/>
    <w:rsid w:val="0085013A"/>
    <w:rsid w:val="00857EE4"/>
    <w:rsid w:val="00860640"/>
    <w:rsid w:val="008628D9"/>
    <w:rsid w:val="0086321F"/>
    <w:rsid w:val="00865A35"/>
    <w:rsid w:val="00871D3C"/>
    <w:rsid w:val="008857CD"/>
    <w:rsid w:val="008870EC"/>
    <w:rsid w:val="008879D4"/>
    <w:rsid w:val="00892524"/>
    <w:rsid w:val="00895C5A"/>
    <w:rsid w:val="008A4914"/>
    <w:rsid w:val="008B2153"/>
    <w:rsid w:val="008C2308"/>
    <w:rsid w:val="008C3814"/>
    <w:rsid w:val="008E4105"/>
    <w:rsid w:val="008F3EAD"/>
    <w:rsid w:val="00901D91"/>
    <w:rsid w:val="009033BD"/>
    <w:rsid w:val="00903AA1"/>
    <w:rsid w:val="00903C6D"/>
    <w:rsid w:val="00910224"/>
    <w:rsid w:val="00910D3D"/>
    <w:rsid w:val="00911055"/>
    <w:rsid w:val="0091129E"/>
    <w:rsid w:val="0092208C"/>
    <w:rsid w:val="009224A4"/>
    <w:rsid w:val="00927B10"/>
    <w:rsid w:val="00930EE1"/>
    <w:rsid w:val="00933105"/>
    <w:rsid w:val="00935210"/>
    <w:rsid w:val="0093616D"/>
    <w:rsid w:val="0094115E"/>
    <w:rsid w:val="0094334B"/>
    <w:rsid w:val="0095232C"/>
    <w:rsid w:val="009534EA"/>
    <w:rsid w:val="00955F9C"/>
    <w:rsid w:val="00972CFD"/>
    <w:rsid w:val="00975F7F"/>
    <w:rsid w:val="00977BE3"/>
    <w:rsid w:val="0098138A"/>
    <w:rsid w:val="00982A1F"/>
    <w:rsid w:val="00984A41"/>
    <w:rsid w:val="00990C0E"/>
    <w:rsid w:val="009971B3"/>
    <w:rsid w:val="009A07DC"/>
    <w:rsid w:val="009A116B"/>
    <w:rsid w:val="009A1600"/>
    <w:rsid w:val="009A3FE3"/>
    <w:rsid w:val="009B4B9E"/>
    <w:rsid w:val="009B5D82"/>
    <w:rsid w:val="009C1F4A"/>
    <w:rsid w:val="009C6EE0"/>
    <w:rsid w:val="009D4EEA"/>
    <w:rsid w:val="009E1E0C"/>
    <w:rsid w:val="009E1E64"/>
    <w:rsid w:val="009F3D54"/>
    <w:rsid w:val="00A012FA"/>
    <w:rsid w:val="00A01BF4"/>
    <w:rsid w:val="00A01D37"/>
    <w:rsid w:val="00A03156"/>
    <w:rsid w:val="00A10A50"/>
    <w:rsid w:val="00A10A62"/>
    <w:rsid w:val="00A13F5E"/>
    <w:rsid w:val="00A14E64"/>
    <w:rsid w:val="00A16F4C"/>
    <w:rsid w:val="00A21137"/>
    <w:rsid w:val="00A2746C"/>
    <w:rsid w:val="00A30212"/>
    <w:rsid w:val="00A30B4D"/>
    <w:rsid w:val="00A31C98"/>
    <w:rsid w:val="00A32063"/>
    <w:rsid w:val="00A32AFD"/>
    <w:rsid w:val="00A3645F"/>
    <w:rsid w:val="00A36B68"/>
    <w:rsid w:val="00A36F02"/>
    <w:rsid w:val="00A4382F"/>
    <w:rsid w:val="00A5005D"/>
    <w:rsid w:val="00A511A7"/>
    <w:rsid w:val="00A537D1"/>
    <w:rsid w:val="00A56005"/>
    <w:rsid w:val="00A70803"/>
    <w:rsid w:val="00A71672"/>
    <w:rsid w:val="00A741FB"/>
    <w:rsid w:val="00A74972"/>
    <w:rsid w:val="00A75FEA"/>
    <w:rsid w:val="00A7630E"/>
    <w:rsid w:val="00A81998"/>
    <w:rsid w:val="00A83A72"/>
    <w:rsid w:val="00A8696D"/>
    <w:rsid w:val="00A90136"/>
    <w:rsid w:val="00A903E0"/>
    <w:rsid w:val="00A90A29"/>
    <w:rsid w:val="00A91AE3"/>
    <w:rsid w:val="00A924E4"/>
    <w:rsid w:val="00A96311"/>
    <w:rsid w:val="00A97EFA"/>
    <w:rsid w:val="00AA3914"/>
    <w:rsid w:val="00AA47F8"/>
    <w:rsid w:val="00AA7BD4"/>
    <w:rsid w:val="00AA7C9B"/>
    <w:rsid w:val="00AB0983"/>
    <w:rsid w:val="00AB23A9"/>
    <w:rsid w:val="00AB3731"/>
    <w:rsid w:val="00AC09B8"/>
    <w:rsid w:val="00AC2D63"/>
    <w:rsid w:val="00AC3228"/>
    <w:rsid w:val="00AC3B75"/>
    <w:rsid w:val="00AC3ECB"/>
    <w:rsid w:val="00AC5A10"/>
    <w:rsid w:val="00AC6F38"/>
    <w:rsid w:val="00AD11EC"/>
    <w:rsid w:val="00AD1B50"/>
    <w:rsid w:val="00AD4B4C"/>
    <w:rsid w:val="00AD6051"/>
    <w:rsid w:val="00AD7CF1"/>
    <w:rsid w:val="00AD7D0C"/>
    <w:rsid w:val="00AE05D5"/>
    <w:rsid w:val="00AF0F03"/>
    <w:rsid w:val="00AF5CC8"/>
    <w:rsid w:val="00B00B93"/>
    <w:rsid w:val="00B01CC0"/>
    <w:rsid w:val="00B020B5"/>
    <w:rsid w:val="00B0253A"/>
    <w:rsid w:val="00B0489C"/>
    <w:rsid w:val="00B065E8"/>
    <w:rsid w:val="00B107E3"/>
    <w:rsid w:val="00B12305"/>
    <w:rsid w:val="00B13157"/>
    <w:rsid w:val="00B14A01"/>
    <w:rsid w:val="00B14DA2"/>
    <w:rsid w:val="00B160D9"/>
    <w:rsid w:val="00B21C97"/>
    <w:rsid w:val="00B25089"/>
    <w:rsid w:val="00B25359"/>
    <w:rsid w:val="00B336CD"/>
    <w:rsid w:val="00B36618"/>
    <w:rsid w:val="00B36B1B"/>
    <w:rsid w:val="00B36C9B"/>
    <w:rsid w:val="00B44322"/>
    <w:rsid w:val="00B44EB0"/>
    <w:rsid w:val="00B456E9"/>
    <w:rsid w:val="00B4612E"/>
    <w:rsid w:val="00B53352"/>
    <w:rsid w:val="00B54BDA"/>
    <w:rsid w:val="00B616C6"/>
    <w:rsid w:val="00B652F1"/>
    <w:rsid w:val="00B701B0"/>
    <w:rsid w:val="00B70365"/>
    <w:rsid w:val="00B70834"/>
    <w:rsid w:val="00B73E1C"/>
    <w:rsid w:val="00B7726F"/>
    <w:rsid w:val="00B77FD4"/>
    <w:rsid w:val="00B906E3"/>
    <w:rsid w:val="00B93315"/>
    <w:rsid w:val="00BA5660"/>
    <w:rsid w:val="00BB2908"/>
    <w:rsid w:val="00BB58C5"/>
    <w:rsid w:val="00BC308A"/>
    <w:rsid w:val="00BD2A63"/>
    <w:rsid w:val="00BE08AA"/>
    <w:rsid w:val="00BE20EF"/>
    <w:rsid w:val="00BE7B0E"/>
    <w:rsid w:val="00BF13BE"/>
    <w:rsid w:val="00BF16DE"/>
    <w:rsid w:val="00BF2359"/>
    <w:rsid w:val="00BF2ABB"/>
    <w:rsid w:val="00BF5593"/>
    <w:rsid w:val="00BF6620"/>
    <w:rsid w:val="00BF7235"/>
    <w:rsid w:val="00BF745E"/>
    <w:rsid w:val="00BF7B03"/>
    <w:rsid w:val="00C062D3"/>
    <w:rsid w:val="00C067A0"/>
    <w:rsid w:val="00C076B0"/>
    <w:rsid w:val="00C105F6"/>
    <w:rsid w:val="00C1237C"/>
    <w:rsid w:val="00C163D1"/>
    <w:rsid w:val="00C23E60"/>
    <w:rsid w:val="00C3237E"/>
    <w:rsid w:val="00C40370"/>
    <w:rsid w:val="00C434E6"/>
    <w:rsid w:val="00C43F79"/>
    <w:rsid w:val="00C44492"/>
    <w:rsid w:val="00C50074"/>
    <w:rsid w:val="00C63DE9"/>
    <w:rsid w:val="00C760D4"/>
    <w:rsid w:val="00C77314"/>
    <w:rsid w:val="00C86768"/>
    <w:rsid w:val="00C87A99"/>
    <w:rsid w:val="00C928A4"/>
    <w:rsid w:val="00C9643C"/>
    <w:rsid w:val="00C97CEA"/>
    <w:rsid w:val="00CA3BA0"/>
    <w:rsid w:val="00CA4156"/>
    <w:rsid w:val="00CA5459"/>
    <w:rsid w:val="00CB0DF3"/>
    <w:rsid w:val="00CB3F0B"/>
    <w:rsid w:val="00CB47A7"/>
    <w:rsid w:val="00CB515D"/>
    <w:rsid w:val="00CB562E"/>
    <w:rsid w:val="00CB583A"/>
    <w:rsid w:val="00CC0591"/>
    <w:rsid w:val="00CC1BD5"/>
    <w:rsid w:val="00CC3085"/>
    <w:rsid w:val="00CC312B"/>
    <w:rsid w:val="00CC3F3A"/>
    <w:rsid w:val="00CC5E33"/>
    <w:rsid w:val="00CD193C"/>
    <w:rsid w:val="00CD244C"/>
    <w:rsid w:val="00CD608B"/>
    <w:rsid w:val="00CE273C"/>
    <w:rsid w:val="00CE335E"/>
    <w:rsid w:val="00CE46D2"/>
    <w:rsid w:val="00CF0BAD"/>
    <w:rsid w:val="00CF70AE"/>
    <w:rsid w:val="00D00DDC"/>
    <w:rsid w:val="00D033A4"/>
    <w:rsid w:val="00D06AE2"/>
    <w:rsid w:val="00D06F02"/>
    <w:rsid w:val="00D07ADD"/>
    <w:rsid w:val="00D07E84"/>
    <w:rsid w:val="00D14675"/>
    <w:rsid w:val="00D2311F"/>
    <w:rsid w:val="00D23C0F"/>
    <w:rsid w:val="00D27932"/>
    <w:rsid w:val="00D3116E"/>
    <w:rsid w:val="00D4139C"/>
    <w:rsid w:val="00D46DEE"/>
    <w:rsid w:val="00D46FBB"/>
    <w:rsid w:val="00D57BEB"/>
    <w:rsid w:val="00D61655"/>
    <w:rsid w:val="00D62B88"/>
    <w:rsid w:val="00D653A8"/>
    <w:rsid w:val="00D70A00"/>
    <w:rsid w:val="00D7240E"/>
    <w:rsid w:val="00D748AA"/>
    <w:rsid w:val="00D76129"/>
    <w:rsid w:val="00D77522"/>
    <w:rsid w:val="00D775C6"/>
    <w:rsid w:val="00D77F0C"/>
    <w:rsid w:val="00D8563D"/>
    <w:rsid w:val="00D85902"/>
    <w:rsid w:val="00D929FB"/>
    <w:rsid w:val="00D93945"/>
    <w:rsid w:val="00D941C3"/>
    <w:rsid w:val="00D957B4"/>
    <w:rsid w:val="00DC0CB7"/>
    <w:rsid w:val="00DC29C7"/>
    <w:rsid w:val="00DC33BC"/>
    <w:rsid w:val="00DC5451"/>
    <w:rsid w:val="00DC546C"/>
    <w:rsid w:val="00DC63CF"/>
    <w:rsid w:val="00DC64F8"/>
    <w:rsid w:val="00DD136C"/>
    <w:rsid w:val="00DD4796"/>
    <w:rsid w:val="00DD580F"/>
    <w:rsid w:val="00DD59F4"/>
    <w:rsid w:val="00DE0E10"/>
    <w:rsid w:val="00DE1B72"/>
    <w:rsid w:val="00DF0544"/>
    <w:rsid w:val="00DF1715"/>
    <w:rsid w:val="00DF3311"/>
    <w:rsid w:val="00DF77DA"/>
    <w:rsid w:val="00E00519"/>
    <w:rsid w:val="00E03123"/>
    <w:rsid w:val="00E065C5"/>
    <w:rsid w:val="00E0784D"/>
    <w:rsid w:val="00E10B7C"/>
    <w:rsid w:val="00E12190"/>
    <w:rsid w:val="00E1472B"/>
    <w:rsid w:val="00E212DD"/>
    <w:rsid w:val="00E22912"/>
    <w:rsid w:val="00E24BAE"/>
    <w:rsid w:val="00E252DD"/>
    <w:rsid w:val="00E34A9F"/>
    <w:rsid w:val="00E34EBC"/>
    <w:rsid w:val="00E37E5C"/>
    <w:rsid w:val="00E40D08"/>
    <w:rsid w:val="00E411E6"/>
    <w:rsid w:val="00E4447A"/>
    <w:rsid w:val="00E448DF"/>
    <w:rsid w:val="00E4544B"/>
    <w:rsid w:val="00E46F92"/>
    <w:rsid w:val="00E4791B"/>
    <w:rsid w:val="00E5759D"/>
    <w:rsid w:val="00E57A87"/>
    <w:rsid w:val="00E60472"/>
    <w:rsid w:val="00E637FF"/>
    <w:rsid w:val="00E65B0B"/>
    <w:rsid w:val="00E707A8"/>
    <w:rsid w:val="00E724A8"/>
    <w:rsid w:val="00E740D7"/>
    <w:rsid w:val="00E75247"/>
    <w:rsid w:val="00E862D7"/>
    <w:rsid w:val="00EA4B32"/>
    <w:rsid w:val="00EB31A9"/>
    <w:rsid w:val="00EB5D7F"/>
    <w:rsid w:val="00EB742E"/>
    <w:rsid w:val="00EC069F"/>
    <w:rsid w:val="00EC0AAA"/>
    <w:rsid w:val="00EC47C7"/>
    <w:rsid w:val="00EC4A58"/>
    <w:rsid w:val="00ED02D5"/>
    <w:rsid w:val="00ED153B"/>
    <w:rsid w:val="00ED1647"/>
    <w:rsid w:val="00ED2732"/>
    <w:rsid w:val="00ED2976"/>
    <w:rsid w:val="00ED4071"/>
    <w:rsid w:val="00EE00F7"/>
    <w:rsid w:val="00EE0E63"/>
    <w:rsid w:val="00EE1D3E"/>
    <w:rsid w:val="00EE293E"/>
    <w:rsid w:val="00EE3D28"/>
    <w:rsid w:val="00EE65C0"/>
    <w:rsid w:val="00EE6644"/>
    <w:rsid w:val="00EF2AFB"/>
    <w:rsid w:val="00EF2E76"/>
    <w:rsid w:val="00EF4032"/>
    <w:rsid w:val="00EF7445"/>
    <w:rsid w:val="00F00C9B"/>
    <w:rsid w:val="00F05510"/>
    <w:rsid w:val="00F05739"/>
    <w:rsid w:val="00F07001"/>
    <w:rsid w:val="00F0773B"/>
    <w:rsid w:val="00F0784E"/>
    <w:rsid w:val="00F1149C"/>
    <w:rsid w:val="00F13CBF"/>
    <w:rsid w:val="00F1410E"/>
    <w:rsid w:val="00F148A1"/>
    <w:rsid w:val="00F20EEC"/>
    <w:rsid w:val="00F222D2"/>
    <w:rsid w:val="00F2335E"/>
    <w:rsid w:val="00F24933"/>
    <w:rsid w:val="00F30306"/>
    <w:rsid w:val="00F31238"/>
    <w:rsid w:val="00F339F3"/>
    <w:rsid w:val="00F41850"/>
    <w:rsid w:val="00F43BCF"/>
    <w:rsid w:val="00F47339"/>
    <w:rsid w:val="00F51760"/>
    <w:rsid w:val="00F52267"/>
    <w:rsid w:val="00F54A61"/>
    <w:rsid w:val="00F55D72"/>
    <w:rsid w:val="00F56C35"/>
    <w:rsid w:val="00F60C75"/>
    <w:rsid w:val="00F63EFB"/>
    <w:rsid w:val="00F8210D"/>
    <w:rsid w:val="00F8634D"/>
    <w:rsid w:val="00F90FF6"/>
    <w:rsid w:val="00F9725D"/>
    <w:rsid w:val="00F97C08"/>
    <w:rsid w:val="00FA4B6C"/>
    <w:rsid w:val="00FA629E"/>
    <w:rsid w:val="00FB010E"/>
    <w:rsid w:val="00FB3D45"/>
    <w:rsid w:val="00FB478F"/>
    <w:rsid w:val="00FB51FA"/>
    <w:rsid w:val="00FB5B1F"/>
    <w:rsid w:val="00FB733D"/>
    <w:rsid w:val="00FC21F6"/>
    <w:rsid w:val="00FC3423"/>
    <w:rsid w:val="00FC53F2"/>
    <w:rsid w:val="00FD2503"/>
    <w:rsid w:val="00FD59E5"/>
    <w:rsid w:val="00FD7D2F"/>
    <w:rsid w:val="00FE29EF"/>
    <w:rsid w:val="00FE2AAF"/>
    <w:rsid w:val="00FE7B07"/>
    <w:rsid w:val="00FF1F01"/>
    <w:rsid w:val="00FF62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792073"/>
  <w15:chartTrackingRefBased/>
  <w15:docId w15:val="{CDEB2831-C08B-4609-9815-C66EB2916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E64"/>
    <w:rPr>
      <w:lang w:val="es-ES_tradnl" w:eastAsia="es-ES"/>
    </w:rPr>
  </w:style>
  <w:style w:type="paragraph" w:styleId="Ttulo1">
    <w:name w:val="heading 1"/>
    <w:basedOn w:val="Normal"/>
    <w:next w:val="Normal"/>
    <w:link w:val="Ttulo1Car"/>
    <w:uiPriority w:val="9"/>
    <w:qFormat/>
    <w:rsid w:val="00933105"/>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unhideWhenUsed/>
    <w:qFormat/>
    <w:rsid w:val="00575FFA"/>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
    <w:semiHidden/>
    <w:unhideWhenUsed/>
    <w:qFormat/>
    <w:rsid w:val="00933105"/>
    <w:pPr>
      <w:keepNext/>
      <w:spacing w:before="240" w:after="60"/>
      <w:outlineLvl w:val="2"/>
    </w:pPr>
    <w:rPr>
      <w:rFonts w:ascii="Cambria" w:hAnsi="Cambria"/>
      <w:b/>
      <w:bCs/>
      <w:sz w:val="26"/>
      <w:szCs w:val="26"/>
    </w:rPr>
  </w:style>
  <w:style w:type="paragraph" w:styleId="Ttulo7">
    <w:name w:val="heading 7"/>
    <w:basedOn w:val="Normal"/>
    <w:next w:val="Normal"/>
    <w:link w:val="Ttulo7Car"/>
    <w:uiPriority w:val="9"/>
    <w:semiHidden/>
    <w:unhideWhenUsed/>
    <w:qFormat/>
    <w:rsid w:val="00933105"/>
    <w:pPr>
      <w:spacing w:before="240" w:after="60"/>
      <w:outlineLvl w:val="6"/>
    </w:pPr>
    <w:rPr>
      <w:rFonts w:ascii="Calibri" w:hAnsi="Calibri"/>
      <w:sz w:val="24"/>
      <w:szCs w:val="24"/>
    </w:rPr>
  </w:style>
  <w:style w:type="paragraph" w:styleId="Ttulo9">
    <w:name w:val="heading 9"/>
    <w:basedOn w:val="Normal"/>
    <w:next w:val="Normal"/>
    <w:link w:val="Ttulo9Car"/>
    <w:uiPriority w:val="9"/>
    <w:unhideWhenUsed/>
    <w:qFormat/>
    <w:rsid w:val="00933105"/>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933105"/>
    <w:rPr>
      <w:rFonts w:ascii="Cambria" w:hAnsi="Cambria"/>
      <w:b/>
      <w:bCs/>
      <w:kern w:val="32"/>
      <w:sz w:val="32"/>
      <w:szCs w:val="32"/>
      <w:lang w:val="es-ES_tradnl" w:eastAsia="es-ES"/>
    </w:rPr>
  </w:style>
  <w:style w:type="character" w:customStyle="1" w:styleId="Ttulo2Car">
    <w:name w:val="Título 2 Car"/>
    <w:link w:val="Ttulo2"/>
    <w:uiPriority w:val="9"/>
    <w:rsid w:val="00575FFA"/>
    <w:rPr>
      <w:rFonts w:ascii="Cambria" w:eastAsia="Times New Roman" w:hAnsi="Cambria" w:cs="Times New Roman"/>
      <w:b/>
      <w:bCs/>
      <w:i/>
      <w:iCs/>
      <w:sz w:val="28"/>
      <w:szCs w:val="28"/>
      <w:lang w:val="es-ES_tradnl"/>
    </w:rPr>
  </w:style>
  <w:style w:type="character" w:customStyle="1" w:styleId="Ttulo3Car">
    <w:name w:val="Título 3 Car"/>
    <w:link w:val="Ttulo3"/>
    <w:uiPriority w:val="9"/>
    <w:semiHidden/>
    <w:rsid w:val="00933105"/>
    <w:rPr>
      <w:rFonts w:ascii="Cambria" w:hAnsi="Cambria"/>
      <w:b/>
      <w:bCs/>
      <w:sz w:val="26"/>
      <w:szCs w:val="26"/>
      <w:lang w:val="es-ES_tradnl" w:eastAsia="es-ES"/>
    </w:rPr>
  </w:style>
  <w:style w:type="character" w:customStyle="1" w:styleId="Ttulo7Car">
    <w:name w:val="Título 7 Car"/>
    <w:link w:val="Ttulo7"/>
    <w:uiPriority w:val="9"/>
    <w:semiHidden/>
    <w:rsid w:val="00933105"/>
    <w:rPr>
      <w:rFonts w:ascii="Calibri" w:hAnsi="Calibri"/>
      <w:sz w:val="24"/>
      <w:szCs w:val="24"/>
      <w:lang w:val="es-ES_tradnl" w:eastAsia="es-ES"/>
    </w:rPr>
  </w:style>
  <w:style w:type="character" w:customStyle="1" w:styleId="Ttulo9Car">
    <w:name w:val="Título 9 Car"/>
    <w:link w:val="Ttulo9"/>
    <w:uiPriority w:val="9"/>
    <w:rsid w:val="00933105"/>
    <w:rPr>
      <w:rFonts w:ascii="Cambria" w:hAnsi="Cambria"/>
      <w:sz w:val="22"/>
      <w:szCs w:val="22"/>
      <w:lang w:val="es-ES_tradnl" w:eastAsia="es-ES"/>
    </w:rPr>
  </w:style>
  <w:style w:type="paragraph" w:styleId="Encabezado">
    <w:name w:val="header"/>
    <w:basedOn w:val="Normal"/>
    <w:link w:val="EncabezadoCar"/>
    <w:uiPriority w:val="99"/>
    <w:unhideWhenUsed/>
    <w:rsid w:val="00D77F0C"/>
    <w:pPr>
      <w:tabs>
        <w:tab w:val="center" w:pos="4252"/>
        <w:tab w:val="right" w:pos="8504"/>
      </w:tabs>
    </w:pPr>
  </w:style>
  <w:style w:type="character" w:customStyle="1" w:styleId="EncabezadoCar">
    <w:name w:val="Encabezado Car"/>
    <w:link w:val="Encabezado"/>
    <w:uiPriority w:val="99"/>
    <w:rsid w:val="00D77F0C"/>
    <w:rPr>
      <w:lang w:val="es-ES_tradnl"/>
    </w:rPr>
  </w:style>
  <w:style w:type="paragraph" w:styleId="Piedepgina">
    <w:name w:val="footer"/>
    <w:basedOn w:val="Normal"/>
    <w:link w:val="PiedepginaCar"/>
    <w:uiPriority w:val="99"/>
    <w:unhideWhenUsed/>
    <w:rsid w:val="00D77F0C"/>
    <w:pPr>
      <w:tabs>
        <w:tab w:val="center" w:pos="4252"/>
        <w:tab w:val="right" w:pos="8504"/>
      </w:tabs>
    </w:pPr>
  </w:style>
  <w:style w:type="character" w:customStyle="1" w:styleId="PiedepginaCar">
    <w:name w:val="Pie de página Car"/>
    <w:link w:val="Piedepgina"/>
    <w:uiPriority w:val="99"/>
    <w:rsid w:val="00D77F0C"/>
    <w:rPr>
      <w:lang w:val="es-ES_tradnl"/>
    </w:rPr>
  </w:style>
  <w:style w:type="paragraph" w:styleId="Textodeglobo">
    <w:name w:val="Balloon Text"/>
    <w:basedOn w:val="Normal"/>
    <w:link w:val="TextodegloboCar"/>
    <w:uiPriority w:val="99"/>
    <w:semiHidden/>
    <w:unhideWhenUsed/>
    <w:rsid w:val="00D77F0C"/>
    <w:rPr>
      <w:rFonts w:ascii="Tahoma" w:hAnsi="Tahoma" w:cs="Tahoma"/>
      <w:sz w:val="16"/>
      <w:szCs w:val="16"/>
    </w:rPr>
  </w:style>
  <w:style w:type="character" w:customStyle="1" w:styleId="TextodegloboCar">
    <w:name w:val="Texto de globo Car"/>
    <w:link w:val="Textodeglobo"/>
    <w:uiPriority w:val="99"/>
    <w:semiHidden/>
    <w:rsid w:val="00D77F0C"/>
    <w:rPr>
      <w:rFonts w:ascii="Tahoma" w:hAnsi="Tahoma" w:cs="Tahoma"/>
      <w:sz w:val="16"/>
      <w:szCs w:val="16"/>
      <w:lang w:val="es-ES_tradnl"/>
    </w:rPr>
  </w:style>
  <w:style w:type="character" w:styleId="Hipervnculo">
    <w:name w:val="Hyperlink"/>
    <w:uiPriority w:val="99"/>
    <w:unhideWhenUsed/>
    <w:rsid w:val="009E1E64"/>
    <w:rPr>
      <w:color w:val="0000FF"/>
      <w:u w:val="single"/>
    </w:rPr>
  </w:style>
  <w:style w:type="paragraph" w:styleId="Textoindependiente">
    <w:name w:val="Body Text"/>
    <w:basedOn w:val="Normal"/>
    <w:link w:val="TextoindependienteCar"/>
    <w:rsid w:val="00933105"/>
    <w:pPr>
      <w:jc w:val="both"/>
    </w:pPr>
    <w:rPr>
      <w:rFonts w:ascii="Verdana" w:hAnsi="Verdana"/>
      <w:sz w:val="22"/>
      <w:lang w:val="es-ES"/>
    </w:rPr>
  </w:style>
  <w:style w:type="character" w:customStyle="1" w:styleId="TextoindependienteCar">
    <w:name w:val="Texto independiente Car"/>
    <w:link w:val="Textoindependiente"/>
    <w:rsid w:val="00933105"/>
    <w:rPr>
      <w:rFonts w:ascii="Verdana" w:hAnsi="Verdana"/>
      <w:sz w:val="22"/>
      <w:lang w:val="es-ES" w:eastAsia="es-ES"/>
    </w:rPr>
  </w:style>
  <w:style w:type="paragraph" w:styleId="Textonotapie">
    <w:name w:val="footnote text"/>
    <w:basedOn w:val="Normal"/>
    <w:link w:val="TextonotapieCar"/>
    <w:uiPriority w:val="99"/>
    <w:semiHidden/>
    <w:rsid w:val="00180200"/>
    <w:rPr>
      <w:rFonts w:ascii="Arial" w:hAnsi="Arial"/>
      <w:lang w:val="es-ES"/>
    </w:rPr>
  </w:style>
  <w:style w:type="character" w:customStyle="1" w:styleId="TextonotapieCar">
    <w:name w:val="Texto nota pie Car"/>
    <w:link w:val="Textonotapie"/>
    <w:uiPriority w:val="99"/>
    <w:semiHidden/>
    <w:rsid w:val="00180200"/>
    <w:rPr>
      <w:rFonts w:ascii="Arial" w:hAnsi="Arial"/>
      <w:lang w:val="es-ES" w:eastAsia="es-ES"/>
    </w:rPr>
  </w:style>
  <w:style w:type="character" w:styleId="Refdenotaalpie">
    <w:name w:val="footnote reference"/>
    <w:uiPriority w:val="99"/>
    <w:semiHidden/>
    <w:rsid w:val="00A91AE3"/>
    <w:rPr>
      <w:vertAlign w:val="superscript"/>
    </w:rPr>
  </w:style>
  <w:style w:type="character" w:styleId="nfasis">
    <w:name w:val="Emphasis"/>
    <w:uiPriority w:val="20"/>
    <w:qFormat/>
    <w:rsid w:val="003A2814"/>
    <w:rPr>
      <w:i/>
      <w:iCs/>
    </w:rPr>
  </w:style>
  <w:style w:type="paragraph" w:styleId="NormalWeb">
    <w:name w:val="Normal (Web)"/>
    <w:basedOn w:val="Normal"/>
    <w:uiPriority w:val="99"/>
    <w:unhideWhenUsed/>
    <w:rsid w:val="00D76129"/>
    <w:pPr>
      <w:spacing w:before="100" w:beforeAutospacing="1" w:after="100" w:afterAutospacing="1"/>
    </w:pPr>
    <w:rPr>
      <w:sz w:val="24"/>
      <w:szCs w:val="24"/>
      <w:lang w:val="es-CO" w:eastAsia="es-CO"/>
    </w:rPr>
  </w:style>
  <w:style w:type="paragraph" w:styleId="Prrafodelista">
    <w:name w:val="List Paragraph"/>
    <w:basedOn w:val="Normal"/>
    <w:link w:val="PrrafodelistaCar"/>
    <w:uiPriority w:val="34"/>
    <w:qFormat/>
    <w:rsid w:val="00CF70AE"/>
    <w:pPr>
      <w:ind w:left="708"/>
    </w:pPr>
  </w:style>
  <w:style w:type="paragraph" w:customStyle="1" w:styleId="Default">
    <w:name w:val="Default"/>
    <w:rsid w:val="00AA7BD4"/>
    <w:pPr>
      <w:autoSpaceDE w:val="0"/>
      <w:autoSpaceDN w:val="0"/>
      <w:adjustRightInd w:val="0"/>
    </w:pPr>
    <w:rPr>
      <w:rFonts w:ascii="Arial" w:eastAsiaTheme="minorHAnsi" w:hAnsi="Arial" w:cs="Arial"/>
      <w:color w:val="000000"/>
      <w:sz w:val="24"/>
      <w:szCs w:val="24"/>
      <w:lang w:eastAsia="en-US"/>
    </w:rPr>
  </w:style>
  <w:style w:type="paragraph" w:styleId="Ttulo">
    <w:name w:val="Title"/>
    <w:basedOn w:val="Normal"/>
    <w:next w:val="Normal"/>
    <w:link w:val="TtuloCar"/>
    <w:uiPriority w:val="10"/>
    <w:qFormat/>
    <w:rsid w:val="00AA7BD4"/>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7BD4"/>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D033A4"/>
    <w:rPr>
      <w:sz w:val="16"/>
      <w:szCs w:val="16"/>
      <w:lang w:val="es-ES_tradnl" w:eastAsia="es-ES"/>
    </w:rPr>
  </w:style>
  <w:style w:type="paragraph" w:styleId="Textoindependiente3">
    <w:name w:val="Body Text 3"/>
    <w:basedOn w:val="Normal"/>
    <w:link w:val="Textoindependiente3Car"/>
    <w:uiPriority w:val="99"/>
    <w:semiHidden/>
    <w:unhideWhenUsed/>
    <w:rsid w:val="00D033A4"/>
    <w:pPr>
      <w:spacing w:after="120"/>
    </w:pPr>
    <w:rPr>
      <w:sz w:val="16"/>
      <w:szCs w:val="16"/>
    </w:rPr>
  </w:style>
  <w:style w:type="table" w:styleId="Tablaconcuadrcula">
    <w:name w:val="Table Grid"/>
    <w:basedOn w:val="Tablanormal"/>
    <w:uiPriority w:val="59"/>
    <w:rsid w:val="00D033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7">
    <w:name w:val="xl67"/>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 w:type="paragraph" w:customStyle="1" w:styleId="xl68">
    <w:name w:val="xl68"/>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69">
    <w:name w:val="xl69"/>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0">
    <w:name w:val="xl70"/>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lang w:val="es-CO" w:eastAsia="es-CO"/>
    </w:rPr>
  </w:style>
  <w:style w:type="paragraph" w:customStyle="1" w:styleId="xl71">
    <w:name w:val="xl71"/>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lang w:val="es-CO" w:eastAsia="es-CO"/>
    </w:rPr>
  </w:style>
  <w:style w:type="paragraph" w:customStyle="1" w:styleId="xl72">
    <w:name w:val="xl72"/>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 w:type="paragraph" w:customStyle="1" w:styleId="xl73">
    <w:name w:val="xl73"/>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val="es-CO" w:eastAsia="es-CO"/>
    </w:rPr>
  </w:style>
  <w:style w:type="paragraph" w:customStyle="1" w:styleId="xl74">
    <w:name w:val="xl74"/>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val="es-CO" w:eastAsia="es-CO"/>
    </w:rPr>
  </w:style>
  <w:style w:type="paragraph" w:customStyle="1" w:styleId="xl75">
    <w:name w:val="xl75"/>
    <w:basedOn w:val="Normal"/>
    <w:rsid w:val="00D033A4"/>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lang w:val="es-CO" w:eastAsia="es-CO"/>
    </w:rPr>
  </w:style>
  <w:style w:type="paragraph" w:customStyle="1" w:styleId="xl77">
    <w:name w:val="xl77"/>
    <w:basedOn w:val="Normal"/>
    <w:rsid w:val="00D033A4"/>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8">
    <w:name w:val="xl78"/>
    <w:basedOn w:val="Normal"/>
    <w:rsid w:val="00D033A4"/>
    <w:pPr>
      <w:shd w:val="clear" w:color="DCE6F1" w:fill="DCE6F1"/>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9">
    <w:name w:val="xl79"/>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character" w:customStyle="1" w:styleId="MapadeldocumentoCar">
    <w:name w:val="Mapa del documento Car"/>
    <w:basedOn w:val="Fuentedeprrafopredeter"/>
    <w:link w:val="Mapadeldocumento"/>
    <w:uiPriority w:val="99"/>
    <w:semiHidden/>
    <w:rsid w:val="00D033A4"/>
    <w:rPr>
      <w:rFonts w:ascii="Tahoma" w:hAnsi="Tahoma" w:cs="Tahoma"/>
      <w:sz w:val="16"/>
      <w:szCs w:val="16"/>
      <w:lang w:val="es-ES" w:eastAsia="en-US"/>
    </w:rPr>
  </w:style>
  <w:style w:type="paragraph" w:styleId="Mapadeldocumento">
    <w:name w:val="Document Map"/>
    <w:basedOn w:val="Normal"/>
    <w:link w:val="MapadeldocumentoCar"/>
    <w:uiPriority w:val="99"/>
    <w:semiHidden/>
    <w:unhideWhenUsed/>
    <w:rsid w:val="00D033A4"/>
    <w:pPr>
      <w:jc w:val="both"/>
    </w:pPr>
    <w:rPr>
      <w:rFonts w:ascii="Tahoma" w:hAnsi="Tahoma" w:cs="Tahoma"/>
      <w:sz w:val="16"/>
      <w:szCs w:val="16"/>
      <w:lang w:val="es-ES" w:eastAsia="en-US"/>
    </w:rPr>
  </w:style>
  <w:style w:type="paragraph" w:customStyle="1" w:styleId="xl76">
    <w:name w:val="xl76"/>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0">
    <w:name w:val="xl80"/>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1">
    <w:name w:val="xl81"/>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2">
    <w:name w:val="xl82"/>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3">
    <w:name w:val="xl83"/>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4">
    <w:name w:val="xl84"/>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5">
    <w:name w:val="xl85"/>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6">
    <w:name w:val="xl86"/>
    <w:basedOn w:val="Normal"/>
    <w:rsid w:val="00D033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styleId="Sinespaciado">
    <w:name w:val="No Spacing"/>
    <w:uiPriority w:val="1"/>
    <w:qFormat/>
    <w:rsid w:val="00D033A4"/>
    <w:pPr>
      <w:jc w:val="both"/>
    </w:pPr>
    <w:rPr>
      <w:rFonts w:ascii="Calibri" w:hAnsi="Calibri"/>
      <w:sz w:val="22"/>
      <w:szCs w:val="22"/>
      <w:lang w:val="es-ES" w:eastAsia="en-US"/>
    </w:rPr>
  </w:style>
  <w:style w:type="paragraph" w:customStyle="1" w:styleId="xl103">
    <w:name w:val="xl103"/>
    <w:basedOn w:val="Normal"/>
    <w:rsid w:val="00D033A4"/>
    <w:pPr>
      <w:spacing w:before="100" w:beforeAutospacing="1" w:after="100" w:afterAutospacing="1"/>
    </w:pPr>
    <w:rPr>
      <w:rFonts w:ascii="Arial Narrow" w:hAnsi="Arial Narrow"/>
      <w:sz w:val="24"/>
      <w:szCs w:val="24"/>
      <w:lang w:val="es-CO" w:eastAsia="es-CO"/>
    </w:rPr>
  </w:style>
  <w:style w:type="paragraph" w:customStyle="1" w:styleId="xl104">
    <w:name w:val="xl104"/>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5">
    <w:name w:val="xl105"/>
    <w:basedOn w:val="Normal"/>
    <w:rsid w:val="00D033A4"/>
    <w:pPr>
      <w:spacing w:before="100" w:beforeAutospacing="1" w:after="100" w:afterAutospacing="1"/>
    </w:pPr>
    <w:rPr>
      <w:rFonts w:ascii="Arial Narrow" w:hAnsi="Arial Narrow"/>
      <w:sz w:val="24"/>
      <w:szCs w:val="24"/>
      <w:lang w:val="es-CO" w:eastAsia="es-CO"/>
    </w:rPr>
  </w:style>
  <w:style w:type="paragraph" w:customStyle="1" w:styleId="xl106">
    <w:name w:val="xl106"/>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7">
    <w:name w:val="xl107"/>
    <w:basedOn w:val="Normal"/>
    <w:rsid w:val="00D033A4"/>
    <w:pPr>
      <w:spacing w:before="100" w:beforeAutospacing="1" w:after="100" w:afterAutospacing="1"/>
    </w:pPr>
    <w:rPr>
      <w:rFonts w:ascii="Arial Narrow" w:hAnsi="Arial Narrow"/>
      <w:sz w:val="24"/>
      <w:szCs w:val="24"/>
      <w:lang w:val="es-CO" w:eastAsia="es-CO"/>
    </w:rPr>
  </w:style>
  <w:style w:type="paragraph" w:customStyle="1" w:styleId="xl108">
    <w:name w:val="xl108"/>
    <w:basedOn w:val="Normal"/>
    <w:rsid w:val="00D033A4"/>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9">
    <w:name w:val="xl109"/>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0">
    <w:name w:val="xl110"/>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1">
    <w:name w:val="xl111"/>
    <w:basedOn w:val="Normal"/>
    <w:rsid w:val="00D033A4"/>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2">
    <w:name w:val="xl112"/>
    <w:basedOn w:val="Normal"/>
    <w:rsid w:val="00D033A4"/>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lang w:val="es-CO" w:eastAsia="es-CO"/>
    </w:rPr>
  </w:style>
  <w:style w:type="paragraph" w:customStyle="1" w:styleId="xl113">
    <w:name w:val="xl113"/>
    <w:basedOn w:val="Normal"/>
    <w:rsid w:val="00D033A4"/>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lang w:val="es-CO" w:eastAsia="es-CO"/>
    </w:rPr>
  </w:style>
  <w:style w:type="paragraph" w:customStyle="1" w:styleId="xl114">
    <w:name w:val="xl114"/>
    <w:basedOn w:val="Normal"/>
    <w:rsid w:val="00D033A4"/>
    <w:pPr>
      <w:pBdr>
        <w:bottom w:val="single" w:sz="4" w:space="0" w:color="auto"/>
      </w:pBdr>
      <w:shd w:val="clear" w:color="000000" w:fill="0000FF"/>
      <w:spacing w:before="100" w:beforeAutospacing="1" w:after="100" w:afterAutospacing="1"/>
      <w:jc w:val="center"/>
    </w:pPr>
    <w:rPr>
      <w:rFonts w:ascii="Arial Narrow" w:hAnsi="Arial Narrow"/>
      <w:b/>
      <w:bCs/>
      <w:color w:val="FFFFFF"/>
      <w:sz w:val="24"/>
      <w:szCs w:val="24"/>
      <w:lang w:val="es-CO" w:eastAsia="es-CO"/>
    </w:rPr>
  </w:style>
  <w:style w:type="paragraph" w:customStyle="1" w:styleId="xl115">
    <w:name w:val="xl115"/>
    <w:basedOn w:val="Normal"/>
    <w:rsid w:val="00D033A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lang w:val="es-CO" w:eastAsia="es-CO"/>
    </w:rPr>
  </w:style>
  <w:style w:type="paragraph" w:customStyle="1" w:styleId="xl87">
    <w:name w:val="xl87"/>
    <w:basedOn w:val="Normal"/>
    <w:rsid w:val="00D033A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sz w:val="24"/>
      <w:szCs w:val="24"/>
      <w:lang w:val="es-CO" w:eastAsia="es-CO"/>
    </w:rPr>
  </w:style>
  <w:style w:type="paragraph" w:customStyle="1" w:styleId="xl88">
    <w:name w:val="xl88"/>
    <w:basedOn w:val="Normal"/>
    <w:rsid w:val="00D033A4"/>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sz w:val="24"/>
      <w:szCs w:val="24"/>
      <w:lang w:val="es-CO" w:eastAsia="es-CO"/>
    </w:rPr>
  </w:style>
  <w:style w:type="paragraph" w:customStyle="1" w:styleId="xl89">
    <w:name w:val="xl89"/>
    <w:basedOn w:val="Normal"/>
    <w:rsid w:val="00D033A4"/>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sz w:val="24"/>
      <w:szCs w:val="24"/>
      <w:lang w:val="es-CO" w:eastAsia="es-CO"/>
    </w:rPr>
  </w:style>
  <w:style w:type="table" w:styleId="Cuadrculamedia3-nfasis1">
    <w:name w:val="Medium Grid 3 Accent 1"/>
    <w:basedOn w:val="Tablanormal"/>
    <w:uiPriority w:val="69"/>
    <w:rsid w:val="00D033A4"/>
    <w:rPr>
      <w:rFonts w:ascii="Calibri" w:hAnsi="Calibri" w:cs="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Tablaconcuadrcula4-nfasis5">
    <w:name w:val="Grid Table 4 Accent 5"/>
    <w:basedOn w:val="Tablanormal"/>
    <w:uiPriority w:val="49"/>
    <w:rsid w:val="006C61F6"/>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Hipervnculovisitado">
    <w:name w:val="FollowedHyperlink"/>
    <w:basedOn w:val="Fuentedeprrafopredeter"/>
    <w:uiPriority w:val="99"/>
    <w:semiHidden/>
    <w:unhideWhenUsed/>
    <w:rsid w:val="00F8210D"/>
    <w:rPr>
      <w:color w:val="800080"/>
      <w:u w:val="single"/>
    </w:rPr>
  </w:style>
  <w:style w:type="paragraph" w:customStyle="1" w:styleId="msonormal0">
    <w:name w:val="msonormal"/>
    <w:basedOn w:val="Normal"/>
    <w:rsid w:val="00F8210D"/>
    <w:pPr>
      <w:spacing w:before="100" w:beforeAutospacing="1" w:after="100" w:afterAutospacing="1"/>
    </w:pPr>
    <w:rPr>
      <w:sz w:val="24"/>
      <w:szCs w:val="24"/>
      <w:lang w:val="es-CO" w:eastAsia="es-CO"/>
    </w:rPr>
  </w:style>
  <w:style w:type="paragraph" w:customStyle="1" w:styleId="xl90">
    <w:name w:val="xl90"/>
    <w:basedOn w:val="Normal"/>
    <w:rsid w:val="00F8210D"/>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sz w:val="24"/>
      <w:szCs w:val="24"/>
      <w:lang w:val="es-CO" w:eastAsia="es-CO"/>
    </w:rPr>
  </w:style>
  <w:style w:type="paragraph" w:customStyle="1" w:styleId="xl91">
    <w:name w:val="xl91"/>
    <w:basedOn w:val="Normal"/>
    <w:rsid w:val="00F8210D"/>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sz w:val="24"/>
      <w:szCs w:val="24"/>
      <w:lang w:val="es-CO" w:eastAsia="es-CO"/>
    </w:rPr>
  </w:style>
  <w:style w:type="paragraph" w:customStyle="1" w:styleId="xl92">
    <w:name w:val="xl92"/>
    <w:basedOn w:val="Normal"/>
    <w:rsid w:val="00F821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lang w:val="es-CO" w:eastAsia="es-CO"/>
    </w:rPr>
  </w:style>
  <w:style w:type="paragraph" w:customStyle="1" w:styleId="xl93">
    <w:name w:val="xl93"/>
    <w:basedOn w:val="Normal"/>
    <w:rsid w:val="00F8210D"/>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val="es-CO" w:eastAsia="es-CO"/>
    </w:rPr>
  </w:style>
  <w:style w:type="paragraph" w:customStyle="1" w:styleId="xl96">
    <w:name w:val="xl96"/>
    <w:basedOn w:val="Normal"/>
    <w:rsid w:val="00F8210D"/>
    <w:pPr>
      <w:spacing w:before="100" w:beforeAutospacing="1" w:after="100" w:afterAutospacing="1"/>
    </w:pPr>
    <w:rPr>
      <w:rFonts w:ascii="Trebuchet MS" w:hAnsi="Trebuchet MS"/>
      <w:sz w:val="24"/>
      <w:szCs w:val="24"/>
      <w:lang w:val="es-CO" w:eastAsia="es-CO"/>
    </w:rPr>
  </w:style>
  <w:style w:type="paragraph" w:customStyle="1" w:styleId="xl97">
    <w:name w:val="xl97"/>
    <w:basedOn w:val="Normal"/>
    <w:rsid w:val="00F8210D"/>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sz w:val="24"/>
      <w:szCs w:val="24"/>
      <w:lang w:val="es-CO" w:eastAsia="es-CO"/>
    </w:rPr>
  </w:style>
  <w:style w:type="paragraph" w:customStyle="1" w:styleId="xl98">
    <w:name w:val="xl98"/>
    <w:basedOn w:val="Normal"/>
    <w:rsid w:val="00F8210D"/>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val="es-CO" w:eastAsia="es-CO"/>
    </w:rPr>
  </w:style>
  <w:style w:type="paragraph" w:customStyle="1" w:styleId="xl99">
    <w:name w:val="xl99"/>
    <w:basedOn w:val="Normal"/>
    <w:rsid w:val="00F8210D"/>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b/>
      <w:bCs/>
      <w:color w:val="FFFFFF"/>
      <w:sz w:val="24"/>
      <w:szCs w:val="24"/>
      <w:lang w:val="es-CO" w:eastAsia="es-CO"/>
    </w:rPr>
  </w:style>
  <w:style w:type="paragraph" w:customStyle="1" w:styleId="xl100">
    <w:name w:val="xl100"/>
    <w:basedOn w:val="Normal"/>
    <w:rsid w:val="00F821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val="es-CO" w:eastAsia="es-CO"/>
    </w:rPr>
  </w:style>
  <w:style w:type="paragraph" w:customStyle="1" w:styleId="xl101">
    <w:name w:val="xl101"/>
    <w:basedOn w:val="Normal"/>
    <w:rsid w:val="00F821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val="es-CO" w:eastAsia="es-CO"/>
    </w:rPr>
  </w:style>
  <w:style w:type="paragraph" w:customStyle="1" w:styleId="xl102">
    <w:name w:val="xl102"/>
    <w:basedOn w:val="Normal"/>
    <w:rsid w:val="00F8210D"/>
    <w:pPr>
      <w:shd w:val="clear" w:color="000000" w:fill="FFFF00"/>
      <w:spacing w:before="100" w:beforeAutospacing="1" w:after="100" w:afterAutospacing="1"/>
    </w:pPr>
    <w:rPr>
      <w:rFonts w:ascii="Trebuchet MS" w:hAnsi="Trebuchet MS"/>
      <w:sz w:val="24"/>
      <w:szCs w:val="24"/>
      <w:lang w:val="es-CO" w:eastAsia="es-CO"/>
    </w:rPr>
  </w:style>
  <w:style w:type="paragraph" w:customStyle="1" w:styleId="parrafo">
    <w:name w:val="parrafo"/>
    <w:basedOn w:val="Normal"/>
    <w:rsid w:val="001E14EA"/>
    <w:pPr>
      <w:spacing w:before="100" w:beforeAutospacing="1" w:after="100" w:afterAutospacing="1"/>
    </w:pPr>
    <w:rPr>
      <w:sz w:val="24"/>
      <w:szCs w:val="24"/>
      <w:lang w:val="es-CO" w:eastAsia="es-CO"/>
    </w:rPr>
  </w:style>
  <w:style w:type="table" w:styleId="Tablaconcuadrcula5oscura-nfasis5">
    <w:name w:val="Grid Table 5 Dark Accent 5"/>
    <w:basedOn w:val="Tablanormal"/>
    <w:uiPriority w:val="50"/>
    <w:rsid w:val="00A7080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concuadrcula5oscura-nfasis1">
    <w:name w:val="Grid Table 5 Dark Accent 1"/>
    <w:basedOn w:val="Tablanormal"/>
    <w:uiPriority w:val="50"/>
    <w:rsid w:val="00A7080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concuadrcula4-nfasis2">
    <w:name w:val="Grid Table 4 Accent 2"/>
    <w:basedOn w:val="Tablanormal"/>
    <w:uiPriority w:val="49"/>
    <w:rsid w:val="004C124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6concolores-nfasis5">
    <w:name w:val="Grid Table 6 Colorful Accent 5"/>
    <w:basedOn w:val="Tablanormal"/>
    <w:uiPriority w:val="51"/>
    <w:rsid w:val="00062D01"/>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Refdecomentario">
    <w:name w:val="annotation reference"/>
    <w:basedOn w:val="Fuentedeprrafopredeter"/>
    <w:uiPriority w:val="99"/>
    <w:semiHidden/>
    <w:unhideWhenUsed/>
    <w:rsid w:val="003D7B18"/>
    <w:rPr>
      <w:sz w:val="16"/>
      <w:szCs w:val="16"/>
    </w:rPr>
  </w:style>
  <w:style w:type="paragraph" w:styleId="Textocomentario">
    <w:name w:val="annotation text"/>
    <w:basedOn w:val="Normal"/>
    <w:link w:val="TextocomentarioCar"/>
    <w:uiPriority w:val="99"/>
    <w:semiHidden/>
    <w:unhideWhenUsed/>
    <w:rsid w:val="003D7B18"/>
  </w:style>
  <w:style w:type="character" w:customStyle="1" w:styleId="TextocomentarioCar">
    <w:name w:val="Texto comentario Car"/>
    <w:basedOn w:val="Fuentedeprrafopredeter"/>
    <w:link w:val="Textocomentario"/>
    <w:uiPriority w:val="99"/>
    <w:semiHidden/>
    <w:rsid w:val="003D7B18"/>
    <w:rPr>
      <w:lang w:val="es-ES_tradnl" w:eastAsia="es-ES"/>
    </w:rPr>
  </w:style>
  <w:style w:type="paragraph" w:styleId="Asuntodelcomentario">
    <w:name w:val="annotation subject"/>
    <w:basedOn w:val="Textocomentario"/>
    <w:next w:val="Textocomentario"/>
    <w:link w:val="AsuntodelcomentarioCar"/>
    <w:uiPriority w:val="99"/>
    <w:semiHidden/>
    <w:unhideWhenUsed/>
    <w:rsid w:val="003D7B18"/>
    <w:rPr>
      <w:b/>
      <w:bCs/>
    </w:rPr>
  </w:style>
  <w:style w:type="character" w:customStyle="1" w:styleId="AsuntodelcomentarioCar">
    <w:name w:val="Asunto del comentario Car"/>
    <w:basedOn w:val="TextocomentarioCar"/>
    <w:link w:val="Asuntodelcomentario"/>
    <w:uiPriority w:val="99"/>
    <w:semiHidden/>
    <w:rsid w:val="003D7B18"/>
    <w:rPr>
      <w:b/>
      <w:bCs/>
      <w:lang w:val="es-ES_tradnl" w:eastAsia="es-ES"/>
    </w:rPr>
  </w:style>
  <w:style w:type="character" w:styleId="Mencinsinresolver">
    <w:name w:val="Unresolved Mention"/>
    <w:basedOn w:val="Fuentedeprrafopredeter"/>
    <w:uiPriority w:val="99"/>
    <w:semiHidden/>
    <w:unhideWhenUsed/>
    <w:rsid w:val="00CB3F0B"/>
    <w:rPr>
      <w:color w:val="605E5C"/>
      <w:shd w:val="clear" w:color="auto" w:fill="E1DFDD"/>
    </w:rPr>
  </w:style>
  <w:style w:type="character" w:customStyle="1" w:styleId="PrrafodelistaCar">
    <w:name w:val="Párrafo de lista Car"/>
    <w:basedOn w:val="Fuentedeprrafopredeter"/>
    <w:link w:val="Prrafodelista"/>
    <w:uiPriority w:val="34"/>
    <w:rsid w:val="00930EE1"/>
    <w:rPr>
      <w:lang w:val="es-ES_tradnl" w:eastAsia="es-ES"/>
    </w:rPr>
  </w:style>
  <w:style w:type="table" w:styleId="Tablaconcuadrcula4-nfasis6">
    <w:name w:val="Grid Table 4 Accent 6"/>
    <w:basedOn w:val="Tablanormal"/>
    <w:uiPriority w:val="49"/>
    <w:rsid w:val="007F09C3"/>
    <w:rPr>
      <w:rFonts w:asciiTheme="minorHAnsi" w:eastAsiaTheme="minorHAnsi" w:hAnsiTheme="minorHAnsi" w:cstheme="minorBidi"/>
      <w:sz w:val="22"/>
      <w:szCs w:val="22"/>
      <w:lang w:eastAsia="en-US"/>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styleId="Textoennegrita">
    <w:name w:val="Strong"/>
    <w:basedOn w:val="Fuentedeprrafopredeter"/>
    <w:uiPriority w:val="22"/>
    <w:qFormat/>
    <w:rsid w:val="007F09C3"/>
    <w:rPr>
      <w:b/>
      <w:bCs/>
    </w:rPr>
  </w:style>
  <w:style w:type="table" w:styleId="Tablaconcuadrcula5oscura-nfasis6">
    <w:name w:val="Grid Table 5 Dark Accent 6"/>
    <w:basedOn w:val="Tablanormal"/>
    <w:uiPriority w:val="50"/>
    <w:rsid w:val="007F09C3"/>
    <w:rPr>
      <w:rFonts w:asciiTheme="minorHAnsi" w:eastAsia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paragraph" w:customStyle="1" w:styleId="CM8">
    <w:name w:val="CM8"/>
    <w:basedOn w:val="Default"/>
    <w:next w:val="Default"/>
    <w:uiPriority w:val="99"/>
    <w:rsid w:val="007E21BD"/>
    <w:pPr>
      <w:widowControl w:val="0"/>
    </w:pPr>
    <w:rPr>
      <w:rFonts w:ascii="Times New Roman" w:eastAsia="Times New Roman" w:hAnsi="Times New Roman" w:cs="Times New Roman"/>
      <w:color w:val="auto"/>
      <w:lang w:eastAsia="es-CO"/>
    </w:rPr>
  </w:style>
  <w:style w:type="paragraph" w:customStyle="1" w:styleId="CM9">
    <w:name w:val="CM9"/>
    <w:basedOn w:val="Default"/>
    <w:next w:val="Default"/>
    <w:uiPriority w:val="99"/>
    <w:rsid w:val="007E21BD"/>
    <w:pPr>
      <w:widowControl w:val="0"/>
    </w:pPr>
    <w:rPr>
      <w:rFonts w:ascii="Times New Roman" w:eastAsia="Times New Roman" w:hAnsi="Times New Roman" w:cs="Times New Roman"/>
      <w:color w:val="auto"/>
      <w:lang w:eastAsia="es-CO"/>
    </w:rPr>
  </w:style>
  <w:style w:type="numbering" w:customStyle="1" w:styleId="Sinlista1">
    <w:name w:val="Sin lista1"/>
    <w:next w:val="Sinlista"/>
    <w:uiPriority w:val="99"/>
    <w:semiHidden/>
    <w:unhideWhenUsed/>
    <w:rsid w:val="007E21BD"/>
  </w:style>
  <w:style w:type="paragraph" w:customStyle="1" w:styleId="xl63">
    <w:name w:val="xl63"/>
    <w:basedOn w:val="Normal"/>
    <w:rsid w:val="007E21BD"/>
    <w:pPr>
      <w:pBdr>
        <w:top w:val="single" w:sz="12" w:space="0" w:color="FFFFFF"/>
      </w:pBdr>
      <w:shd w:val="clear" w:color="000000" w:fill="002060"/>
      <w:spacing w:before="100" w:beforeAutospacing="1" w:after="100" w:afterAutospacing="1"/>
      <w:textAlignment w:val="center"/>
    </w:pPr>
    <w:rPr>
      <w:rFonts w:ascii="Arial Narrow" w:hAnsi="Arial Narrow"/>
      <w:color w:val="FFFFFF"/>
      <w:lang w:val="es-CO" w:eastAsia="es-CO"/>
    </w:rPr>
  </w:style>
  <w:style w:type="paragraph" w:customStyle="1" w:styleId="xl64">
    <w:name w:val="xl64"/>
    <w:basedOn w:val="Normal"/>
    <w:rsid w:val="007E21BD"/>
    <w:pPr>
      <w:spacing w:before="100" w:beforeAutospacing="1" w:after="100" w:afterAutospacing="1"/>
    </w:pPr>
    <w:rPr>
      <w:rFonts w:ascii="Arial Narrow" w:hAnsi="Arial Narrow"/>
      <w:lang w:val="es-CO" w:eastAsia="es-CO"/>
    </w:rPr>
  </w:style>
  <w:style w:type="paragraph" w:customStyle="1" w:styleId="xl65">
    <w:name w:val="xl65"/>
    <w:basedOn w:val="Normal"/>
    <w:rsid w:val="007E21BD"/>
    <w:pPr>
      <w:spacing w:before="100" w:beforeAutospacing="1" w:after="100" w:afterAutospacing="1"/>
      <w:textAlignment w:val="center"/>
    </w:pPr>
    <w:rPr>
      <w:rFonts w:ascii="Arial Narrow" w:hAnsi="Arial Narrow"/>
      <w:lang w:val="es-CO" w:eastAsia="es-CO"/>
    </w:rPr>
  </w:style>
  <w:style w:type="paragraph" w:customStyle="1" w:styleId="xl66">
    <w:name w:val="xl66"/>
    <w:basedOn w:val="Normal"/>
    <w:rsid w:val="007E21BD"/>
    <w:pPr>
      <w:pBdr>
        <w:top w:val="single" w:sz="8" w:space="0" w:color="002060"/>
        <w:left w:val="single" w:sz="8" w:space="0" w:color="002060"/>
        <w:bottom w:val="single" w:sz="8" w:space="0" w:color="002060"/>
      </w:pBdr>
      <w:shd w:val="clear" w:color="000000" w:fill="00B0F0"/>
      <w:spacing w:before="100" w:beforeAutospacing="1" w:after="100" w:afterAutospacing="1"/>
      <w:textAlignment w:val="center"/>
    </w:pPr>
    <w:rPr>
      <w:rFonts w:ascii="Arial Narrow" w:hAnsi="Arial Narrow"/>
      <w:b/>
      <w:bCs/>
      <w:color w:val="002060"/>
      <w:lang w:val="es-CO" w:eastAsia="es-CO"/>
    </w:rPr>
  </w:style>
  <w:style w:type="paragraph" w:customStyle="1" w:styleId="xl94">
    <w:name w:val="xl94"/>
    <w:basedOn w:val="Normal"/>
    <w:rsid w:val="007E21BD"/>
    <w:pPr>
      <w:spacing w:before="100" w:beforeAutospacing="1" w:after="100" w:afterAutospacing="1"/>
      <w:jc w:val="center"/>
      <w:textAlignment w:val="center"/>
    </w:pPr>
    <w:rPr>
      <w:rFonts w:ascii="Arial Narrow" w:hAnsi="Arial Narrow"/>
      <w:lang w:val="es-CO" w:eastAsia="es-CO"/>
    </w:rPr>
  </w:style>
  <w:style w:type="paragraph" w:customStyle="1" w:styleId="xl95">
    <w:name w:val="xl95"/>
    <w:basedOn w:val="Normal"/>
    <w:rsid w:val="007E21BD"/>
    <w:pPr>
      <w:pBdr>
        <w:top w:val="single" w:sz="12" w:space="0" w:color="FFFFFF"/>
        <w:left w:val="single" w:sz="12" w:space="0" w:color="FFFFFF"/>
        <w:right w:val="single" w:sz="12" w:space="0" w:color="FFFFFF"/>
      </w:pBdr>
      <w:shd w:val="clear" w:color="000000" w:fill="00B0F0"/>
      <w:spacing w:before="100" w:beforeAutospacing="1" w:after="100" w:afterAutospacing="1"/>
      <w:jc w:val="center"/>
      <w:textAlignment w:val="center"/>
    </w:pPr>
    <w:rPr>
      <w:rFonts w:ascii="Arial Narrow" w:hAnsi="Arial Narrow"/>
      <w:b/>
      <w:bCs/>
      <w:color w:val="002060"/>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6283">
      <w:bodyDiv w:val="1"/>
      <w:marLeft w:val="0"/>
      <w:marRight w:val="0"/>
      <w:marTop w:val="0"/>
      <w:marBottom w:val="0"/>
      <w:divBdr>
        <w:top w:val="none" w:sz="0" w:space="0" w:color="auto"/>
        <w:left w:val="none" w:sz="0" w:space="0" w:color="auto"/>
        <w:bottom w:val="none" w:sz="0" w:space="0" w:color="auto"/>
        <w:right w:val="none" w:sz="0" w:space="0" w:color="auto"/>
      </w:divBdr>
    </w:div>
    <w:div w:id="21827643">
      <w:bodyDiv w:val="1"/>
      <w:marLeft w:val="0"/>
      <w:marRight w:val="0"/>
      <w:marTop w:val="0"/>
      <w:marBottom w:val="0"/>
      <w:divBdr>
        <w:top w:val="none" w:sz="0" w:space="0" w:color="auto"/>
        <w:left w:val="none" w:sz="0" w:space="0" w:color="auto"/>
        <w:bottom w:val="none" w:sz="0" w:space="0" w:color="auto"/>
        <w:right w:val="none" w:sz="0" w:space="0" w:color="auto"/>
      </w:divBdr>
    </w:div>
    <w:div w:id="40642684">
      <w:bodyDiv w:val="1"/>
      <w:marLeft w:val="0"/>
      <w:marRight w:val="0"/>
      <w:marTop w:val="0"/>
      <w:marBottom w:val="0"/>
      <w:divBdr>
        <w:top w:val="none" w:sz="0" w:space="0" w:color="auto"/>
        <w:left w:val="none" w:sz="0" w:space="0" w:color="auto"/>
        <w:bottom w:val="none" w:sz="0" w:space="0" w:color="auto"/>
        <w:right w:val="none" w:sz="0" w:space="0" w:color="auto"/>
      </w:divBdr>
    </w:div>
    <w:div w:id="86192094">
      <w:bodyDiv w:val="1"/>
      <w:marLeft w:val="0"/>
      <w:marRight w:val="0"/>
      <w:marTop w:val="0"/>
      <w:marBottom w:val="0"/>
      <w:divBdr>
        <w:top w:val="none" w:sz="0" w:space="0" w:color="auto"/>
        <w:left w:val="none" w:sz="0" w:space="0" w:color="auto"/>
        <w:bottom w:val="none" w:sz="0" w:space="0" w:color="auto"/>
        <w:right w:val="none" w:sz="0" w:space="0" w:color="auto"/>
      </w:divBdr>
    </w:div>
    <w:div w:id="90400725">
      <w:bodyDiv w:val="1"/>
      <w:marLeft w:val="0"/>
      <w:marRight w:val="0"/>
      <w:marTop w:val="0"/>
      <w:marBottom w:val="0"/>
      <w:divBdr>
        <w:top w:val="none" w:sz="0" w:space="0" w:color="auto"/>
        <w:left w:val="none" w:sz="0" w:space="0" w:color="auto"/>
        <w:bottom w:val="none" w:sz="0" w:space="0" w:color="auto"/>
        <w:right w:val="none" w:sz="0" w:space="0" w:color="auto"/>
      </w:divBdr>
    </w:div>
    <w:div w:id="98764469">
      <w:bodyDiv w:val="1"/>
      <w:marLeft w:val="0"/>
      <w:marRight w:val="0"/>
      <w:marTop w:val="0"/>
      <w:marBottom w:val="0"/>
      <w:divBdr>
        <w:top w:val="none" w:sz="0" w:space="0" w:color="auto"/>
        <w:left w:val="none" w:sz="0" w:space="0" w:color="auto"/>
        <w:bottom w:val="none" w:sz="0" w:space="0" w:color="auto"/>
        <w:right w:val="none" w:sz="0" w:space="0" w:color="auto"/>
      </w:divBdr>
    </w:div>
    <w:div w:id="100493249">
      <w:bodyDiv w:val="1"/>
      <w:marLeft w:val="0"/>
      <w:marRight w:val="0"/>
      <w:marTop w:val="0"/>
      <w:marBottom w:val="0"/>
      <w:divBdr>
        <w:top w:val="none" w:sz="0" w:space="0" w:color="auto"/>
        <w:left w:val="none" w:sz="0" w:space="0" w:color="auto"/>
        <w:bottom w:val="none" w:sz="0" w:space="0" w:color="auto"/>
        <w:right w:val="none" w:sz="0" w:space="0" w:color="auto"/>
      </w:divBdr>
    </w:div>
    <w:div w:id="160197807">
      <w:bodyDiv w:val="1"/>
      <w:marLeft w:val="0"/>
      <w:marRight w:val="0"/>
      <w:marTop w:val="0"/>
      <w:marBottom w:val="0"/>
      <w:divBdr>
        <w:top w:val="none" w:sz="0" w:space="0" w:color="auto"/>
        <w:left w:val="none" w:sz="0" w:space="0" w:color="auto"/>
        <w:bottom w:val="none" w:sz="0" w:space="0" w:color="auto"/>
        <w:right w:val="none" w:sz="0" w:space="0" w:color="auto"/>
      </w:divBdr>
    </w:div>
    <w:div w:id="160580953">
      <w:bodyDiv w:val="1"/>
      <w:marLeft w:val="0"/>
      <w:marRight w:val="0"/>
      <w:marTop w:val="0"/>
      <w:marBottom w:val="0"/>
      <w:divBdr>
        <w:top w:val="none" w:sz="0" w:space="0" w:color="auto"/>
        <w:left w:val="none" w:sz="0" w:space="0" w:color="auto"/>
        <w:bottom w:val="none" w:sz="0" w:space="0" w:color="auto"/>
        <w:right w:val="none" w:sz="0" w:space="0" w:color="auto"/>
      </w:divBdr>
    </w:div>
    <w:div w:id="167058274">
      <w:bodyDiv w:val="1"/>
      <w:marLeft w:val="0"/>
      <w:marRight w:val="0"/>
      <w:marTop w:val="0"/>
      <w:marBottom w:val="0"/>
      <w:divBdr>
        <w:top w:val="none" w:sz="0" w:space="0" w:color="auto"/>
        <w:left w:val="none" w:sz="0" w:space="0" w:color="auto"/>
        <w:bottom w:val="none" w:sz="0" w:space="0" w:color="auto"/>
        <w:right w:val="none" w:sz="0" w:space="0" w:color="auto"/>
      </w:divBdr>
    </w:div>
    <w:div w:id="186263221">
      <w:bodyDiv w:val="1"/>
      <w:marLeft w:val="0"/>
      <w:marRight w:val="0"/>
      <w:marTop w:val="0"/>
      <w:marBottom w:val="0"/>
      <w:divBdr>
        <w:top w:val="none" w:sz="0" w:space="0" w:color="auto"/>
        <w:left w:val="none" w:sz="0" w:space="0" w:color="auto"/>
        <w:bottom w:val="none" w:sz="0" w:space="0" w:color="auto"/>
        <w:right w:val="none" w:sz="0" w:space="0" w:color="auto"/>
      </w:divBdr>
    </w:div>
    <w:div w:id="191457537">
      <w:bodyDiv w:val="1"/>
      <w:marLeft w:val="0"/>
      <w:marRight w:val="0"/>
      <w:marTop w:val="0"/>
      <w:marBottom w:val="0"/>
      <w:divBdr>
        <w:top w:val="none" w:sz="0" w:space="0" w:color="auto"/>
        <w:left w:val="none" w:sz="0" w:space="0" w:color="auto"/>
        <w:bottom w:val="none" w:sz="0" w:space="0" w:color="auto"/>
        <w:right w:val="none" w:sz="0" w:space="0" w:color="auto"/>
      </w:divBdr>
    </w:div>
    <w:div w:id="192812240">
      <w:bodyDiv w:val="1"/>
      <w:marLeft w:val="0"/>
      <w:marRight w:val="0"/>
      <w:marTop w:val="0"/>
      <w:marBottom w:val="0"/>
      <w:divBdr>
        <w:top w:val="none" w:sz="0" w:space="0" w:color="auto"/>
        <w:left w:val="none" w:sz="0" w:space="0" w:color="auto"/>
        <w:bottom w:val="none" w:sz="0" w:space="0" w:color="auto"/>
        <w:right w:val="none" w:sz="0" w:space="0" w:color="auto"/>
      </w:divBdr>
    </w:div>
    <w:div w:id="204031310">
      <w:bodyDiv w:val="1"/>
      <w:marLeft w:val="0"/>
      <w:marRight w:val="0"/>
      <w:marTop w:val="0"/>
      <w:marBottom w:val="0"/>
      <w:divBdr>
        <w:top w:val="none" w:sz="0" w:space="0" w:color="auto"/>
        <w:left w:val="none" w:sz="0" w:space="0" w:color="auto"/>
        <w:bottom w:val="none" w:sz="0" w:space="0" w:color="auto"/>
        <w:right w:val="none" w:sz="0" w:space="0" w:color="auto"/>
      </w:divBdr>
    </w:div>
    <w:div w:id="206914400">
      <w:bodyDiv w:val="1"/>
      <w:marLeft w:val="0"/>
      <w:marRight w:val="0"/>
      <w:marTop w:val="0"/>
      <w:marBottom w:val="0"/>
      <w:divBdr>
        <w:top w:val="none" w:sz="0" w:space="0" w:color="auto"/>
        <w:left w:val="none" w:sz="0" w:space="0" w:color="auto"/>
        <w:bottom w:val="none" w:sz="0" w:space="0" w:color="auto"/>
        <w:right w:val="none" w:sz="0" w:space="0" w:color="auto"/>
      </w:divBdr>
    </w:div>
    <w:div w:id="209614399">
      <w:bodyDiv w:val="1"/>
      <w:marLeft w:val="0"/>
      <w:marRight w:val="0"/>
      <w:marTop w:val="0"/>
      <w:marBottom w:val="0"/>
      <w:divBdr>
        <w:top w:val="none" w:sz="0" w:space="0" w:color="auto"/>
        <w:left w:val="none" w:sz="0" w:space="0" w:color="auto"/>
        <w:bottom w:val="none" w:sz="0" w:space="0" w:color="auto"/>
        <w:right w:val="none" w:sz="0" w:space="0" w:color="auto"/>
      </w:divBdr>
      <w:divsChild>
        <w:div w:id="925963873">
          <w:marLeft w:val="547"/>
          <w:marRight w:val="0"/>
          <w:marTop w:val="0"/>
          <w:marBottom w:val="0"/>
          <w:divBdr>
            <w:top w:val="none" w:sz="0" w:space="0" w:color="auto"/>
            <w:left w:val="none" w:sz="0" w:space="0" w:color="auto"/>
            <w:bottom w:val="none" w:sz="0" w:space="0" w:color="auto"/>
            <w:right w:val="none" w:sz="0" w:space="0" w:color="auto"/>
          </w:divBdr>
        </w:div>
      </w:divsChild>
    </w:div>
    <w:div w:id="211119310">
      <w:bodyDiv w:val="1"/>
      <w:marLeft w:val="0"/>
      <w:marRight w:val="0"/>
      <w:marTop w:val="0"/>
      <w:marBottom w:val="0"/>
      <w:divBdr>
        <w:top w:val="none" w:sz="0" w:space="0" w:color="auto"/>
        <w:left w:val="none" w:sz="0" w:space="0" w:color="auto"/>
        <w:bottom w:val="none" w:sz="0" w:space="0" w:color="auto"/>
        <w:right w:val="none" w:sz="0" w:space="0" w:color="auto"/>
      </w:divBdr>
    </w:div>
    <w:div w:id="211694299">
      <w:bodyDiv w:val="1"/>
      <w:marLeft w:val="0"/>
      <w:marRight w:val="0"/>
      <w:marTop w:val="0"/>
      <w:marBottom w:val="0"/>
      <w:divBdr>
        <w:top w:val="none" w:sz="0" w:space="0" w:color="auto"/>
        <w:left w:val="none" w:sz="0" w:space="0" w:color="auto"/>
        <w:bottom w:val="none" w:sz="0" w:space="0" w:color="auto"/>
        <w:right w:val="none" w:sz="0" w:space="0" w:color="auto"/>
      </w:divBdr>
    </w:div>
    <w:div w:id="221332550">
      <w:bodyDiv w:val="1"/>
      <w:marLeft w:val="0"/>
      <w:marRight w:val="0"/>
      <w:marTop w:val="0"/>
      <w:marBottom w:val="0"/>
      <w:divBdr>
        <w:top w:val="none" w:sz="0" w:space="0" w:color="auto"/>
        <w:left w:val="none" w:sz="0" w:space="0" w:color="auto"/>
        <w:bottom w:val="none" w:sz="0" w:space="0" w:color="auto"/>
        <w:right w:val="none" w:sz="0" w:space="0" w:color="auto"/>
      </w:divBdr>
    </w:div>
    <w:div w:id="224873880">
      <w:bodyDiv w:val="1"/>
      <w:marLeft w:val="0"/>
      <w:marRight w:val="0"/>
      <w:marTop w:val="0"/>
      <w:marBottom w:val="0"/>
      <w:divBdr>
        <w:top w:val="none" w:sz="0" w:space="0" w:color="auto"/>
        <w:left w:val="none" w:sz="0" w:space="0" w:color="auto"/>
        <w:bottom w:val="none" w:sz="0" w:space="0" w:color="auto"/>
        <w:right w:val="none" w:sz="0" w:space="0" w:color="auto"/>
      </w:divBdr>
    </w:div>
    <w:div w:id="233012512">
      <w:bodyDiv w:val="1"/>
      <w:marLeft w:val="0"/>
      <w:marRight w:val="0"/>
      <w:marTop w:val="0"/>
      <w:marBottom w:val="0"/>
      <w:divBdr>
        <w:top w:val="none" w:sz="0" w:space="0" w:color="auto"/>
        <w:left w:val="none" w:sz="0" w:space="0" w:color="auto"/>
        <w:bottom w:val="none" w:sz="0" w:space="0" w:color="auto"/>
        <w:right w:val="none" w:sz="0" w:space="0" w:color="auto"/>
      </w:divBdr>
    </w:div>
    <w:div w:id="240676935">
      <w:bodyDiv w:val="1"/>
      <w:marLeft w:val="0"/>
      <w:marRight w:val="0"/>
      <w:marTop w:val="0"/>
      <w:marBottom w:val="0"/>
      <w:divBdr>
        <w:top w:val="none" w:sz="0" w:space="0" w:color="auto"/>
        <w:left w:val="none" w:sz="0" w:space="0" w:color="auto"/>
        <w:bottom w:val="none" w:sz="0" w:space="0" w:color="auto"/>
        <w:right w:val="none" w:sz="0" w:space="0" w:color="auto"/>
      </w:divBdr>
    </w:div>
    <w:div w:id="252471368">
      <w:bodyDiv w:val="1"/>
      <w:marLeft w:val="0"/>
      <w:marRight w:val="0"/>
      <w:marTop w:val="0"/>
      <w:marBottom w:val="0"/>
      <w:divBdr>
        <w:top w:val="none" w:sz="0" w:space="0" w:color="auto"/>
        <w:left w:val="none" w:sz="0" w:space="0" w:color="auto"/>
        <w:bottom w:val="none" w:sz="0" w:space="0" w:color="auto"/>
        <w:right w:val="none" w:sz="0" w:space="0" w:color="auto"/>
      </w:divBdr>
    </w:div>
    <w:div w:id="254094782">
      <w:bodyDiv w:val="1"/>
      <w:marLeft w:val="0"/>
      <w:marRight w:val="0"/>
      <w:marTop w:val="0"/>
      <w:marBottom w:val="0"/>
      <w:divBdr>
        <w:top w:val="none" w:sz="0" w:space="0" w:color="auto"/>
        <w:left w:val="none" w:sz="0" w:space="0" w:color="auto"/>
        <w:bottom w:val="none" w:sz="0" w:space="0" w:color="auto"/>
        <w:right w:val="none" w:sz="0" w:space="0" w:color="auto"/>
      </w:divBdr>
    </w:div>
    <w:div w:id="272711227">
      <w:bodyDiv w:val="1"/>
      <w:marLeft w:val="0"/>
      <w:marRight w:val="0"/>
      <w:marTop w:val="0"/>
      <w:marBottom w:val="0"/>
      <w:divBdr>
        <w:top w:val="none" w:sz="0" w:space="0" w:color="auto"/>
        <w:left w:val="none" w:sz="0" w:space="0" w:color="auto"/>
        <w:bottom w:val="none" w:sz="0" w:space="0" w:color="auto"/>
        <w:right w:val="none" w:sz="0" w:space="0" w:color="auto"/>
      </w:divBdr>
    </w:div>
    <w:div w:id="273561592">
      <w:bodyDiv w:val="1"/>
      <w:marLeft w:val="0"/>
      <w:marRight w:val="0"/>
      <w:marTop w:val="0"/>
      <w:marBottom w:val="0"/>
      <w:divBdr>
        <w:top w:val="none" w:sz="0" w:space="0" w:color="auto"/>
        <w:left w:val="none" w:sz="0" w:space="0" w:color="auto"/>
        <w:bottom w:val="none" w:sz="0" w:space="0" w:color="auto"/>
        <w:right w:val="none" w:sz="0" w:space="0" w:color="auto"/>
      </w:divBdr>
    </w:div>
    <w:div w:id="275021085">
      <w:bodyDiv w:val="1"/>
      <w:marLeft w:val="0"/>
      <w:marRight w:val="0"/>
      <w:marTop w:val="0"/>
      <w:marBottom w:val="0"/>
      <w:divBdr>
        <w:top w:val="none" w:sz="0" w:space="0" w:color="auto"/>
        <w:left w:val="none" w:sz="0" w:space="0" w:color="auto"/>
        <w:bottom w:val="none" w:sz="0" w:space="0" w:color="auto"/>
        <w:right w:val="none" w:sz="0" w:space="0" w:color="auto"/>
      </w:divBdr>
    </w:div>
    <w:div w:id="279068364">
      <w:bodyDiv w:val="1"/>
      <w:marLeft w:val="0"/>
      <w:marRight w:val="0"/>
      <w:marTop w:val="0"/>
      <w:marBottom w:val="0"/>
      <w:divBdr>
        <w:top w:val="none" w:sz="0" w:space="0" w:color="auto"/>
        <w:left w:val="none" w:sz="0" w:space="0" w:color="auto"/>
        <w:bottom w:val="none" w:sz="0" w:space="0" w:color="auto"/>
        <w:right w:val="none" w:sz="0" w:space="0" w:color="auto"/>
      </w:divBdr>
    </w:div>
    <w:div w:id="281570334">
      <w:bodyDiv w:val="1"/>
      <w:marLeft w:val="0"/>
      <w:marRight w:val="0"/>
      <w:marTop w:val="0"/>
      <w:marBottom w:val="0"/>
      <w:divBdr>
        <w:top w:val="none" w:sz="0" w:space="0" w:color="auto"/>
        <w:left w:val="none" w:sz="0" w:space="0" w:color="auto"/>
        <w:bottom w:val="none" w:sz="0" w:space="0" w:color="auto"/>
        <w:right w:val="none" w:sz="0" w:space="0" w:color="auto"/>
      </w:divBdr>
    </w:div>
    <w:div w:id="310839395">
      <w:bodyDiv w:val="1"/>
      <w:marLeft w:val="0"/>
      <w:marRight w:val="0"/>
      <w:marTop w:val="0"/>
      <w:marBottom w:val="0"/>
      <w:divBdr>
        <w:top w:val="none" w:sz="0" w:space="0" w:color="auto"/>
        <w:left w:val="none" w:sz="0" w:space="0" w:color="auto"/>
        <w:bottom w:val="none" w:sz="0" w:space="0" w:color="auto"/>
        <w:right w:val="none" w:sz="0" w:space="0" w:color="auto"/>
      </w:divBdr>
    </w:div>
    <w:div w:id="311450903">
      <w:bodyDiv w:val="1"/>
      <w:marLeft w:val="0"/>
      <w:marRight w:val="0"/>
      <w:marTop w:val="0"/>
      <w:marBottom w:val="0"/>
      <w:divBdr>
        <w:top w:val="none" w:sz="0" w:space="0" w:color="auto"/>
        <w:left w:val="none" w:sz="0" w:space="0" w:color="auto"/>
        <w:bottom w:val="none" w:sz="0" w:space="0" w:color="auto"/>
        <w:right w:val="none" w:sz="0" w:space="0" w:color="auto"/>
      </w:divBdr>
      <w:divsChild>
        <w:div w:id="1020668720">
          <w:marLeft w:val="547"/>
          <w:marRight w:val="0"/>
          <w:marTop w:val="0"/>
          <w:marBottom w:val="0"/>
          <w:divBdr>
            <w:top w:val="none" w:sz="0" w:space="0" w:color="auto"/>
            <w:left w:val="none" w:sz="0" w:space="0" w:color="auto"/>
            <w:bottom w:val="none" w:sz="0" w:space="0" w:color="auto"/>
            <w:right w:val="none" w:sz="0" w:space="0" w:color="auto"/>
          </w:divBdr>
        </w:div>
        <w:div w:id="2077123054">
          <w:marLeft w:val="547"/>
          <w:marRight w:val="0"/>
          <w:marTop w:val="0"/>
          <w:marBottom w:val="0"/>
          <w:divBdr>
            <w:top w:val="none" w:sz="0" w:space="0" w:color="auto"/>
            <w:left w:val="none" w:sz="0" w:space="0" w:color="auto"/>
            <w:bottom w:val="none" w:sz="0" w:space="0" w:color="auto"/>
            <w:right w:val="none" w:sz="0" w:space="0" w:color="auto"/>
          </w:divBdr>
        </w:div>
      </w:divsChild>
    </w:div>
    <w:div w:id="313921634">
      <w:bodyDiv w:val="1"/>
      <w:marLeft w:val="0"/>
      <w:marRight w:val="0"/>
      <w:marTop w:val="0"/>
      <w:marBottom w:val="0"/>
      <w:divBdr>
        <w:top w:val="none" w:sz="0" w:space="0" w:color="auto"/>
        <w:left w:val="none" w:sz="0" w:space="0" w:color="auto"/>
        <w:bottom w:val="none" w:sz="0" w:space="0" w:color="auto"/>
        <w:right w:val="none" w:sz="0" w:space="0" w:color="auto"/>
      </w:divBdr>
      <w:divsChild>
        <w:div w:id="259140244">
          <w:marLeft w:val="547"/>
          <w:marRight w:val="0"/>
          <w:marTop w:val="0"/>
          <w:marBottom w:val="0"/>
          <w:divBdr>
            <w:top w:val="none" w:sz="0" w:space="0" w:color="auto"/>
            <w:left w:val="none" w:sz="0" w:space="0" w:color="auto"/>
            <w:bottom w:val="none" w:sz="0" w:space="0" w:color="auto"/>
            <w:right w:val="none" w:sz="0" w:space="0" w:color="auto"/>
          </w:divBdr>
        </w:div>
      </w:divsChild>
    </w:div>
    <w:div w:id="339964178">
      <w:bodyDiv w:val="1"/>
      <w:marLeft w:val="0"/>
      <w:marRight w:val="0"/>
      <w:marTop w:val="0"/>
      <w:marBottom w:val="0"/>
      <w:divBdr>
        <w:top w:val="none" w:sz="0" w:space="0" w:color="auto"/>
        <w:left w:val="none" w:sz="0" w:space="0" w:color="auto"/>
        <w:bottom w:val="none" w:sz="0" w:space="0" w:color="auto"/>
        <w:right w:val="none" w:sz="0" w:space="0" w:color="auto"/>
      </w:divBdr>
    </w:div>
    <w:div w:id="340276218">
      <w:bodyDiv w:val="1"/>
      <w:marLeft w:val="0"/>
      <w:marRight w:val="0"/>
      <w:marTop w:val="0"/>
      <w:marBottom w:val="0"/>
      <w:divBdr>
        <w:top w:val="none" w:sz="0" w:space="0" w:color="auto"/>
        <w:left w:val="none" w:sz="0" w:space="0" w:color="auto"/>
        <w:bottom w:val="none" w:sz="0" w:space="0" w:color="auto"/>
        <w:right w:val="none" w:sz="0" w:space="0" w:color="auto"/>
      </w:divBdr>
    </w:div>
    <w:div w:id="366298969">
      <w:bodyDiv w:val="1"/>
      <w:marLeft w:val="0"/>
      <w:marRight w:val="0"/>
      <w:marTop w:val="0"/>
      <w:marBottom w:val="0"/>
      <w:divBdr>
        <w:top w:val="none" w:sz="0" w:space="0" w:color="auto"/>
        <w:left w:val="none" w:sz="0" w:space="0" w:color="auto"/>
        <w:bottom w:val="none" w:sz="0" w:space="0" w:color="auto"/>
        <w:right w:val="none" w:sz="0" w:space="0" w:color="auto"/>
      </w:divBdr>
      <w:divsChild>
        <w:div w:id="993723943">
          <w:marLeft w:val="547"/>
          <w:marRight w:val="0"/>
          <w:marTop w:val="0"/>
          <w:marBottom w:val="0"/>
          <w:divBdr>
            <w:top w:val="none" w:sz="0" w:space="0" w:color="auto"/>
            <w:left w:val="none" w:sz="0" w:space="0" w:color="auto"/>
            <w:bottom w:val="none" w:sz="0" w:space="0" w:color="auto"/>
            <w:right w:val="none" w:sz="0" w:space="0" w:color="auto"/>
          </w:divBdr>
        </w:div>
      </w:divsChild>
    </w:div>
    <w:div w:id="371077258">
      <w:bodyDiv w:val="1"/>
      <w:marLeft w:val="0"/>
      <w:marRight w:val="0"/>
      <w:marTop w:val="0"/>
      <w:marBottom w:val="0"/>
      <w:divBdr>
        <w:top w:val="none" w:sz="0" w:space="0" w:color="auto"/>
        <w:left w:val="none" w:sz="0" w:space="0" w:color="auto"/>
        <w:bottom w:val="none" w:sz="0" w:space="0" w:color="auto"/>
        <w:right w:val="none" w:sz="0" w:space="0" w:color="auto"/>
      </w:divBdr>
    </w:div>
    <w:div w:id="373509681">
      <w:bodyDiv w:val="1"/>
      <w:marLeft w:val="0"/>
      <w:marRight w:val="0"/>
      <w:marTop w:val="0"/>
      <w:marBottom w:val="0"/>
      <w:divBdr>
        <w:top w:val="none" w:sz="0" w:space="0" w:color="auto"/>
        <w:left w:val="none" w:sz="0" w:space="0" w:color="auto"/>
        <w:bottom w:val="none" w:sz="0" w:space="0" w:color="auto"/>
        <w:right w:val="none" w:sz="0" w:space="0" w:color="auto"/>
      </w:divBdr>
    </w:div>
    <w:div w:id="377358062">
      <w:bodyDiv w:val="1"/>
      <w:marLeft w:val="0"/>
      <w:marRight w:val="0"/>
      <w:marTop w:val="0"/>
      <w:marBottom w:val="0"/>
      <w:divBdr>
        <w:top w:val="none" w:sz="0" w:space="0" w:color="auto"/>
        <w:left w:val="none" w:sz="0" w:space="0" w:color="auto"/>
        <w:bottom w:val="none" w:sz="0" w:space="0" w:color="auto"/>
        <w:right w:val="none" w:sz="0" w:space="0" w:color="auto"/>
      </w:divBdr>
    </w:div>
    <w:div w:id="385221146">
      <w:bodyDiv w:val="1"/>
      <w:marLeft w:val="0"/>
      <w:marRight w:val="0"/>
      <w:marTop w:val="0"/>
      <w:marBottom w:val="0"/>
      <w:divBdr>
        <w:top w:val="none" w:sz="0" w:space="0" w:color="auto"/>
        <w:left w:val="none" w:sz="0" w:space="0" w:color="auto"/>
        <w:bottom w:val="none" w:sz="0" w:space="0" w:color="auto"/>
        <w:right w:val="none" w:sz="0" w:space="0" w:color="auto"/>
      </w:divBdr>
    </w:div>
    <w:div w:id="417482223">
      <w:bodyDiv w:val="1"/>
      <w:marLeft w:val="0"/>
      <w:marRight w:val="0"/>
      <w:marTop w:val="0"/>
      <w:marBottom w:val="0"/>
      <w:divBdr>
        <w:top w:val="none" w:sz="0" w:space="0" w:color="auto"/>
        <w:left w:val="none" w:sz="0" w:space="0" w:color="auto"/>
        <w:bottom w:val="none" w:sz="0" w:space="0" w:color="auto"/>
        <w:right w:val="none" w:sz="0" w:space="0" w:color="auto"/>
      </w:divBdr>
    </w:div>
    <w:div w:id="468088347">
      <w:bodyDiv w:val="1"/>
      <w:marLeft w:val="0"/>
      <w:marRight w:val="0"/>
      <w:marTop w:val="0"/>
      <w:marBottom w:val="0"/>
      <w:divBdr>
        <w:top w:val="none" w:sz="0" w:space="0" w:color="auto"/>
        <w:left w:val="none" w:sz="0" w:space="0" w:color="auto"/>
        <w:bottom w:val="none" w:sz="0" w:space="0" w:color="auto"/>
        <w:right w:val="none" w:sz="0" w:space="0" w:color="auto"/>
      </w:divBdr>
    </w:div>
    <w:div w:id="485167254">
      <w:bodyDiv w:val="1"/>
      <w:marLeft w:val="0"/>
      <w:marRight w:val="0"/>
      <w:marTop w:val="0"/>
      <w:marBottom w:val="0"/>
      <w:divBdr>
        <w:top w:val="none" w:sz="0" w:space="0" w:color="auto"/>
        <w:left w:val="none" w:sz="0" w:space="0" w:color="auto"/>
        <w:bottom w:val="none" w:sz="0" w:space="0" w:color="auto"/>
        <w:right w:val="none" w:sz="0" w:space="0" w:color="auto"/>
      </w:divBdr>
      <w:divsChild>
        <w:div w:id="541670942">
          <w:marLeft w:val="547"/>
          <w:marRight w:val="0"/>
          <w:marTop w:val="0"/>
          <w:marBottom w:val="0"/>
          <w:divBdr>
            <w:top w:val="none" w:sz="0" w:space="0" w:color="auto"/>
            <w:left w:val="none" w:sz="0" w:space="0" w:color="auto"/>
            <w:bottom w:val="none" w:sz="0" w:space="0" w:color="auto"/>
            <w:right w:val="none" w:sz="0" w:space="0" w:color="auto"/>
          </w:divBdr>
        </w:div>
      </w:divsChild>
    </w:div>
    <w:div w:id="487793178">
      <w:bodyDiv w:val="1"/>
      <w:marLeft w:val="0"/>
      <w:marRight w:val="0"/>
      <w:marTop w:val="0"/>
      <w:marBottom w:val="0"/>
      <w:divBdr>
        <w:top w:val="none" w:sz="0" w:space="0" w:color="auto"/>
        <w:left w:val="none" w:sz="0" w:space="0" w:color="auto"/>
        <w:bottom w:val="none" w:sz="0" w:space="0" w:color="auto"/>
        <w:right w:val="none" w:sz="0" w:space="0" w:color="auto"/>
      </w:divBdr>
    </w:div>
    <w:div w:id="520898730">
      <w:bodyDiv w:val="1"/>
      <w:marLeft w:val="0"/>
      <w:marRight w:val="0"/>
      <w:marTop w:val="0"/>
      <w:marBottom w:val="0"/>
      <w:divBdr>
        <w:top w:val="none" w:sz="0" w:space="0" w:color="auto"/>
        <w:left w:val="none" w:sz="0" w:space="0" w:color="auto"/>
        <w:bottom w:val="none" w:sz="0" w:space="0" w:color="auto"/>
        <w:right w:val="none" w:sz="0" w:space="0" w:color="auto"/>
      </w:divBdr>
    </w:div>
    <w:div w:id="525027022">
      <w:bodyDiv w:val="1"/>
      <w:marLeft w:val="0"/>
      <w:marRight w:val="0"/>
      <w:marTop w:val="0"/>
      <w:marBottom w:val="0"/>
      <w:divBdr>
        <w:top w:val="none" w:sz="0" w:space="0" w:color="auto"/>
        <w:left w:val="none" w:sz="0" w:space="0" w:color="auto"/>
        <w:bottom w:val="none" w:sz="0" w:space="0" w:color="auto"/>
        <w:right w:val="none" w:sz="0" w:space="0" w:color="auto"/>
      </w:divBdr>
    </w:div>
    <w:div w:id="535895256">
      <w:bodyDiv w:val="1"/>
      <w:marLeft w:val="0"/>
      <w:marRight w:val="0"/>
      <w:marTop w:val="0"/>
      <w:marBottom w:val="0"/>
      <w:divBdr>
        <w:top w:val="none" w:sz="0" w:space="0" w:color="auto"/>
        <w:left w:val="none" w:sz="0" w:space="0" w:color="auto"/>
        <w:bottom w:val="none" w:sz="0" w:space="0" w:color="auto"/>
        <w:right w:val="none" w:sz="0" w:space="0" w:color="auto"/>
      </w:divBdr>
    </w:div>
    <w:div w:id="557327814">
      <w:bodyDiv w:val="1"/>
      <w:marLeft w:val="0"/>
      <w:marRight w:val="0"/>
      <w:marTop w:val="0"/>
      <w:marBottom w:val="0"/>
      <w:divBdr>
        <w:top w:val="none" w:sz="0" w:space="0" w:color="auto"/>
        <w:left w:val="none" w:sz="0" w:space="0" w:color="auto"/>
        <w:bottom w:val="none" w:sz="0" w:space="0" w:color="auto"/>
        <w:right w:val="none" w:sz="0" w:space="0" w:color="auto"/>
      </w:divBdr>
    </w:div>
    <w:div w:id="591472813">
      <w:bodyDiv w:val="1"/>
      <w:marLeft w:val="0"/>
      <w:marRight w:val="0"/>
      <w:marTop w:val="0"/>
      <w:marBottom w:val="0"/>
      <w:divBdr>
        <w:top w:val="none" w:sz="0" w:space="0" w:color="auto"/>
        <w:left w:val="none" w:sz="0" w:space="0" w:color="auto"/>
        <w:bottom w:val="none" w:sz="0" w:space="0" w:color="auto"/>
        <w:right w:val="none" w:sz="0" w:space="0" w:color="auto"/>
      </w:divBdr>
    </w:div>
    <w:div w:id="599141877">
      <w:bodyDiv w:val="1"/>
      <w:marLeft w:val="0"/>
      <w:marRight w:val="0"/>
      <w:marTop w:val="0"/>
      <w:marBottom w:val="0"/>
      <w:divBdr>
        <w:top w:val="none" w:sz="0" w:space="0" w:color="auto"/>
        <w:left w:val="none" w:sz="0" w:space="0" w:color="auto"/>
        <w:bottom w:val="none" w:sz="0" w:space="0" w:color="auto"/>
        <w:right w:val="none" w:sz="0" w:space="0" w:color="auto"/>
      </w:divBdr>
    </w:div>
    <w:div w:id="601768669">
      <w:bodyDiv w:val="1"/>
      <w:marLeft w:val="0"/>
      <w:marRight w:val="0"/>
      <w:marTop w:val="0"/>
      <w:marBottom w:val="0"/>
      <w:divBdr>
        <w:top w:val="none" w:sz="0" w:space="0" w:color="auto"/>
        <w:left w:val="none" w:sz="0" w:space="0" w:color="auto"/>
        <w:bottom w:val="none" w:sz="0" w:space="0" w:color="auto"/>
        <w:right w:val="none" w:sz="0" w:space="0" w:color="auto"/>
      </w:divBdr>
    </w:div>
    <w:div w:id="608778097">
      <w:bodyDiv w:val="1"/>
      <w:marLeft w:val="0"/>
      <w:marRight w:val="0"/>
      <w:marTop w:val="0"/>
      <w:marBottom w:val="0"/>
      <w:divBdr>
        <w:top w:val="none" w:sz="0" w:space="0" w:color="auto"/>
        <w:left w:val="none" w:sz="0" w:space="0" w:color="auto"/>
        <w:bottom w:val="none" w:sz="0" w:space="0" w:color="auto"/>
        <w:right w:val="none" w:sz="0" w:space="0" w:color="auto"/>
      </w:divBdr>
    </w:div>
    <w:div w:id="634868863">
      <w:bodyDiv w:val="1"/>
      <w:marLeft w:val="0"/>
      <w:marRight w:val="0"/>
      <w:marTop w:val="0"/>
      <w:marBottom w:val="0"/>
      <w:divBdr>
        <w:top w:val="none" w:sz="0" w:space="0" w:color="auto"/>
        <w:left w:val="none" w:sz="0" w:space="0" w:color="auto"/>
        <w:bottom w:val="none" w:sz="0" w:space="0" w:color="auto"/>
        <w:right w:val="none" w:sz="0" w:space="0" w:color="auto"/>
      </w:divBdr>
    </w:div>
    <w:div w:id="636834341">
      <w:bodyDiv w:val="1"/>
      <w:marLeft w:val="0"/>
      <w:marRight w:val="0"/>
      <w:marTop w:val="0"/>
      <w:marBottom w:val="0"/>
      <w:divBdr>
        <w:top w:val="none" w:sz="0" w:space="0" w:color="auto"/>
        <w:left w:val="none" w:sz="0" w:space="0" w:color="auto"/>
        <w:bottom w:val="none" w:sz="0" w:space="0" w:color="auto"/>
        <w:right w:val="none" w:sz="0" w:space="0" w:color="auto"/>
      </w:divBdr>
    </w:div>
    <w:div w:id="641469041">
      <w:bodyDiv w:val="1"/>
      <w:marLeft w:val="0"/>
      <w:marRight w:val="0"/>
      <w:marTop w:val="0"/>
      <w:marBottom w:val="0"/>
      <w:divBdr>
        <w:top w:val="none" w:sz="0" w:space="0" w:color="auto"/>
        <w:left w:val="none" w:sz="0" w:space="0" w:color="auto"/>
        <w:bottom w:val="none" w:sz="0" w:space="0" w:color="auto"/>
        <w:right w:val="none" w:sz="0" w:space="0" w:color="auto"/>
      </w:divBdr>
    </w:div>
    <w:div w:id="647366438">
      <w:bodyDiv w:val="1"/>
      <w:marLeft w:val="0"/>
      <w:marRight w:val="0"/>
      <w:marTop w:val="0"/>
      <w:marBottom w:val="0"/>
      <w:divBdr>
        <w:top w:val="none" w:sz="0" w:space="0" w:color="auto"/>
        <w:left w:val="none" w:sz="0" w:space="0" w:color="auto"/>
        <w:bottom w:val="none" w:sz="0" w:space="0" w:color="auto"/>
        <w:right w:val="none" w:sz="0" w:space="0" w:color="auto"/>
      </w:divBdr>
    </w:div>
    <w:div w:id="651720413">
      <w:bodyDiv w:val="1"/>
      <w:marLeft w:val="0"/>
      <w:marRight w:val="0"/>
      <w:marTop w:val="0"/>
      <w:marBottom w:val="0"/>
      <w:divBdr>
        <w:top w:val="none" w:sz="0" w:space="0" w:color="auto"/>
        <w:left w:val="none" w:sz="0" w:space="0" w:color="auto"/>
        <w:bottom w:val="none" w:sz="0" w:space="0" w:color="auto"/>
        <w:right w:val="none" w:sz="0" w:space="0" w:color="auto"/>
      </w:divBdr>
    </w:div>
    <w:div w:id="668870480">
      <w:bodyDiv w:val="1"/>
      <w:marLeft w:val="0"/>
      <w:marRight w:val="0"/>
      <w:marTop w:val="0"/>
      <w:marBottom w:val="0"/>
      <w:divBdr>
        <w:top w:val="none" w:sz="0" w:space="0" w:color="auto"/>
        <w:left w:val="none" w:sz="0" w:space="0" w:color="auto"/>
        <w:bottom w:val="none" w:sz="0" w:space="0" w:color="auto"/>
        <w:right w:val="none" w:sz="0" w:space="0" w:color="auto"/>
      </w:divBdr>
    </w:div>
    <w:div w:id="680813137">
      <w:bodyDiv w:val="1"/>
      <w:marLeft w:val="0"/>
      <w:marRight w:val="0"/>
      <w:marTop w:val="0"/>
      <w:marBottom w:val="0"/>
      <w:divBdr>
        <w:top w:val="none" w:sz="0" w:space="0" w:color="auto"/>
        <w:left w:val="none" w:sz="0" w:space="0" w:color="auto"/>
        <w:bottom w:val="none" w:sz="0" w:space="0" w:color="auto"/>
        <w:right w:val="none" w:sz="0" w:space="0" w:color="auto"/>
      </w:divBdr>
    </w:div>
    <w:div w:id="694161066">
      <w:bodyDiv w:val="1"/>
      <w:marLeft w:val="0"/>
      <w:marRight w:val="0"/>
      <w:marTop w:val="0"/>
      <w:marBottom w:val="0"/>
      <w:divBdr>
        <w:top w:val="none" w:sz="0" w:space="0" w:color="auto"/>
        <w:left w:val="none" w:sz="0" w:space="0" w:color="auto"/>
        <w:bottom w:val="none" w:sz="0" w:space="0" w:color="auto"/>
        <w:right w:val="none" w:sz="0" w:space="0" w:color="auto"/>
      </w:divBdr>
    </w:div>
    <w:div w:id="713430272">
      <w:bodyDiv w:val="1"/>
      <w:marLeft w:val="0"/>
      <w:marRight w:val="0"/>
      <w:marTop w:val="0"/>
      <w:marBottom w:val="0"/>
      <w:divBdr>
        <w:top w:val="none" w:sz="0" w:space="0" w:color="auto"/>
        <w:left w:val="none" w:sz="0" w:space="0" w:color="auto"/>
        <w:bottom w:val="none" w:sz="0" w:space="0" w:color="auto"/>
        <w:right w:val="none" w:sz="0" w:space="0" w:color="auto"/>
      </w:divBdr>
      <w:divsChild>
        <w:div w:id="957491484">
          <w:marLeft w:val="547"/>
          <w:marRight w:val="0"/>
          <w:marTop w:val="0"/>
          <w:marBottom w:val="0"/>
          <w:divBdr>
            <w:top w:val="none" w:sz="0" w:space="0" w:color="auto"/>
            <w:left w:val="none" w:sz="0" w:space="0" w:color="auto"/>
            <w:bottom w:val="none" w:sz="0" w:space="0" w:color="auto"/>
            <w:right w:val="none" w:sz="0" w:space="0" w:color="auto"/>
          </w:divBdr>
        </w:div>
      </w:divsChild>
    </w:div>
    <w:div w:id="714695233">
      <w:bodyDiv w:val="1"/>
      <w:marLeft w:val="0"/>
      <w:marRight w:val="0"/>
      <w:marTop w:val="0"/>
      <w:marBottom w:val="0"/>
      <w:divBdr>
        <w:top w:val="none" w:sz="0" w:space="0" w:color="auto"/>
        <w:left w:val="none" w:sz="0" w:space="0" w:color="auto"/>
        <w:bottom w:val="none" w:sz="0" w:space="0" w:color="auto"/>
        <w:right w:val="none" w:sz="0" w:space="0" w:color="auto"/>
      </w:divBdr>
    </w:div>
    <w:div w:id="720909320">
      <w:bodyDiv w:val="1"/>
      <w:marLeft w:val="0"/>
      <w:marRight w:val="0"/>
      <w:marTop w:val="0"/>
      <w:marBottom w:val="0"/>
      <w:divBdr>
        <w:top w:val="none" w:sz="0" w:space="0" w:color="auto"/>
        <w:left w:val="none" w:sz="0" w:space="0" w:color="auto"/>
        <w:bottom w:val="none" w:sz="0" w:space="0" w:color="auto"/>
        <w:right w:val="none" w:sz="0" w:space="0" w:color="auto"/>
      </w:divBdr>
    </w:div>
    <w:div w:id="744033083">
      <w:bodyDiv w:val="1"/>
      <w:marLeft w:val="0"/>
      <w:marRight w:val="0"/>
      <w:marTop w:val="0"/>
      <w:marBottom w:val="0"/>
      <w:divBdr>
        <w:top w:val="none" w:sz="0" w:space="0" w:color="auto"/>
        <w:left w:val="none" w:sz="0" w:space="0" w:color="auto"/>
        <w:bottom w:val="none" w:sz="0" w:space="0" w:color="auto"/>
        <w:right w:val="none" w:sz="0" w:space="0" w:color="auto"/>
      </w:divBdr>
    </w:div>
    <w:div w:id="758218556">
      <w:bodyDiv w:val="1"/>
      <w:marLeft w:val="0"/>
      <w:marRight w:val="0"/>
      <w:marTop w:val="0"/>
      <w:marBottom w:val="0"/>
      <w:divBdr>
        <w:top w:val="none" w:sz="0" w:space="0" w:color="auto"/>
        <w:left w:val="none" w:sz="0" w:space="0" w:color="auto"/>
        <w:bottom w:val="none" w:sz="0" w:space="0" w:color="auto"/>
        <w:right w:val="none" w:sz="0" w:space="0" w:color="auto"/>
      </w:divBdr>
    </w:div>
    <w:div w:id="758795623">
      <w:bodyDiv w:val="1"/>
      <w:marLeft w:val="0"/>
      <w:marRight w:val="0"/>
      <w:marTop w:val="0"/>
      <w:marBottom w:val="0"/>
      <w:divBdr>
        <w:top w:val="none" w:sz="0" w:space="0" w:color="auto"/>
        <w:left w:val="none" w:sz="0" w:space="0" w:color="auto"/>
        <w:bottom w:val="none" w:sz="0" w:space="0" w:color="auto"/>
        <w:right w:val="none" w:sz="0" w:space="0" w:color="auto"/>
      </w:divBdr>
    </w:div>
    <w:div w:id="768240030">
      <w:bodyDiv w:val="1"/>
      <w:marLeft w:val="0"/>
      <w:marRight w:val="0"/>
      <w:marTop w:val="0"/>
      <w:marBottom w:val="0"/>
      <w:divBdr>
        <w:top w:val="none" w:sz="0" w:space="0" w:color="auto"/>
        <w:left w:val="none" w:sz="0" w:space="0" w:color="auto"/>
        <w:bottom w:val="none" w:sz="0" w:space="0" w:color="auto"/>
        <w:right w:val="none" w:sz="0" w:space="0" w:color="auto"/>
      </w:divBdr>
    </w:div>
    <w:div w:id="778448657">
      <w:bodyDiv w:val="1"/>
      <w:marLeft w:val="0"/>
      <w:marRight w:val="0"/>
      <w:marTop w:val="0"/>
      <w:marBottom w:val="0"/>
      <w:divBdr>
        <w:top w:val="none" w:sz="0" w:space="0" w:color="auto"/>
        <w:left w:val="none" w:sz="0" w:space="0" w:color="auto"/>
        <w:bottom w:val="none" w:sz="0" w:space="0" w:color="auto"/>
        <w:right w:val="none" w:sz="0" w:space="0" w:color="auto"/>
      </w:divBdr>
    </w:div>
    <w:div w:id="785389295">
      <w:bodyDiv w:val="1"/>
      <w:marLeft w:val="0"/>
      <w:marRight w:val="0"/>
      <w:marTop w:val="0"/>
      <w:marBottom w:val="0"/>
      <w:divBdr>
        <w:top w:val="none" w:sz="0" w:space="0" w:color="auto"/>
        <w:left w:val="none" w:sz="0" w:space="0" w:color="auto"/>
        <w:bottom w:val="none" w:sz="0" w:space="0" w:color="auto"/>
        <w:right w:val="none" w:sz="0" w:space="0" w:color="auto"/>
      </w:divBdr>
    </w:div>
    <w:div w:id="794374313">
      <w:bodyDiv w:val="1"/>
      <w:marLeft w:val="0"/>
      <w:marRight w:val="0"/>
      <w:marTop w:val="0"/>
      <w:marBottom w:val="0"/>
      <w:divBdr>
        <w:top w:val="none" w:sz="0" w:space="0" w:color="auto"/>
        <w:left w:val="none" w:sz="0" w:space="0" w:color="auto"/>
        <w:bottom w:val="none" w:sz="0" w:space="0" w:color="auto"/>
        <w:right w:val="none" w:sz="0" w:space="0" w:color="auto"/>
      </w:divBdr>
    </w:div>
    <w:div w:id="795567254">
      <w:bodyDiv w:val="1"/>
      <w:marLeft w:val="0"/>
      <w:marRight w:val="0"/>
      <w:marTop w:val="0"/>
      <w:marBottom w:val="0"/>
      <w:divBdr>
        <w:top w:val="none" w:sz="0" w:space="0" w:color="auto"/>
        <w:left w:val="none" w:sz="0" w:space="0" w:color="auto"/>
        <w:bottom w:val="none" w:sz="0" w:space="0" w:color="auto"/>
        <w:right w:val="none" w:sz="0" w:space="0" w:color="auto"/>
      </w:divBdr>
    </w:div>
    <w:div w:id="800346163">
      <w:bodyDiv w:val="1"/>
      <w:marLeft w:val="0"/>
      <w:marRight w:val="0"/>
      <w:marTop w:val="0"/>
      <w:marBottom w:val="0"/>
      <w:divBdr>
        <w:top w:val="none" w:sz="0" w:space="0" w:color="auto"/>
        <w:left w:val="none" w:sz="0" w:space="0" w:color="auto"/>
        <w:bottom w:val="none" w:sz="0" w:space="0" w:color="auto"/>
        <w:right w:val="none" w:sz="0" w:space="0" w:color="auto"/>
      </w:divBdr>
    </w:div>
    <w:div w:id="821002091">
      <w:bodyDiv w:val="1"/>
      <w:marLeft w:val="0"/>
      <w:marRight w:val="0"/>
      <w:marTop w:val="0"/>
      <w:marBottom w:val="0"/>
      <w:divBdr>
        <w:top w:val="none" w:sz="0" w:space="0" w:color="auto"/>
        <w:left w:val="none" w:sz="0" w:space="0" w:color="auto"/>
        <w:bottom w:val="none" w:sz="0" w:space="0" w:color="auto"/>
        <w:right w:val="none" w:sz="0" w:space="0" w:color="auto"/>
      </w:divBdr>
    </w:div>
    <w:div w:id="830752360">
      <w:bodyDiv w:val="1"/>
      <w:marLeft w:val="0"/>
      <w:marRight w:val="0"/>
      <w:marTop w:val="0"/>
      <w:marBottom w:val="0"/>
      <w:divBdr>
        <w:top w:val="none" w:sz="0" w:space="0" w:color="auto"/>
        <w:left w:val="none" w:sz="0" w:space="0" w:color="auto"/>
        <w:bottom w:val="none" w:sz="0" w:space="0" w:color="auto"/>
        <w:right w:val="none" w:sz="0" w:space="0" w:color="auto"/>
      </w:divBdr>
    </w:div>
    <w:div w:id="842428247">
      <w:bodyDiv w:val="1"/>
      <w:marLeft w:val="0"/>
      <w:marRight w:val="0"/>
      <w:marTop w:val="0"/>
      <w:marBottom w:val="0"/>
      <w:divBdr>
        <w:top w:val="none" w:sz="0" w:space="0" w:color="auto"/>
        <w:left w:val="none" w:sz="0" w:space="0" w:color="auto"/>
        <w:bottom w:val="none" w:sz="0" w:space="0" w:color="auto"/>
        <w:right w:val="none" w:sz="0" w:space="0" w:color="auto"/>
      </w:divBdr>
    </w:div>
    <w:div w:id="851919571">
      <w:bodyDiv w:val="1"/>
      <w:marLeft w:val="0"/>
      <w:marRight w:val="0"/>
      <w:marTop w:val="0"/>
      <w:marBottom w:val="0"/>
      <w:divBdr>
        <w:top w:val="none" w:sz="0" w:space="0" w:color="auto"/>
        <w:left w:val="none" w:sz="0" w:space="0" w:color="auto"/>
        <w:bottom w:val="none" w:sz="0" w:space="0" w:color="auto"/>
        <w:right w:val="none" w:sz="0" w:space="0" w:color="auto"/>
      </w:divBdr>
    </w:div>
    <w:div w:id="872041782">
      <w:bodyDiv w:val="1"/>
      <w:marLeft w:val="0"/>
      <w:marRight w:val="0"/>
      <w:marTop w:val="0"/>
      <w:marBottom w:val="0"/>
      <w:divBdr>
        <w:top w:val="none" w:sz="0" w:space="0" w:color="auto"/>
        <w:left w:val="none" w:sz="0" w:space="0" w:color="auto"/>
        <w:bottom w:val="none" w:sz="0" w:space="0" w:color="auto"/>
        <w:right w:val="none" w:sz="0" w:space="0" w:color="auto"/>
      </w:divBdr>
    </w:div>
    <w:div w:id="898594379">
      <w:bodyDiv w:val="1"/>
      <w:marLeft w:val="0"/>
      <w:marRight w:val="0"/>
      <w:marTop w:val="0"/>
      <w:marBottom w:val="0"/>
      <w:divBdr>
        <w:top w:val="none" w:sz="0" w:space="0" w:color="auto"/>
        <w:left w:val="none" w:sz="0" w:space="0" w:color="auto"/>
        <w:bottom w:val="none" w:sz="0" w:space="0" w:color="auto"/>
        <w:right w:val="none" w:sz="0" w:space="0" w:color="auto"/>
      </w:divBdr>
    </w:div>
    <w:div w:id="907375550">
      <w:bodyDiv w:val="1"/>
      <w:marLeft w:val="0"/>
      <w:marRight w:val="0"/>
      <w:marTop w:val="0"/>
      <w:marBottom w:val="0"/>
      <w:divBdr>
        <w:top w:val="none" w:sz="0" w:space="0" w:color="auto"/>
        <w:left w:val="none" w:sz="0" w:space="0" w:color="auto"/>
        <w:bottom w:val="none" w:sz="0" w:space="0" w:color="auto"/>
        <w:right w:val="none" w:sz="0" w:space="0" w:color="auto"/>
      </w:divBdr>
    </w:div>
    <w:div w:id="931400732">
      <w:bodyDiv w:val="1"/>
      <w:marLeft w:val="0"/>
      <w:marRight w:val="0"/>
      <w:marTop w:val="0"/>
      <w:marBottom w:val="0"/>
      <w:divBdr>
        <w:top w:val="none" w:sz="0" w:space="0" w:color="auto"/>
        <w:left w:val="none" w:sz="0" w:space="0" w:color="auto"/>
        <w:bottom w:val="none" w:sz="0" w:space="0" w:color="auto"/>
        <w:right w:val="none" w:sz="0" w:space="0" w:color="auto"/>
      </w:divBdr>
    </w:div>
    <w:div w:id="938561312">
      <w:bodyDiv w:val="1"/>
      <w:marLeft w:val="0"/>
      <w:marRight w:val="0"/>
      <w:marTop w:val="0"/>
      <w:marBottom w:val="0"/>
      <w:divBdr>
        <w:top w:val="none" w:sz="0" w:space="0" w:color="auto"/>
        <w:left w:val="none" w:sz="0" w:space="0" w:color="auto"/>
        <w:bottom w:val="none" w:sz="0" w:space="0" w:color="auto"/>
        <w:right w:val="none" w:sz="0" w:space="0" w:color="auto"/>
      </w:divBdr>
    </w:div>
    <w:div w:id="946619273">
      <w:bodyDiv w:val="1"/>
      <w:marLeft w:val="0"/>
      <w:marRight w:val="0"/>
      <w:marTop w:val="0"/>
      <w:marBottom w:val="0"/>
      <w:divBdr>
        <w:top w:val="none" w:sz="0" w:space="0" w:color="auto"/>
        <w:left w:val="none" w:sz="0" w:space="0" w:color="auto"/>
        <w:bottom w:val="none" w:sz="0" w:space="0" w:color="auto"/>
        <w:right w:val="none" w:sz="0" w:space="0" w:color="auto"/>
      </w:divBdr>
      <w:divsChild>
        <w:div w:id="998266721">
          <w:marLeft w:val="432"/>
          <w:marRight w:val="0"/>
          <w:marTop w:val="0"/>
          <w:marBottom w:val="0"/>
          <w:divBdr>
            <w:top w:val="none" w:sz="0" w:space="0" w:color="auto"/>
            <w:left w:val="none" w:sz="0" w:space="0" w:color="auto"/>
            <w:bottom w:val="none" w:sz="0" w:space="0" w:color="auto"/>
            <w:right w:val="none" w:sz="0" w:space="0" w:color="auto"/>
          </w:divBdr>
        </w:div>
      </w:divsChild>
    </w:div>
    <w:div w:id="946813189">
      <w:bodyDiv w:val="1"/>
      <w:marLeft w:val="0"/>
      <w:marRight w:val="0"/>
      <w:marTop w:val="0"/>
      <w:marBottom w:val="0"/>
      <w:divBdr>
        <w:top w:val="none" w:sz="0" w:space="0" w:color="auto"/>
        <w:left w:val="none" w:sz="0" w:space="0" w:color="auto"/>
        <w:bottom w:val="none" w:sz="0" w:space="0" w:color="auto"/>
        <w:right w:val="none" w:sz="0" w:space="0" w:color="auto"/>
      </w:divBdr>
    </w:div>
    <w:div w:id="950553846">
      <w:bodyDiv w:val="1"/>
      <w:marLeft w:val="0"/>
      <w:marRight w:val="0"/>
      <w:marTop w:val="0"/>
      <w:marBottom w:val="0"/>
      <w:divBdr>
        <w:top w:val="none" w:sz="0" w:space="0" w:color="auto"/>
        <w:left w:val="none" w:sz="0" w:space="0" w:color="auto"/>
        <w:bottom w:val="none" w:sz="0" w:space="0" w:color="auto"/>
        <w:right w:val="none" w:sz="0" w:space="0" w:color="auto"/>
      </w:divBdr>
    </w:div>
    <w:div w:id="951204225">
      <w:bodyDiv w:val="1"/>
      <w:marLeft w:val="0"/>
      <w:marRight w:val="0"/>
      <w:marTop w:val="0"/>
      <w:marBottom w:val="0"/>
      <w:divBdr>
        <w:top w:val="none" w:sz="0" w:space="0" w:color="auto"/>
        <w:left w:val="none" w:sz="0" w:space="0" w:color="auto"/>
        <w:bottom w:val="none" w:sz="0" w:space="0" w:color="auto"/>
        <w:right w:val="none" w:sz="0" w:space="0" w:color="auto"/>
      </w:divBdr>
      <w:divsChild>
        <w:div w:id="1581675279">
          <w:marLeft w:val="547"/>
          <w:marRight w:val="0"/>
          <w:marTop w:val="0"/>
          <w:marBottom w:val="0"/>
          <w:divBdr>
            <w:top w:val="none" w:sz="0" w:space="0" w:color="auto"/>
            <w:left w:val="none" w:sz="0" w:space="0" w:color="auto"/>
            <w:bottom w:val="none" w:sz="0" w:space="0" w:color="auto"/>
            <w:right w:val="none" w:sz="0" w:space="0" w:color="auto"/>
          </w:divBdr>
        </w:div>
      </w:divsChild>
    </w:div>
    <w:div w:id="951549583">
      <w:bodyDiv w:val="1"/>
      <w:marLeft w:val="0"/>
      <w:marRight w:val="0"/>
      <w:marTop w:val="0"/>
      <w:marBottom w:val="0"/>
      <w:divBdr>
        <w:top w:val="none" w:sz="0" w:space="0" w:color="auto"/>
        <w:left w:val="none" w:sz="0" w:space="0" w:color="auto"/>
        <w:bottom w:val="none" w:sz="0" w:space="0" w:color="auto"/>
        <w:right w:val="none" w:sz="0" w:space="0" w:color="auto"/>
      </w:divBdr>
    </w:div>
    <w:div w:id="963343026">
      <w:bodyDiv w:val="1"/>
      <w:marLeft w:val="0"/>
      <w:marRight w:val="0"/>
      <w:marTop w:val="0"/>
      <w:marBottom w:val="0"/>
      <w:divBdr>
        <w:top w:val="none" w:sz="0" w:space="0" w:color="auto"/>
        <w:left w:val="none" w:sz="0" w:space="0" w:color="auto"/>
        <w:bottom w:val="none" w:sz="0" w:space="0" w:color="auto"/>
        <w:right w:val="none" w:sz="0" w:space="0" w:color="auto"/>
      </w:divBdr>
    </w:div>
    <w:div w:id="978847842">
      <w:bodyDiv w:val="1"/>
      <w:marLeft w:val="0"/>
      <w:marRight w:val="0"/>
      <w:marTop w:val="0"/>
      <w:marBottom w:val="0"/>
      <w:divBdr>
        <w:top w:val="none" w:sz="0" w:space="0" w:color="auto"/>
        <w:left w:val="none" w:sz="0" w:space="0" w:color="auto"/>
        <w:bottom w:val="none" w:sz="0" w:space="0" w:color="auto"/>
        <w:right w:val="none" w:sz="0" w:space="0" w:color="auto"/>
      </w:divBdr>
    </w:div>
    <w:div w:id="987855695">
      <w:bodyDiv w:val="1"/>
      <w:marLeft w:val="0"/>
      <w:marRight w:val="0"/>
      <w:marTop w:val="0"/>
      <w:marBottom w:val="0"/>
      <w:divBdr>
        <w:top w:val="none" w:sz="0" w:space="0" w:color="auto"/>
        <w:left w:val="none" w:sz="0" w:space="0" w:color="auto"/>
        <w:bottom w:val="none" w:sz="0" w:space="0" w:color="auto"/>
        <w:right w:val="none" w:sz="0" w:space="0" w:color="auto"/>
      </w:divBdr>
    </w:div>
    <w:div w:id="996616189">
      <w:bodyDiv w:val="1"/>
      <w:marLeft w:val="0"/>
      <w:marRight w:val="0"/>
      <w:marTop w:val="0"/>
      <w:marBottom w:val="0"/>
      <w:divBdr>
        <w:top w:val="none" w:sz="0" w:space="0" w:color="auto"/>
        <w:left w:val="none" w:sz="0" w:space="0" w:color="auto"/>
        <w:bottom w:val="none" w:sz="0" w:space="0" w:color="auto"/>
        <w:right w:val="none" w:sz="0" w:space="0" w:color="auto"/>
      </w:divBdr>
    </w:div>
    <w:div w:id="1005746767">
      <w:bodyDiv w:val="1"/>
      <w:marLeft w:val="0"/>
      <w:marRight w:val="0"/>
      <w:marTop w:val="0"/>
      <w:marBottom w:val="0"/>
      <w:divBdr>
        <w:top w:val="none" w:sz="0" w:space="0" w:color="auto"/>
        <w:left w:val="none" w:sz="0" w:space="0" w:color="auto"/>
        <w:bottom w:val="none" w:sz="0" w:space="0" w:color="auto"/>
        <w:right w:val="none" w:sz="0" w:space="0" w:color="auto"/>
      </w:divBdr>
    </w:div>
    <w:div w:id="1013217571">
      <w:bodyDiv w:val="1"/>
      <w:marLeft w:val="0"/>
      <w:marRight w:val="0"/>
      <w:marTop w:val="0"/>
      <w:marBottom w:val="0"/>
      <w:divBdr>
        <w:top w:val="none" w:sz="0" w:space="0" w:color="auto"/>
        <w:left w:val="none" w:sz="0" w:space="0" w:color="auto"/>
        <w:bottom w:val="none" w:sz="0" w:space="0" w:color="auto"/>
        <w:right w:val="none" w:sz="0" w:space="0" w:color="auto"/>
      </w:divBdr>
      <w:divsChild>
        <w:div w:id="306787153">
          <w:marLeft w:val="547"/>
          <w:marRight w:val="0"/>
          <w:marTop w:val="0"/>
          <w:marBottom w:val="0"/>
          <w:divBdr>
            <w:top w:val="none" w:sz="0" w:space="0" w:color="auto"/>
            <w:left w:val="none" w:sz="0" w:space="0" w:color="auto"/>
            <w:bottom w:val="none" w:sz="0" w:space="0" w:color="auto"/>
            <w:right w:val="none" w:sz="0" w:space="0" w:color="auto"/>
          </w:divBdr>
        </w:div>
      </w:divsChild>
    </w:div>
    <w:div w:id="1017928593">
      <w:bodyDiv w:val="1"/>
      <w:marLeft w:val="0"/>
      <w:marRight w:val="0"/>
      <w:marTop w:val="0"/>
      <w:marBottom w:val="0"/>
      <w:divBdr>
        <w:top w:val="none" w:sz="0" w:space="0" w:color="auto"/>
        <w:left w:val="none" w:sz="0" w:space="0" w:color="auto"/>
        <w:bottom w:val="none" w:sz="0" w:space="0" w:color="auto"/>
        <w:right w:val="none" w:sz="0" w:space="0" w:color="auto"/>
      </w:divBdr>
    </w:div>
    <w:div w:id="1029598483">
      <w:bodyDiv w:val="1"/>
      <w:marLeft w:val="0"/>
      <w:marRight w:val="0"/>
      <w:marTop w:val="0"/>
      <w:marBottom w:val="0"/>
      <w:divBdr>
        <w:top w:val="none" w:sz="0" w:space="0" w:color="auto"/>
        <w:left w:val="none" w:sz="0" w:space="0" w:color="auto"/>
        <w:bottom w:val="none" w:sz="0" w:space="0" w:color="auto"/>
        <w:right w:val="none" w:sz="0" w:space="0" w:color="auto"/>
      </w:divBdr>
    </w:div>
    <w:div w:id="1042168672">
      <w:bodyDiv w:val="1"/>
      <w:marLeft w:val="0"/>
      <w:marRight w:val="0"/>
      <w:marTop w:val="0"/>
      <w:marBottom w:val="0"/>
      <w:divBdr>
        <w:top w:val="none" w:sz="0" w:space="0" w:color="auto"/>
        <w:left w:val="none" w:sz="0" w:space="0" w:color="auto"/>
        <w:bottom w:val="none" w:sz="0" w:space="0" w:color="auto"/>
        <w:right w:val="none" w:sz="0" w:space="0" w:color="auto"/>
      </w:divBdr>
    </w:div>
    <w:div w:id="1050348706">
      <w:bodyDiv w:val="1"/>
      <w:marLeft w:val="0"/>
      <w:marRight w:val="0"/>
      <w:marTop w:val="0"/>
      <w:marBottom w:val="0"/>
      <w:divBdr>
        <w:top w:val="none" w:sz="0" w:space="0" w:color="auto"/>
        <w:left w:val="none" w:sz="0" w:space="0" w:color="auto"/>
        <w:bottom w:val="none" w:sz="0" w:space="0" w:color="auto"/>
        <w:right w:val="none" w:sz="0" w:space="0" w:color="auto"/>
      </w:divBdr>
    </w:div>
    <w:div w:id="1058434074">
      <w:bodyDiv w:val="1"/>
      <w:marLeft w:val="0"/>
      <w:marRight w:val="0"/>
      <w:marTop w:val="0"/>
      <w:marBottom w:val="0"/>
      <w:divBdr>
        <w:top w:val="none" w:sz="0" w:space="0" w:color="auto"/>
        <w:left w:val="none" w:sz="0" w:space="0" w:color="auto"/>
        <w:bottom w:val="none" w:sz="0" w:space="0" w:color="auto"/>
        <w:right w:val="none" w:sz="0" w:space="0" w:color="auto"/>
      </w:divBdr>
    </w:div>
    <w:div w:id="1071394062">
      <w:bodyDiv w:val="1"/>
      <w:marLeft w:val="0"/>
      <w:marRight w:val="0"/>
      <w:marTop w:val="0"/>
      <w:marBottom w:val="0"/>
      <w:divBdr>
        <w:top w:val="none" w:sz="0" w:space="0" w:color="auto"/>
        <w:left w:val="none" w:sz="0" w:space="0" w:color="auto"/>
        <w:bottom w:val="none" w:sz="0" w:space="0" w:color="auto"/>
        <w:right w:val="none" w:sz="0" w:space="0" w:color="auto"/>
      </w:divBdr>
    </w:div>
    <w:div w:id="1082720810">
      <w:bodyDiv w:val="1"/>
      <w:marLeft w:val="0"/>
      <w:marRight w:val="0"/>
      <w:marTop w:val="0"/>
      <w:marBottom w:val="0"/>
      <w:divBdr>
        <w:top w:val="none" w:sz="0" w:space="0" w:color="auto"/>
        <w:left w:val="none" w:sz="0" w:space="0" w:color="auto"/>
        <w:bottom w:val="none" w:sz="0" w:space="0" w:color="auto"/>
        <w:right w:val="none" w:sz="0" w:space="0" w:color="auto"/>
      </w:divBdr>
    </w:div>
    <w:div w:id="1099178735">
      <w:bodyDiv w:val="1"/>
      <w:marLeft w:val="0"/>
      <w:marRight w:val="0"/>
      <w:marTop w:val="0"/>
      <w:marBottom w:val="0"/>
      <w:divBdr>
        <w:top w:val="none" w:sz="0" w:space="0" w:color="auto"/>
        <w:left w:val="none" w:sz="0" w:space="0" w:color="auto"/>
        <w:bottom w:val="none" w:sz="0" w:space="0" w:color="auto"/>
        <w:right w:val="none" w:sz="0" w:space="0" w:color="auto"/>
      </w:divBdr>
    </w:div>
    <w:div w:id="1100683119">
      <w:bodyDiv w:val="1"/>
      <w:marLeft w:val="0"/>
      <w:marRight w:val="0"/>
      <w:marTop w:val="0"/>
      <w:marBottom w:val="0"/>
      <w:divBdr>
        <w:top w:val="none" w:sz="0" w:space="0" w:color="auto"/>
        <w:left w:val="none" w:sz="0" w:space="0" w:color="auto"/>
        <w:bottom w:val="none" w:sz="0" w:space="0" w:color="auto"/>
        <w:right w:val="none" w:sz="0" w:space="0" w:color="auto"/>
      </w:divBdr>
    </w:div>
    <w:div w:id="1113670757">
      <w:bodyDiv w:val="1"/>
      <w:marLeft w:val="0"/>
      <w:marRight w:val="0"/>
      <w:marTop w:val="0"/>
      <w:marBottom w:val="0"/>
      <w:divBdr>
        <w:top w:val="none" w:sz="0" w:space="0" w:color="auto"/>
        <w:left w:val="none" w:sz="0" w:space="0" w:color="auto"/>
        <w:bottom w:val="none" w:sz="0" w:space="0" w:color="auto"/>
        <w:right w:val="none" w:sz="0" w:space="0" w:color="auto"/>
      </w:divBdr>
      <w:divsChild>
        <w:div w:id="308562434">
          <w:marLeft w:val="432"/>
          <w:marRight w:val="0"/>
          <w:marTop w:val="0"/>
          <w:marBottom w:val="0"/>
          <w:divBdr>
            <w:top w:val="none" w:sz="0" w:space="0" w:color="auto"/>
            <w:left w:val="none" w:sz="0" w:space="0" w:color="auto"/>
            <w:bottom w:val="none" w:sz="0" w:space="0" w:color="auto"/>
            <w:right w:val="none" w:sz="0" w:space="0" w:color="auto"/>
          </w:divBdr>
        </w:div>
      </w:divsChild>
    </w:div>
    <w:div w:id="1115369979">
      <w:bodyDiv w:val="1"/>
      <w:marLeft w:val="0"/>
      <w:marRight w:val="0"/>
      <w:marTop w:val="0"/>
      <w:marBottom w:val="0"/>
      <w:divBdr>
        <w:top w:val="none" w:sz="0" w:space="0" w:color="auto"/>
        <w:left w:val="none" w:sz="0" w:space="0" w:color="auto"/>
        <w:bottom w:val="none" w:sz="0" w:space="0" w:color="auto"/>
        <w:right w:val="none" w:sz="0" w:space="0" w:color="auto"/>
      </w:divBdr>
    </w:div>
    <w:div w:id="1121848475">
      <w:bodyDiv w:val="1"/>
      <w:marLeft w:val="0"/>
      <w:marRight w:val="0"/>
      <w:marTop w:val="0"/>
      <w:marBottom w:val="0"/>
      <w:divBdr>
        <w:top w:val="none" w:sz="0" w:space="0" w:color="auto"/>
        <w:left w:val="none" w:sz="0" w:space="0" w:color="auto"/>
        <w:bottom w:val="none" w:sz="0" w:space="0" w:color="auto"/>
        <w:right w:val="none" w:sz="0" w:space="0" w:color="auto"/>
      </w:divBdr>
    </w:div>
    <w:div w:id="1125081220">
      <w:bodyDiv w:val="1"/>
      <w:marLeft w:val="0"/>
      <w:marRight w:val="0"/>
      <w:marTop w:val="0"/>
      <w:marBottom w:val="0"/>
      <w:divBdr>
        <w:top w:val="none" w:sz="0" w:space="0" w:color="auto"/>
        <w:left w:val="none" w:sz="0" w:space="0" w:color="auto"/>
        <w:bottom w:val="none" w:sz="0" w:space="0" w:color="auto"/>
        <w:right w:val="none" w:sz="0" w:space="0" w:color="auto"/>
      </w:divBdr>
    </w:div>
    <w:div w:id="1141507863">
      <w:bodyDiv w:val="1"/>
      <w:marLeft w:val="0"/>
      <w:marRight w:val="0"/>
      <w:marTop w:val="0"/>
      <w:marBottom w:val="0"/>
      <w:divBdr>
        <w:top w:val="none" w:sz="0" w:space="0" w:color="auto"/>
        <w:left w:val="none" w:sz="0" w:space="0" w:color="auto"/>
        <w:bottom w:val="none" w:sz="0" w:space="0" w:color="auto"/>
        <w:right w:val="none" w:sz="0" w:space="0" w:color="auto"/>
      </w:divBdr>
    </w:div>
    <w:div w:id="1163819919">
      <w:bodyDiv w:val="1"/>
      <w:marLeft w:val="0"/>
      <w:marRight w:val="0"/>
      <w:marTop w:val="0"/>
      <w:marBottom w:val="0"/>
      <w:divBdr>
        <w:top w:val="none" w:sz="0" w:space="0" w:color="auto"/>
        <w:left w:val="none" w:sz="0" w:space="0" w:color="auto"/>
        <w:bottom w:val="none" w:sz="0" w:space="0" w:color="auto"/>
        <w:right w:val="none" w:sz="0" w:space="0" w:color="auto"/>
      </w:divBdr>
    </w:div>
    <w:div w:id="1175267603">
      <w:bodyDiv w:val="1"/>
      <w:marLeft w:val="0"/>
      <w:marRight w:val="0"/>
      <w:marTop w:val="0"/>
      <w:marBottom w:val="0"/>
      <w:divBdr>
        <w:top w:val="none" w:sz="0" w:space="0" w:color="auto"/>
        <w:left w:val="none" w:sz="0" w:space="0" w:color="auto"/>
        <w:bottom w:val="none" w:sz="0" w:space="0" w:color="auto"/>
        <w:right w:val="none" w:sz="0" w:space="0" w:color="auto"/>
      </w:divBdr>
    </w:div>
    <w:div w:id="1175420719">
      <w:bodyDiv w:val="1"/>
      <w:marLeft w:val="0"/>
      <w:marRight w:val="0"/>
      <w:marTop w:val="0"/>
      <w:marBottom w:val="0"/>
      <w:divBdr>
        <w:top w:val="none" w:sz="0" w:space="0" w:color="auto"/>
        <w:left w:val="none" w:sz="0" w:space="0" w:color="auto"/>
        <w:bottom w:val="none" w:sz="0" w:space="0" w:color="auto"/>
        <w:right w:val="none" w:sz="0" w:space="0" w:color="auto"/>
      </w:divBdr>
    </w:div>
    <w:div w:id="1181161873">
      <w:bodyDiv w:val="1"/>
      <w:marLeft w:val="0"/>
      <w:marRight w:val="0"/>
      <w:marTop w:val="0"/>
      <w:marBottom w:val="0"/>
      <w:divBdr>
        <w:top w:val="none" w:sz="0" w:space="0" w:color="auto"/>
        <w:left w:val="none" w:sz="0" w:space="0" w:color="auto"/>
        <w:bottom w:val="none" w:sz="0" w:space="0" w:color="auto"/>
        <w:right w:val="none" w:sz="0" w:space="0" w:color="auto"/>
      </w:divBdr>
    </w:div>
    <w:div w:id="1192382233">
      <w:bodyDiv w:val="1"/>
      <w:marLeft w:val="0"/>
      <w:marRight w:val="0"/>
      <w:marTop w:val="0"/>
      <w:marBottom w:val="0"/>
      <w:divBdr>
        <w:top w:val="none" w:sz="0" w:space="0" w:color="auto"/>
        <w:left w:val="none" w:sz="0" w:space="0" w:color="auto"/>
        <w:bottom w:val="none" w:sz="0" w:space="0" w:color="auto"/>
        <w:right w:val="none" w:sz="0" w:space="0" w:color="auto"/>
      </w:divBdr>
    </w:div>
    <w:div w:id="1198734089">
      <w:bodyDiv w:val="1"/>
      <w:marLeft w:val="0"/>
      <w:marRight w:val="0"/>
      <w:marTop w:val="0"/>
      <w:marBottom w:val="0"/>
      <w:divBdr>
        <w:top w:val="none" w:sz="0" w:space="0" w:color="auto"/>
        <w:left w:val="none" w:sz="0" w:space="0" w:color="auto"/>
        <w:bottom w:val="none" w:sz="0" w:space="0" w:color="auto"/>
        <w:right w:val="none" w:sz="0" w:space="0" w:color="auto"/>
      </w:divBdr>
    </w:div>
    <w:div w:id="1229455655">
      <w:bodyDiv w:val="1"/>
      <w:marLeft w:val="0"/>
      <w:marRight w:val="0"/>
      <w:marTop w:val="0"/>
      <w:marBottom w:val="0"/>
      <w:divBdr>
        <w:top w:val="none" w:sz="0" w:space="0" w:color="auto"/>
        <w:left w:val="none" w:sz="0" w:space="0" w:color="auto"/>
        <w:bottom w:val="none" w:sz="0" w:space="0" w:color="auto"/>
        <w:right w:val="none" w:sz="0" w:space="0" w:color="auto"/>
      </w:divBdr>
    </w:div>
    <w:div w:id="1231427589">
      <w:bodyDiv w:val="1"/>
      <w:marLeft w:val="0"/>
      <w:marRight w:val="0"/>
      <w:marTop w:val="0"/>
      <w:marBottom w:val="0"/>
      <w:divBdr>
        <w:top w:val="none" w:sz="0" w:space="0" w:color="auto"/>
        <w:left w:val="none" w:sz="0" w:space="0" w:color="auto"/>
        <w:bottom w:val="none" w:sz="0" w:space="0" w:color="auto"/>
        <w:right w:val="none" w:sz="0" w:space="0" w:color="auto"/>
      </w:divBdr>
    </w:div>
    <w:div w:id="1232276211">
      <w:bodyDiv w:val="1"/>
      <w:marLeft w:val="0"/>
      <w:marRight w:val="0"/>
      <w:marTop w:val="0"/>
      <w:marBottom w:val="0"/>
      <w:divBdr>
        <w:top w:val="none" w:sz="0" w:space="0" w:color="auto"/>
        <w:left w:val="none" w:sz="0" w:space="0" w:color="auto"/>
        <w:bottom w:val="none" w:sz="0" w:space="0" w:color="auto"/>
        <w:right w:val="none" w:sz="0" w:space="0" w:color="auto"/>
      </w:divBdr>
    </w:div>
    <w:div w:id="1297176043">
      <w:bodyDiv w:val="1"/>
      <w:marLeft w:val="0"/>
      <w:marRight w:val="0"/>
      <w:marTop w:val="0"/>
      <w:marBottom w:val="0"/>
      <w:divBdr>
        <w:top w:val="none" w:sz="0" w:space="0" w:color="auto"/>
        <w:left w:val="none" w:sz="0" w:space="0" w:color="auto"/>
        <w:bottom w:val="none" w:sz="0" w:space="0" w:color="auto"/>
        <w:right w:val="none" w:sz="0" w:space="0" w:color="auto"/>
      </w:divBdr>
    </w:div>
    <w:div w:id="1310018871">
      <w:bodyDiv w:val="1"/>
      <w:marLeft w:val="0"/>
      <w:marRight w:val="0"/>
      <w:marTop w:val="0"/>
      <w:marBottom w:val="0"/>
      <w:divBdr>
        <w:top w:val="none" w:sz="0" w:space="0" w:color="auto"/>
        <w:left w:val="none" w:sz="0" w:space="0" w:color="auto"/>
        <w:bottom w:val="none" w:sz="0" w:space="0" w:color="auto"/>
        <w:right w:val="none" w:sz="0" w:space="0" w:color="auto"/>
      </w:divBdr>
    </w:div>
    <w:div w:id="1325665293">
      <w:bodyDiv w:val="1"/>
      <w:marLeft w:val="0"/>
      <w:marRight w:val="0"/>
      <w:marTop w:val="0"/>
      <w:marBottom w:val="0"/>
      <w:divBdr>
        <w:top w:val="none" w:sz="0" w:space="0" w:color="auto"/>
        <w:left w:val="none" w:sz="0" w:space="0" w:color="auto"/>
        <w:bottom w:val="none" w:sz="0" w:space="0" w:color="auto"/>
        <w:right w:val="none" w:sz="0" w:space="0" w:color="auto"/>
      </w:divBdr>
    </w:div>
    <w:div w:id="1331563402">
      <w:bodyDiv w:val="1"/>
      <w:marLeft w:val="0"/>
      <w:marRight w:val="0"/>
      <w:marTop w:val="0"/>
      <w:marBottom w:val="0"/>
      <w:divBdr>
        <w:top w:val="none" w:sz="0" w:space="0" w:color="auto"/>
        <w:left w:val="none" w:sz="0" w:space="0" w:color="auto"/>
        <w:bottom w:val="none" w:sz="0" w:space="0" w:color="auto"/>
        <w:right w:val="none" w:sz="0" w:space="0" w:color="auto"/>
      </w:divBdr>
    </w:div>
    <w:div w:id="1337074300">
      <w:bodyDiv w:val="1"/>
      <w:marLeft w:val="0"/>
      <w:marRight w:val="0"/>
      <w:marTop w:val="0"/>
      <w:marBottom w:val="0"/>
      <w:divBdr>
        <w:top w:val="none" w:sz="0" w:space="0" w:color="auto"/>
        <w:left w:val="none" w:sz="0" w:space="0" w:color="auto"/>
        <w:bottom w:val="none" w:sz="0" w:space="0" w:color="auto"/>
        <w:right w:val="none" w:sz="0" w:space="0" w:color="auto"/>
      </w:divBdr>
    </w:div>
    <w:div w:id="1347713996">
      <w:bodyDiv w:val="1"/>
      <w:marLeft w:val="0"/>
      <w:marRight w:val="0"/>
      <w:marTop w:val="0"/>
      <w:marBottom w:val="0"/>
      <w:divBdr>
        <w:top w:val="none" w:sz="0" w:space="0" w:color="auto"/>
        <w:left w:val="none" w:sz="0" w:space="0" w:color="auto"/>
        <w:bottom w:val="none" w:sz="0" w:space="0" w:color="auto"/>
        <w:right w:val="none" w:sz="0" w:space="0" w:color="auto"/>
      </w:divBdr>
    </w:div>
    <w:div w:id="1354725940">
      <w:bodyDiv w:val="1"/>
      <w:marLeft w:val="0"/>
      <w:marRight w:val="0"/>
      <w:marTop w:val="0"/>
      <w:marBottom w:val="0"/>
      <w:divBdr>
        <w:top w:val="none" w:sz="0" w:space="0" w:color="auto"/>
        <w:left w:val="none" w:sz="0" w:space="0" w:color="auto"/>
        <w:bottom w:val="none" w:sz="0" w:space="0" w:color="auto"/>
        <w:right w:val="none" w:sz="0" w:space="0" w:color="auto"/>
      </w:divBdr>
    </w:div>
    <w:div w:id="1363940005">
      <w:bodyDiv w:val="1"/>
      <w:marLeft w:val="0"/>
      <w:marRight w:val="0"/>
      <w:marTop w:val="0"/>
      <w:marBottom w:val="0"/>
      <w:divBdr>
        <w:top w:val="none" w:sz="0" w:space="0" w:color="auto"/>
        <w:left w:val="none" w:sz="0" w:space="0" w:color="auto"/>
        <w:bottom w:val="none" w:sz="0" w:space="0" w:color="auto"/>
        <w:right w:val="none" w:sz="0" w:space="0" w:color="auto"/>
      </w:divBdr>
    </w:div>
    <w:div w:id="1375883232">
      <w:bodyDiv w:val="1"/>
      <w:marLeft w:val="0"/>
      <w:marRight w:val="0"/>
      <w:marTop w:val="0"/>
      <w:marBottom w:val="0"/>
      <w:divBdr>
        <w:top w:val="none" w:sz="0" w:space="0" w:color="auto"/>
        <w:left w:val="none" w:sz="0" w:space="0" w:color="auto"/>
        <w:bottom w:val="none" w:sz="0" w:space="0" w:color="auto"/>
        <w:right w:val="none" w:sz="0" w:space="0" w:color="auto"/>
      </w:divBdr>
    </w:div>
    <w:div w:id="1402174284">
      <w:bodyDiv w:val="1"/>
      <w:marLeft w:val="0"/>
      <w:marRight w:val="0"/>
      <w:marTop w:val="0"/>
      <w:marBottom w:val="0"/>
      <w:divBdr>
        <w:top w:val="none" w:sz="0" w:space="0" w:color="auto"/>
        <w:left w:val="none" w:sz="0" w:space="0" w:color="auto"/>
        <w:bottom w:val="none" w:sz="0" w:space="0" w:color="auto"/>
        <w:right w:val="none" w:sz="0" w:space="0" w:color="auto"/>
      </w:divBdr>
    </w:div>
    <w:div w:id="1404834362">
      <w:bodyDiv w:val="1"/>
      <w:marLeft w:val="0"/>
      <w:marRight w:val="0"/>
      <w:marTop w:val="0"/>
      <w:marBottom w:val="0"/>
      <w:divBdr>
        <w:top w:val="none" w:sz="0" w:space="0" w:color="auto"/>
        <w:left w:val="none" w:sz="0" w:space="0" w:color="auto"/>
        <w:bottom w:val="none" w:sz="0" w:space="0" w:color="auto"/>
        <w:right w:val="none" w:sz="0" w:space="0" w:color="auto"/>
      </w:divBdr>
      <w:divsChild>
        <w:div w:id="2130271149">
          <w:marLeft w:val="432"/>
          <w:marRight w:val="0"/>
          <w:marTop w:val="0"/>
          <w:marBottom w:val="0"/>
          <w:divBdr>
            <w:top w:val="none" w:sz="0" w:space="0" w:color="auto"/>
            <w:left w:val="none" w:sz="0" w:space="0" w:color="auto"/>
            <w:bottom w:val="none" w:sz="0" w:space="0" w:color="auto"/>
            <w:right w:val="none" w:sz="0" w:space="0" w:color="auto"/>
          </w:divBdr>
        </w:div>
        <w:div w:id="1112550128">
          <w:marLeft w:val="432"/>
          <w:marRight w:val="0"/>
          <w:marTop w:val="0"/>
          <w:marBottom w:val="0"/>
          <w:divBdr>
            <w:top w:val="none" w:sz="0" w:space="0" w:color="auto"/>
            <w:left w:val="none" w:sz="0" w:space="0" w:color="auto"/>
            <w:bottom w:val="none" w:sz="0" w:space="0" w:color="auto"/>
            <w:right w:val="none" w:sz="0" w:space="0" w:color="auto"/>
          </w:divBdr>
        </w:div>
      </w:divsChild>
    </w:div>
    <w:div w:id="1414279080">
      <w:bodyDiv w:val="1"/>
      <w:marLeft w:val="0"/>
      <w:marRight w:val="0"/>
      <w:marTop w:val="0"/>
      <w:marBottom w:val="0"/>
      <w:divBdr>
        <w:top w:val="none" w:sz="0" w:space="0" w:color="auto"/>
        <w:left w:val="none" w:sz="0" w:space="0" w:color="auto"/>
        <w:bottom w:val="none" w:sz="0" w:space="0" w:color="auto"/>
        <w:right w:val="none" w:sz="0" w:space="0" w:color="auto"/>
      </w:divBdr>
    </w:div>
    <w:div w:id="1416903902">
      <w:bodyDiv w:val="1"/>
      <w:marLeft w:val="0"/>
      <w:marRight w:val="0"/>
      <w:marTop w:val="0"/>
      <w:marBottom w:val="0"/>
      <w:divBdr>
        <w:top w:val="none" w:sz="0" w:space="0" w:color="auto"/>
        <w:left w:val="none" w:sz="0" w:space="0" w:color="auto"/>
        <w:bottom w:val="none" w:sz="0" w:space="0" w:color="auto"/>
        <w:right w:val="none" w:sz="0" w:space="0" w:color="auto"/>
      </w:divBdr>
    </w:div>
    <w:div w:id="1438938851">
      <w:bodyDiv w:val="1"/>
      <w:marLeft w:val="0"/>
      <w:marRight w:val="0"/>
      <w:marTop w:val="0"/>
      <w:marBottom w:val="0"/>
      <w:divBdr>
        <w:top w:val="none" w:sz="0" w:space="0" w:color="auto"/>
        <w:left w:val="none" w:sz="0" w:space="0" w:color="auto"/>
        <w:bottom w:val="none" w:sz="0" w:space="0" w:color="auto"/>
        <w:right w:val="none" w:sz="0" w:space="0" w:color="auto"/>
      </w:divBdr>
    </w:div>
    <w:div w:id="1440567925">
      <w:bodyDiv w:val="1"/>
      <w:marLeft w:val="0"/>
      <w:marRight w:val="0"/>
      <w:marTop w:val="0"/>
      <w:marBottom w:val="0"/>
      <w:divBdr>
        <w:top w:val="none" w:sz="0" w:space="0" w:color="auto"/>
        <w:left w:val="none" w:sz="0" w:space="0" w:color="auto"/>
        <w:bottom w:val="none" w:sz="0" w:space="0" w:color="auto"/>
        <w:right w:val="none" w:sz="0" w:space="0" w:color="auto"/>
      </w:divBdr>
    </w:div>
    <w:div w:id="1445729376">
      <w:bodyDiv w:val="1"/>
      <w:marLeft w:val="0"/>
      <w:marRight w:val="0"/>
      <w:marTop w:val="0"/>
      <w:marBottom w:val="0"/>
      <w:divBdr>
        <w:top w:val="none" w:sz="0" w:space="0" w:color="auto"/>
        <w:left w:val="none" w:sz="0" w:space="0" w:color="auto"/>
        <w:bottom w:val="none" w:sz="0" w:space="0" w:color="auto"/>
        <w:right w:val="none" w:sz="0" w:space="0" w:color="auto"/>
      </w:divBdr>
    </w:div>
    <w:div w:id="1480225307">
      <w:bodyDiv w:val="1"/>
      <w:marLeft w:val="0"/>
      <w:marRight w:val="0"/>
      <w:marTop w:val="0"/>
      <w:marBottom w:val="0"/>
      <w:divBdr>
        <w:top w:val="none" w:sz="0" w:space="0" w:color="auto"/>
        <w:left w:val="none" w:sz="0" w:space="0" w:color="auto"/>
        <w:bottom w:val="none" w:sz="0" w:space="0" w:color="auto"/>
        <w:right w:val="none" w:sz="0" w:space="0" w:color="auto"/>
      </w:divBdr>
    </w:div>
    <w:div w:id="1490828329">
      <w:bodyDiv w:val="1"/>
      <w:marLeft w:val="0"/>
      <w:marRight w:val="0"/>
      <w:marTop w:val="0"/>
      <w:marBottom w:val="0"/>
      <w:divBdr>
        <w:top w:val="none" w:sz="0" w:space="0" w:color="auto"/>
        <w:left w:val="none" w:sz="0" w:space="0" w:color="auto"/>
        <w:bottom w:val="none" w:sz="0" w:space="0" w:color="auto"/>
        <w:right w:val="none" w:sz="0" w:space="0" w:color="auto"/>
      </w:divBdr>
    </w:div>
    <w:div w:id="1516504028">
      <w:bodyDiv w:val="1"/>
      <w:marLeft w:val="0"/>
      <w:marRight w:val="0"/>
      <w:marTop w:val="0"/>
      <w:marBottom w:val="0"/>
      <w:divBdr>
        <w:top w:val="none" w:sz="0" w:space="0" w:color="auto"/>
        <w:left w:val="none" w:sz="0" w:space="0" w:color="auto"/>
        <w:bottom w:val="none" w:sz="0" w:space="0" w:color="auto"/>
        <w:right w:val="none" w:sz="0" w:space="0" w:color="auto"/>
      </w:divBdr>
    </w:div>
    <w:div w:id="1519350234">
      <w:bodyDiv w:val="1"/>
      <w:marLeft w:val="0"/>
      <w:marRight w:val="0"/>
      <w:marTop w:val="0"/>
      <w:marBottom w:val="0"/>
      <w:divBdr>
        <w:top w:val="none" w:sz="0" w:space="0" w:color="auto"/>
        <w:left w:val="none" w:sz="0" w:space="0" w:color="auto"/>
        <w:bottom w:val="none" w:sz="0" w:space="0" w:color="auto"/>
        <w:right w:val="none" w:sz="0" w:space="0" w:color="auto"/>
      </w:divBdr>
    </w:div>
    <w:div w:id="1521816318">
      <w:bodyDiv w:val="1"/>
      <w:marLeft w:val="0"/>
      <w:marRight w:val="0"/>
      <w:marTop w:val="0"/>
      <w:marBottom w:val="0"/>
      <w:divBdr>
        <w:top w:val="none" w:sz="0" w:space="0" w:color="auto"/>
        <w:left w:val="none" w:sz="0" w:space="0" w:color="auto"/>
        <w:bottom w:val="none" w:sz="0" w:space="0" w:color="auto"/>
        <w:right w:val="none" w:sz="0" w:space="0" w:color="auto"/>
      </w:divBdr>
    </w:div>
    <w:div w:id="1525627422">
      <w:bodyDiv w:val="1"/>
      <w:marLeft w:val="0"/>
      <w:marRight w:val="0"/>
      <w:marTop w:val="0"/>
      <w:marBottom w:val="0"/>
      <w:divBdr>
        <w:top w:val="none" w:sz="0" w:space="0" w:color="auto"/>
        <w:left w:val="none" w:sz="0" w:space="0" w:color="auto"/>
        <w:bottom w:val="none" w:sz="0" w:space="0" w:color="auto"/>
        <w:right w:val="none" w:sz="0" w:space="0" w:color="auto"/>
      </w:divBdr>
    </w:div>
    <w:div w:id="1556115671">
      <w:bodyDiv w:val="1"/>
      <w:marLeft w:val="0"/>
      <w:marRight w:val="0"/>
      <w:marTop w:val="0"/>
      <w:marBottom w:val="0"/>
      <w:divBdr>
        <w:top w:val="none" w:sz="0" w:space="0" w:color="auto"/>
        <w:left w:val="none" w:sz="0" w:space="0" w:color="auto"/>
        <w:bottom w:val="none" w:sz="0" w:space="0" w:color="auto"/>
        <w:right w:val="none" w:sz="0" w:space="0" w:color="auto"/>
      </w:divBdr>
      <w:divsChild>
        <w:div w:id="1441871594">
          <w:marLeft w:val="432"/>
          <w:marRight w:val="0"/>
          <w:marTop w:val="0"/>
          <w:marBottom w:val="0"/>
          <w:divBdr>
            <w:top w:val="none" w:sz="0" w:space="0" w:color="auto"/>
            <w:left w:val="none" w:sz="0" w:space="0" w:color="auto"/>
            <w:bottom w:val="none" w:sz="0" w:space="0" w:color="auto"/>
            <w:right w:val="none" w:sz="0" w:space="0" w:color="auto"/>
          </w:divBdr>
        </w:div>
        <w:div w:id="1223053549">
          <w:marLeft w:val="432"/>
          <w:marRight w:val="0"/>
          <w:marTop w:val="0"/>
          <w:marBottom w:val="0"/>
          <w:divBdr>
            <w:top w:val="none" w:sz="0" w:space="0" w:color="auto"/>
            <w:left w:val="none" w:sz="0" w:space="0" w:color="auto"/>
            <w:bottom w:val="none" w:sz="0" w:space="0" w:color="auto"/>
            <w:right w:val="none" w:sz="0" w:space="0" w:color="auto"/>
          </w:divBdr>
        </w:div>
        <w:div w:id="988284954">
          <w:marLeft w:val="432"/>
          <w:marRight w:val="0"/>
          <w:marTop w:val="0"/>
          <w:marBottom w:val="0"/>
          <w:divBdr>
            <w:top w:val="none" w:sz="0" w:space="0" w:color="auto"/>
            <w:left w:val="none" w:sz="0" w:space="0" w:color="auto"/>
            <w:bottom w:val="none" w:sz="0" w:space="0" w:color="auto"/>
            <w:right w:val="none" w:sz="0" w:space="0" w:color="auto"/>
          </w:divBdr>
        </w:div>
      </w:divsChild>
    </w:div>
    <w:div w:id="1584604614">
      <w:bodyDiv w:val="1"/>
      <w:marLeft w:val="0"/>
      <w:marRight w:val="0"/>
      <w:marTop w:val="0"/>
      <w:marBottom w:val="0"/>
      <w:divBdr>
        <w:top w:val="none" w:sz="0" w:space="0" w:color="auto"/>
        <w:left w:val="none" w:sz="0" w:space="0" w:color="auto"/>
        <w:bottom w:val="none" w:sz="0" w:space="0" w:color="auto"/>
        <w:right w:val="none" w:sz="0" w:space="0" w:color="auto"/>
      </w:divBdr>
    </w:div>
    <w:div w:id="1597052192">
      <w:bodyDiv w:val="1"/>
      <w:marLeft w:val="0"/>
      <w:marRight w:val="0"/>
      <w:marTop w:val="0"/>
      <w:marBottom w:val="0"/>
      <w:divBdr>
        <w:top w:val="none" w:sz="0" w:space="0" w:color="auto"/>
        <w:left w:val="none" w:sz="0" w:space="0" w:color="auto"/>
        <w:bottom w:val="none" w:sz="0" w:space="0" w:color="auto"/>
        <w:right w:val="none" w:sz="0" w:space="0" w:color="auto"/>
      </w:divBdr>
    </w:div>
    <w:div w:id="1603955900">
      <w:bodyDiv w:val="1"/>
      <w:marLeft w:val="0"/>
      <w:marRight w:val="0"/>
      <w:marTop w:val="0"/>
      <w:marBottom w:val="0"/>
      <w:divBdr>
        <w:top w:val="none" w:sz="0" w:space="0" w:color="auto"/>
        <w:left w:val="none" w:sz="0" w:space="0" w:color="auto"/>
        <w:bottom w:val="none" w:sz="0" w:space="0" w:color="auto"/>
        <w:right w:val="none" w:sz="0" w:space="0" w:color="auto"/>
      </w:divBdr>
    </w:div>
    <w:div w:id="1608393740">
      <w:bodyDiv w:val="1"/>
      <w:marLeft w:val="0"/>
      <w:marRight w:val="0"/>
      <w:marTop w:val="0"/>
      <w:marBottom w:val="0"/>
      <w:divBdr>
        <w:top w:val="none" w:sz="0" w:space="0" w:color="auto"/>
        <w:left w:val="none" w:sz="0" w:space="0" w:color="auto"/>
        <w:bottom w:val="none" w:sz="0" w:space="0" w:color="auto"/>
        <w:right w:val="none" w:sz="0" w:space="0" w:color="auto"/>
      </w:divBdr>
    </w:div>
    <w:div w:id="1609578059">
      <w:bodyDiv w:val="1"/>
      <w:marLeft w:val="0"/>
      <w:marRight w:val="0"/>
      <w:marTop w:val="0"/>
      <w:marBottom w:val="0"/>
      <w:divBdr>
        <w:top w:val="none" w:sz="0" w:space="0" w:color="auto"/>
        <w:left w:val="none" w:sz="0" w:space="0" w:color="auto"/>
        <w:bottom w:val="none" w:sz="0" w:space="0" w:color="auto"/>
        <w:right w:val="none" w:sz="0" w:space="0" w:color="auto"/>
      </w:divBdr>
    </w:div>
    <w:div w:id="1615281855">
      <w:bodyDiv w:val="1"/>
      <w:marLeft w:val="0"/>
      <w:marRight w:val="0"/>
      <w:marTop w:val="0"/>
      <w:marBottom w:val="0"/>
      <w:divBdr>
        <w:top w:val="none" w:sz="0" w:space="0" w:color="auto"/>
        <w:left w:val="none" w:sz="0" w:space="0" w:color="auto"/>
        <w:bottom w:val="none" w:sz="0" w:space="0" w:color="auto"/>
        <w:right w:val="none" w:sz="0" w:space="0" w:color="auto"/>
      </w:divBdr>
    </w:div>
    <w:div w:id="1623728349">
      <w:bodyDiv w:val="1"/>
      <w:marLeft w:val="0"/>
      <w:marRight w:val="0"/>
      <w:marTop w:val="0"/>
      <w:marBottom w:val="0"/>
      <w:divBdr>
        <w:top w:val="none" w:sz="0" w:space="0" w:color="auto"/>
        <w:left w:val="none" w:sz="0" w:space="0" w:color="auto"/>
        <w:bottom w:val="none" w:sz="0" w:space="0" w:color="auto"/>
        <w:right w:val="none" w:sz="0" w:space="0" w:color="auto"/>
      </w:divBdr>
    </w:div>
    <w:div w:id="1649552012">
      <w:bodyDiv w:val="1"/>
      <w:marLeft w:val="0"/>
      <w:marRight w:val="0"/>
      <w:marTop w:val="0"/>
      <w:marBottom w:val="0"/>
      <w:divBdr>
        <w:top w:val="none" w:sz="0" w:space="0" w:color="auto"/>
        <w:left w:val="none" w:sz="0" w:space="0" w:color="auto"/>
        <w:bottom w:val="none" w:sz="0" w:space="0" w:color="auto"/>
        <w:right w:val="none" w:sz="0" w:space="0" w:color="auto"/>
      </w:divBdr>
    </w:div>
    <w:div w:id="1662346375">
      <w:bodyDiv w:val="1"/>
      <w:marLeft w:val="0"/>
      <w:marRight w:val="0"/>
      <w:marTop w:val="0"/>
      <w:marBottom w:val="0"/>
      <w:divBdr>
        <w:top w:val="none" w:sz="0" w:space="0" w:color="auto"/>
        <w:left w:val="none" w:sz="0" w:space="0" w:color="auto"/>
        <w:bottom w:val="none" w:sz="0" w:space="0" w:color="auto"/>
        <w:right w:val="none" w:sz="0" w:space="0" w:color="auto"/>
      </w:divBdr>
    </w:div>
    <w:div w:id="1667712170">
      <w:bodyDiv w:val="1"/>
      <w:marLeft w:val="0"/>
      <w:marRight w:val="0"/>
      <w:marTop w:val="0"/>
      <w:marBottom w:val="0"/>
      <w:divBdr>
        <w:top w:val="none" w:sz="0" w:space="0" w:color="auto"/>
        <w:left w:val="none" w:sz="0" w:space="0" w:color="auto"/>
        <w:bottom w:val="none" w:sz="0" w:space="0" w:color="auto"/>
        <w:right w:val="none" w:sz="0" w:space="0" w:color="auto"/>
      </w:divBdr>
    </w:div>
    <w:div w:id="1668359753">
      <w:bodyDiv w:val="1"/>
      <w:marLeft w:val="0"/>
      <w:marRight w:val="0"/>
      <w:marTop w:val="0"/>
      <w:marBottom w:val="0"/>
      <w:divBdr>
        <w:top w:val="none" w:sz="0" w:space="0" w:color="auto"/>
        <w:left w:val="none" w:sz="0" w:space="0" w:color="auto"/>
        <w:bottom w:val="none" w:sz="0" w:space="0" w:color="auto"/>
        <w:right w:val="none" w:sz="0" w:space="0" w:color="auto"/>
      </w:divBdr>
    </w:div>
    <w:div w:id="1670982304">
      <w:bodyDiv w:val="1"/>
      <w:marLeft w:val="0"/>
      <w:marRight w:val="0"/>
      <w:marTop w:val="0"/>
      <w:marBottom w:val="0"/>
      <w:divBdr>
        <w:top w:val="none" w:sz="0" w:space="0" w:color="auto"/>
        <w:left w:val="none" w:sz="0" w:space="0" w:color="auto"/>
        <w:bottom w:val="none" w:sz="0" w:space="0" w:color="auto"/>
        <w:right w:val="none" w:sz="0" w:space="0" w:color="auto"/>
      </w:divBdr>
    </w:div>
    <w:div w:id="1676565502">
      <w:bodyDiv w:val="1"/>
      <w:marLeft w:val="0"/>
      <w:marRight w:val="0"/>
      <w:marTop w:val="0"/>
      <w:marBottom w:val="0"/>
      <w:divBdr>
        <w:top w:val="none" w:sz="0" w:space="0" w:color="auto"/>
        <w:left w:val="none" w:sz="0" w:space="0" w:color="auto"/>
        <w:bottom w:val="none" w:sz="0" w:space="0" w:color="auto"/>
        <w:right w:val="none" w:sz="0" w:space="0" w:color="auto"/>
      </w:divBdr>
    </w:div>
    <w:div w:id="1678387035">
      <w:bodyDiv w:val="1"/>
      <w:marLeft w:val="0"/>
      <w:marRight w:val="0"/>
      <w:marTop w:val="0"/>
      <w:marBottom w:val="0"/>
      <w:divBdr>
        <w:top w:val="none" w:sz="0" w:space="0" w:color="auto"/>
        <w:left w:val="none" w:sz="0" w:space="0" w:color="auto"/>
        <w:bottom w:val="none" w:sz="0" w:space="0" w:color="auto"/>
        <w:right w:val="none" w:sz="0" w:space="0" w:color="auto"/>
      </w:divBdr>
    </w:div>
    <w:div w:id="1690377101">
      <w:bodyDiv w:val="1"/>
      <w:marLeft w:val="0"/>
      <w:marRight w:val="0"/>
      <w:marTop w:val="0"/>
      <w:marBottom w:val="0"/>
      <w:divBdr>
        <w:top w:val="none" w:sz="0" w:space="0" w:color="auto"/>
        <w:left w:val="none" w:sz="0" w:space="0" w:color="auto"/>
        <w:bottom w:val="none" w:sz="0" w:space="0" w:color="auto"/>
        <w:right w:val="none" w:sz="0" w:space="0" w:color="auto"/>
      </w:divBdr>
    </w:div>
    <w:div w:id="1692368299">
      <w:bodyDiv w:val="1"/>
      <w:marLeft w:val="0"/>
      <w:marRight w:val="0"/>
      <w:marTop w:val="0"/>
      <w:marBottom w:val="0"/>
      <w:divBdr>
        <w:top w:val="none" w:sz="0" w:space="0" w:color="auto"/>
        <w:left w:val="none" w:sz="0" w:space="0" w:color="auto"/>
        <w:bottom w:val="none" w:sz="0" w:space="0" w:color="auto"/>
        <w:right w:val="none" w:sz="0" w:space="0" w:color="auto"/>
      </w:divBdr>
      <w:divsChild>
        <w:div w:id="1927299866">
          <w:marLeft w:val="547"/>
          <w:marRight w:val="0"/>
          <w:marTop w:val="0"/>
          <w:marBottom w:val="0"/>
          <w:divBdr>
            <w:top w:val="none" w:sz="0" w:space="0" w:color="auto"/>
            <w:left w:val="none" w:sz="0" w:space="0" w:color="auto"/>
            <w:bottom w:val="none" w:sz="0" w:space="0" w:color="auto"/>
            <w:right w:val="none" w:sz="0" w:space="0" w:color="auto"/>
          </w:divBdr>
        </w:div>
      </w:divsChild>
    </w:div>
    <w:div w:id="1715495988">
      <w:bodyDiv w:val="1"/>
      <w:marLeft w:val="0"/>
      <w:marRight w:val="0"/>
      <w:marTop w:val="0"/>
      <w:marBottom w:val="0"/>
      <w:divBdr>
        <w:top w:val="none" w:sz="0" w:space="0" w:color="auto"/>
        <w:left w:val="none" w:sz="0" w:space="0" w:color="auto"/>
        <w:bottom w:val="none" w:sz="0" w:space="0" w:color="auto"/>
        <w:right w:val="none" w:sz="0" w:space="0" w:color="auto"/>
      </w:divBdr>
    </w:div>
    <w:div w:id="1755976975">
      <w:bodyDiv w:val="1"/>
      <w:marLeft w:val="0"/>
      <w:marRight w:val="0"/>
      <w:marTop w:val="0"/>
      <w:marBottom w:val="0"/>
      <w:divBdr>
        <w:top w:val="none" w:sz="0" w:space="0" w:color="auto"/>
        <w:left w:val="none" w:sz="0" w:space="0" w:color="auto"/>
        <w:bottom w:val="none" w:sz="0" w:space="0" w:color="auto"/>
        <w:right w:val="none" w:sz="0" w:space="0" w:color="auto"/>
      </w:divBdr>
    </w:div>
    <w:div w:id="1759674080">
      <w:bodyDiv w:val="1"/>
      <w:marLeft w:val="0"/>
      <w:marRight w:val="0"/>
      <w:marTop w:val="0"/>
      <w:marBottom w:val="0"/>
      <w:divBdr>
        <w:top w:val="none" w:sz="0" w:space="0" w:color="auto"/>
        <w:left w:val="none" w:sz="0" w:space="0" w:color="auto"/>
        <w:bottom w:val="none" w:sz="0" w:space="0" w:color="auto"/>
        <w:right w:val="none" w:sz="0" w:space="0" w:color="auto"/>
      </w:divBdr>
    </w:div>
    <w:div w:id="1768190344">
      <w:bodyDiv w:val="1"/>
      <w:marLeft w:val="0"/>
      <w:marRight w:val="0"/>
      <w:marTop w:val="0"/>
      <w:marBottom w:val="0"/>
      <w:divBdr>
        <w:top w:val="none" w:sz="0" w:space="0" w:color="auto"/>
        <w:left w:val="none" w:sz="0" w:space="0" w:color="auto"/>
        <w:bottom w:val="none" w:sz="0" w:space="0" w:color="auto"/>
        <w:right w:val="none" w:sz="0" w:space="0" w:color="auto"/>
      </w:divBdr>
    </w:div>
    <w:div w:id="1786390381">
      <w:bodyDiv w:val="1"/>
      <w:marLeft w:val="0"/>
      <w:marRight w:val="0"/>
      <w:marTop w:val="0"/>
      <w:marBottom w:val="0"/>
      <w:divBdr>
        <w:top w:val="none" w:sz="0" w:space="0" w:color="auto"/>
        <w:left w:val="none" w:sz="0" w:space="0" w:color="auto"/>
        <w:bottom w:val="none" w:sz="0" w:space="0" w:color="auto"/>
        <w:right w:val="none" w:sz="0" w:space="0" w:color="auto"/>
      </w:divBdr>
    </w:div>
    <w:div w:id="1791704552">
      <w:bodyDiv w:val="1"/>
      <w:marLeft w:val="0"/>
      <w:marRight w:val="0"/>
      <w:marTop w:val="0"/>
      <w:marBottom w:val="0"/>
      <w:divBdr>
        <w:top w:val="none" w:sz="0" w:space="0" w:color="auto"/>
        <w:left w:val="none" w:sz="0" w:space="0" w:color="auto"/>
        <w:bottom w:val="none" w:sz="0" w:space="0" w:color="auto"/>
        <w:right w:val="none" w:sz="0" w:space="0" w:color="auto"/>
      </w:divBdr>
    </w:div>
    <w:div w:id="1808349742">
      <w:bodyDiv w:val="1"/>
      <w:marLeft w:val="0"/>
      <w:marRight w:val="0"/>
      <w:marTop w:val="0"/>
      <w:marBottom w:val="0"/>
      <w:divBdr>
        <w:top w:val="none" w:sz="0" w:space="0" w:color="auto"/>
        <w:left w:val="none" w:sz="0" w:space="0" w:color="auto"/>
        <w:bottom w:val="none" w:sz="0" w:space="0" w:color="auto"/>
        <w:right w:val="none" w:sz="0" w:space="0" w:color="auto"/>
      </w:divBdr>
    </w:div>
    <w:div w:id="1819758234">
      <w:bodyDiv w:val="1"/>
      <w:marLeft w:val="0"/>
      <w:marRight w:val="0"/>
      <w:marTop w:val="0"/>
      <w:marBottom w:val="0"/>
      <w:divBdr>
        <w:top w:val="none" w:sz="0" w:space="0" w:color="auto"/>
        <w:left w:val="none" w:sz="0" w:space="0" w:color="auto"/>
        <w:bottom w:val="none" w:sz="0" w:space="0" w:color="auto"/>
        <w:right w:val="none" w:sz="0" w:space="0" w:color="auto"/>
      </w:divBdr>
    </w:div>
    <w:div w:id="1843741140">
      <w:bodyDiv w:val="1"/>
      <w:marLeft w:val="0"/>
      <w:marRight w:val="0"/>
      <w:marTop w:val="0"/>
      <w:marBottom w:val="0"/>
      <w:divBdr>
        <w:top w:val="none" w:sz="0" w:space="0" w:color="auto"/>
        <w:left w:val="none" w:sz="0" w:space="0" w:color="auto"/>
        <w:bottom w:val="none" w:sz="0" w:space="0" w:color="auto"/>
        <w:right w:val="none" w:sz="0" w:space="0" w:color="auto"/>
      </w:divBdr>
    </w:div>
    <w:div w:id="1843931711">
      <w:bodyDiv w:val="1"/>
      <w:marLeft w:val="0"/>
      <w:marRight w:val="0"/>
      <w:marTop w:val="0"/>
      <w:marBottom w:val="0"/>
      <w:divBdr>
        <w:top w:val="none" w:sz="0" w:space="0" w:color="auto"/>
        <w:left w:val="none" w:sz="0" w:space="0" w:color="auto"/>
        <w:bottom w:val="none" w:sz="0" w:space="0" w:color="auto"/>
        <w:right w:val="none" w:sz="0" w:space="0" w:color="auto"/>
      </w:divBdr>
    </w:div>
    <w:div w:id="1846819735">
      <w:bodyDiv w:val="1"/>
      <w:marLeft w:val="0"/>
      <w:marRight w:val="0"/>
      <w:marTop w:val="0"/>
      <w:marBottom w:val="0"/>
      <w:divBdr>
        <w:top w:val="none" w:sz="0" w:space="0" w:color="auto"/>
        <w:left w:val="none" w:sz="0" w:space="0" w:color="auto"/>
        <w:bottom w:val="none" w:sz="0" w:space="0" w:color="auto"/>
        <w:right w:val="none" w:sz="0" w:space="0" w:color="auto"/>
      </w:divBdr>
    </w:div>
    <w:div w:id="1853180081">
      <w:bodyDiv w:val="1"/>
      <w:marLeft w:val="0"/>
      <w:marRight w:val="0"/>
      <w:marTop w:val="0"/>
      <w:marBottom w:val="0"/>
      <w:divBdr>
        <w:top w:val="none" w:sz="0" w:space="0" w:color="auto"/>
        <w:left w:val="none" w:sz="0" w:space="0" w:color="auto"/>
        <w:bottom w:val="none" w:sz="0" w:space="0" w:color="auto"/>
        <w:right w:val="none" w:sz="0" w:space="0" w:color="auto"/>
      </w:divBdr>
      <w:divsChild>
        <w:div w:id="1500535450">
          <w:marLeft w:val="547"/>
          <w:marRight w:val="0"/>
          <w:marTop w:val="0"/>
          <w:marBottom w:val="0"/>
          <w:divBdr>
            <w:top w:val="none" w:sz="0" w:space="0" w:color="auto"/>
            <w:left w:val="none" w:sz="0" w:space="0" w:color="auto"/>
            <w:bottom w:val="none" w:sz="0" w:space="0" w:color="auto"/>
            <w:right w:val="none" w:sz="0" w:space="0" w:color="auto"/>
          </w:divBdr>
        </w:div>
      </w:divsChild>
    </w:div>
    <w:div w:id="1865941443">
      <w:bodyDiv w:val="1"/>
      <w:marLeft w:val="0"/>
      <w:marRight w:val="0"/>
      <w:marTop w:val="0"/>
      <w:marBottom w:val="0"/>
      <w:divBdr>
        <w:top w:val="none" w:sz="0" w:space="0" w:color="auto"/>
        <w:left w:val="none" w:sz="0" w:space="0" w:color="auto"/>
        <w:bottom w:val="none" w:sz="0" w:space="0" w:color="auto"/>
        <w:right w:val="none" w:sz="0" w:space="0" w:color="auto"/>
      </w:divBdr>
    </w:div>
    <w:div w:id="1885604107">
      <w:bodyDiv w:val="1"/>
      <w:marLeft w:val="0"/>
      <w:marRight w:val="0"/>
      <w:marTop w:val="0"/>
      <w:marBottom w:val="0"/>
      <w:divBdr>
        <w:top w:val="none" w:sz="0" w:space="0" w:color="auto"/>
        <w:left w:val="none" w:sz="0" w:space="0" w:color="auto"/>
        <w:bottom w:val="none" w:sz="0" w:space="0" w:color="auto"/>
        <w:right w:val="none" w:sz="0" w:space="0" w:color="auto"/>
      </w:divBdr>
    </w:div>
    <w:div w:id="1886334120">
      <w:bodyDiv w:val="1"/>
      <w:marLeft w:val="0"/>
      <w:marRight w:val="0"/>
      <w:marTop w:val="0"/>
      <w:marBottom w:val="0"/>
      <w:divBdr>
        <w:top w:val="none" w:sz="0" w:space="0" w:color="auto"/>
        <w:left w:val="none" w:sz="0" w:space="0" w:color="auto"/>
        <w:bottom w:val="none" w:sz="0" w:space="0" w:color="auto"/>
        <w:right w:val="none" w:sz="0" w:space="0" w:color="auto"/>
      </w:divBdr>
    </w:div>
    <w:div w:id="1901285995">
      <w:bodyDiv w:val="1"/>
      <w:marLeft w:val="0"/>
      <w:marRight w:val="0"/>
      <w:marTop w:val="0"/>
      <w:marBottom w:val="0"/>
      <w:divBdr>
        <w:top w:val="none" w:sz="0" w:space="0" w:color="auto"/>
        <w:left w:val="none" w:sz="0" w:space="0" w:color="auto"/>
        <w:bottom w:val="none" w:sz="0" w:space="0" w:color="auto"/>
        <w:right w:val="none" w:sz="0" w:space="0" w:color="auto"/>
      </w:divBdr>
    </w:div>
    <w:div w:id="1906715839">
      <w:bodyDiv w:val="1"/>
      <w:marLeft w:val="0"/>
      <w:marRight w:val="0"/>
      <w:marTop w:val="0"/>
      <w:marBottom w:val="0"/>
      <w:divBdr>
        <w:top w:val="none" w:sz="0" w:space="0" w:color="auto"/>
        <w:left w:val="none" w:sz="0" w:space="0" w:color="auto"/>
        <w:bottom w:val="none" w:sz="0" w:space="0" w:color="auto"/>
        <w:right w:val="none" w:sz="0" w:space="0" w:color="auto"/>
      </w:divBdr>
    </w:div>
    <w:div w:id="1912348769">
      <w:bodyDiv w:val="1"/>
      <w:marLeft w:val="0"/>
      <w:marRight w:val="0"/>
      <w:marTop w:val="0"/>
      <w:marBottom w:val="0"/>
      <w:divBdr>
        <w:top w:val="none" w:sz="0" w:space="0" w:color="auto"/>
        <w:left w:val="none" w:sz="0" w:space="0" w:color="auto"/>
        <w:bottom w:val="none" w:sz="0" w:space="0" w:color="auto"/>
        <w:right w:val="none" w:sz="0" w:space="0" w:color="auto"/>
      </w:divBdr>
    </w:div>
    <w:div w:id="1917543890">
      <w:bodyDiv w:val="1"/>
      <w:marLeft w:val="0"/>
      <w:marRight w:val="0"/>
      <w:marTop w:val="0"/>
      <w:marBottom w:val="0"/>
      <w:divBdr>
        <w:top w:val="none" w:sz="0" w:space="0" w:color="auto"/>
        <w:left w:val="none" w:sz="0" w:space="0" w:color="auto"/>
        <w:bottom w:val="none" w:sz="0" w:space="0" w:color="auto"/>
        <w:right w:val="none" w:sz="0" w:space="0" w:color="auto"/>
      </w:divBdr>
    </w:div>
    <w:div w:id="1918051488">
      <w:bodyDiv w:val="1"/>
      <w:marLeft w:val="0"/>
      <w:marRight w:val="0"/>
      <w:marTop w:val="0"/>
      <w:marBottom w:val="0"/>
      <w:divBdr>
        <w:top w:val="none" w:sz="0" w:space="0" w:color="auto"/>
        <w:left w:val="none" w:sz="0" w:space="0" w:color="auto"/>
        <w:bottom w:val="none" w:sz="0" w:space="0" w:color="auto"/>
        <w:right w:val="none" w:sz="0" w:space="0" w:color="auto"/>
      </w:divBdr>
    </w:div>
    <w:div w:id="1924757382">
      <w:bodyDiv w:val="1"/>
      <w:marLeft w:val="0"/>
      <w:marRight w:val="0"/>
      <w:marTop w:val="0"/>
      <w:marBottom w:val="0"/>
      <w:divBdr>
        <w:top w:val="none" w:sz="0" w:space="0" w:color="auto"/>
        <w:left w:val="none" w:sz="0" w:space="0" w:color="auto"/>
        <w:bottom w:val="none" w:sz="0" w:space="0" w:color="auto"/>
        <w:right w:val="none" w:sz="0" w:space="0" w:color="auto"/>
      </w:divBdr>
    </w:div>
    <w:div w:id="1954511912">
      <w:bodyDiv w:val="1"/>
      <w:marLeft w:val="0"/>
      <w:marRight w:val="0"/>
      <w:marTop w:val="0"/>
      <w:marBottom w:val="0"/>
      <w:divBdr>
        <w:top w:val="none" w:sz="0" w:space="0" w:color="auto"/>
        <w:left w:val="none" w:sz="0" w:space="0" w:color="auto"/>
        <w:bottom w:val="none" w:sz="0" w:space="0" w:color="auto"/>
        <w:right w:val="none" w:sz="0" w:space="0" w:color="auto"/>
      </w:divBdr>
    </w:div>
    <w:div w:id="1961833581">
      <w:bodyDiv w:val="1"/>
      <w:marLeft w:val="0"/>
      <w:marRight w:val="0"/>
      <w:marTop w:val="0"/>
      <w:marBottom w:val="0"/>
      <w:divBdr>
        <w:top w:val="none" w:sz="0" w:space="0" w:color="auto"/>
        <w:left w:val="none" w:sz="0" w:space="0" w:color="auto"/>
        <w:bottom w:val="none" w:sz="0" w:space="0" w:color="auto"/>
        <w:right w:val="none" w:sz="0" w:space="0" w:color="auto"/>
      </w:divBdr>
    </w:div>
    <w:div w:id="1971008132">
      <w:bodyDiv w:val="1"/>
      <w:marLeft w:val="0"/>
      <w:marRight w:val="0"/>
      <w:marTop w:val="0"/>
      <w:marBottom w:val="0"/>
      <w:divBdr>
        <w:top w:val="none" w:sz="0" w:space="0" w:color="auto"/>
        <w:left w:val="none" w:sz="0" w:space="0" w:color="auto"/>
        <w:bottom w:val="none" w:sz="0" w:space="0" w:color="auto"/>
        <w:right w:val="none" w:sz="0" w:space="0" w:color="auto"/>
      </w:divBdr>
    </w:div>
    <w:div w:id="1978029994">
      <w:bodyDiv w:val="1"/>
      <w:marLeft w:val="0"/>
      <w:marRight w:val="0"/>
      <w:marTop w:val="0"/>
      <w:marBottom w:val="0"/>
      <w:divBdr>
        <w:top w:val="none" w:sz="0" w:space="0" w:color="auto"/>
        <w:left w:val="none" w:sz="0" w:space="0" w:color="auto"/>
        <w:bottom w:val="none" w:sz="0" w:space="0" w:color="auto"/>
        <w:right w:val="none" w:sz="0" w:space="0" w:color="auto"/>
      </w:divBdr>
    </w:div>
    <w:div w:id="1993678332">
      <w:bodyDiv w:val="1"/>
      <w:marLeft w:val="0"/>
      <w:marRight w:val="0"/>
      <w:marTop w:val="0"/>
      <w:marBottom w:val="0"/>
      <w:divBdr>
        <w:top w:val="none" w:sz="0" w:space="0" w:color="auto"/>
        <w:left w:val="none" w:sz="0" w:space="0" w:color="auto"/>
        <w:bottom w:val="none" w:sz="0" w:space="0" w:color="auto"/>
        <w:right w:val="none" w:sz="0" w:space="0" w:color="auto"/>
      </w:divBdr>
    </w:div>
    <w:div w:id="1999646650">
      <w:bodyDiv w:val="1"/>
      <w:marLeft w:val="0"/>
      <w:marRight w:val="0"/>
      <w:marTop w:val="0"/>
      <w:marBottom w:val="0"/>
      <w:divBdr>
        <w:top w:val="none" w:sz="0" w:space="0" w:color="auto"/>
        <w:left w:val="none" w:sz="0" w:space="0" w:color="auto"/>
        <w:bottom w:val="none" w:sz="0" w:space="0" w:color="auto"/>
        <w:right w:val="none" w:sz="0" w:space="0" w:color="auto"/>
      </w:divBdr>
    </w:div>
    <w:div w:id="2006351206">
      <w:bodyDiv w:val="1"/>
      <w:marLeft w:val="0"/>
      <w:marRight w:val="0"/>
      <w:marTop w:val="0"/>
      <w:marBottom w:val="0"/>
      <w:divBdr>
        <w:top w:val="none" w:sz="0" w:space="0" w:color="auto"/>
        <w:left w:val="none" w:sz="0" w:space="0" w:color="auto"/>
        <w:bottom w:val="none" w:sz="0" w:space="0" w:color="auto"/>
        <w:right w:val="none" w:sz="0" w:space="0" w:color="auto"/>
      </w:divBdr>
    </w:div>
    <w:div w:id="2027516679">
      <w:bodyDiv w:val="1"/>
      <w:marLeft w:val="0"/>
      <w:marRight w:val="0"/>
      <w:marTop w:val="0"/>
      <w:marBottom w:val="0"/>
      <w:divBdr>
        <w:top w:val="none" w:sz="0" w:space="0" w:color="auto"/>
        <w:left w:val="none" w:sz="0" w:space="0" w:color="auto"/>
        <w:bottom w:val="none" w:sz="0" w:space="0" w:color="auto"/>
        <w:right w:val="none" w:sz="0" w:space="0" w:color="auto"/>
      </w:divBdr>
    </w:div>
    <w:div w:id="2038464044">
      <w:bodyDiv w:val="1"/>
      <w:marLeft w:val="0"/>
      <w:marRight w:val="0"/>
      <w:marTop w:val="0"/>
      <w:marBottom w:val="0"/>
      <w:divBdr>
        <w:top w:val="none" w:sz="0" w:space="0" w:color="auto"/>
        <w:left w:val="none" w:sz="0" w:space="0" w:color="auto"/>
        <w:bottom w:val="none" w:sz="0" w:space="0" w:color="auto"/>
        <w:right w:val="none" w:sz="0" w:space="0" w:color="auto"/>
      </w:divBdr>
    </w:div>
    <w:div w:id="2044401332">
      <w:bodyDiv w:val="1"/>
      <w:marLeft w:val="0"/>
      <w:marRight w:val="0"/>
      <w:marTop w:val="0"/>
      <w:marBottom w:val="0"/>
      <w:divBdr>
        <w:top w:val="none" w:sz="0" w:space="0" w:color="auto"/>
        <w:left w:val="none" w:sz="0" w:space="0" w:color="auto"/>
        <w:bottom w:val="none" w:sz="0" w:space="0" w:color="auto"/>
        <w:right w:val="none" w:sz="0" w:space="0" w:color="auto"/>
      </w:divBdr>
    </w:div>
    <w:div w:id="2052874496">
      <w:bodyDiv w:val="1"/>
      <w:marLeft w:val="0"/>
      <w:marRight w:val="0"/>
      <w:marTop w:val="0"/>
      <w:marBottom w:val="0"/>
      <w:divBdr>
        <w:top w:val="none" w:sz="0" w:space="0" w:color="auto"/>
        <w:left w:val="none" w:sz="0" w:space="0" w:color="auto"/>
        <w:bottom w:val="none" w:sz="0" w:space="0" w:color="auto"/>
        <w:right w:val="none" w:sz="0" w:space="0" w:color="auto"/>
      </w:divBdr>
    </w:div>
    <w:div w:id="2067558154">
      <w:bodyDiv w:val="1"/>
      <w:marLeft w:val="0"/>
      <w:marRight w:val="0"/>
      <w:marTop w:val="0"/>
      <w:marBottom w:val="0"/>
      <w:divBdr>
        <w:top w:val="none" w:sz="0" w:space="0" w:color="auto"/>
        <w:left w:val="none" w:sz="0" w:space="0" w:color="auto"/>
        <w:bottom w:val="none" w:sz="0" w:space="0" w:color="auto"/>
        <w:right w:val="none" w:sz="0" w:space="0" w:color="auto"/>
      </w:divBdr>
    </w:div>
    <w:div w:id="2071347935">
      <w:bodyDiv w:val="1"/>
      <w:marLeft w:val="0"/>
      <w:marRight w:val="0"/>
      <w:marTop w:val="0"/>
      <w:marBottom w:val="0"/>
      <w:divBdr>
        <w:top w:val="none" w:sz="0" w:space="0" w:color="auto"/>
        <w:left w:val="none" w:sz="0" w:space="0" w:color="auto"/>
        <w:bottom w:val="none" w:sz="0" w:space="0" w:color="auto"/>
        <w:right w:val="none" w:sz="0" w:space="0" w:color="auto"/>
      </w:divBdr>
    </w:div>
    <w:div w:id="2084328983">
      <w:bodyDiv w:val="1"/>
      <w:marLeft w:val="0"/>
      <w:marRight w:val="0"/>
      <w:marTop w:val="0"/>
      <w:marBottom w:val="0"/>
      <w:divBdr>
        <w:top w:val="none" w:sz="0" w:space="0" w:color="auto"/>
        <w:left w:val="none" w:sz="0" w:space="0" w:color="auto"/>
        <w:bottom w:val="none" w:sz="0" w:space="0" w:color="auto"/>
        <w:right w:val="none" w:sz="0" w:space="0" w:color="auto"/>
      </w:divBdr>
    </w:div>
    <w:div w:id="2088072108">
      <w:bodyDiv w:val="1"/>
      <w:marLeft w:val="0"/>
      <w:marRight w:val="0"/>
      <w:marTop w:val="0"/>
      <w:marBottom w:val="0"/>
      <w:divBdr>
        <w:top w:val="none" w:sz="0" w:space="0" w:color="auto"/>
        <w:left w:val="none" w:sz="0" w:space="0" w:color="auto"/>
        <w:bottom w:val="none" w:sz="0" w:space="0" w:color="auto"/>
        <w:right w:val="none" w:sz="0" w:space="0" w:color="auto"/>
      </w:divBdr>
      <w:divsChild>
        <w:div w:id="59210845">
          <w:marLeft w:val="432"/>
          <w:marRight w:val="0"/>
          <w:marTop w:val="0"/>
          <w:marBottom w:val="0"/>
          <w:divBdr>
            <w:top w:val="none" w:sz="0" w:space="0" w:color="auto"/>
            <w:left w:val="none" w:sz="0" w:space="0" w:color="auto"/>
            <w:bottom w:val="none" w:sz="0" w:space="0" w:color="auto"/>
            <w:right w:val="none" w:sz="0" w:space="0" w:color="auto"/>
          </w:divBdr>
        </w:div>
        <w:div w:id="2142264466">
          <w:marLeft w:val="432"/>
          <w:marRight w:val="0"/>
          <w:marTop w:val="0"/>
          <w:marBottom w:val="0"/>
          <w:divBdr>
            <w:top w:val="none" w:sz="0" w:space="0" w:color="auto"/>
            <w:left w:val="none" w:sz="0" w:space="0" w:color="auto"/>
            <w:bottom w:val="none" w:sz="0" w:space="0" w:color="auto"/>
            <w:right w:val="none" w:sz="0" w:space="0" w:color="auto"/>
          </w:divBdr>
        </w:div>
      </w:divsChild>
    </w:div>
    <w:div w:id="2103455194">
      <w:bodyDiv w:val="1"/>
      <w:marLeft w:val="0"/>
      <w:marRight w:val="0"/>
      <w:marTop w:val="0"/>
      <w:marBottom w:val="0"/>
      <w:divBdr>
        <w:top w:val="none" w:sz="0" w:space="0" w:color="auto"/>
        <w:left w:val="none" w:sz="0" w:space="0" w:color="auto"/>
        <w:bottom w:val="none" w:sz="0" w:space="0" w:color="auto"/>
        <w:right w:val="none" w:sz="0" w:space="0" w:color="auto"/>
      </w:divBdr>
      <w:divsChild>
        <w:div w:id="1708022587">
          <w:marLeft w:val="547"/>
          <w:marRight w:val="0"/>
          <w:marTop w:val="0"/>
          <w:marBottom w:val="0"/>
          <w:divBdr>
            <w:top w:val="none" w:sz="0" w:space="0" w:color="auto"/>
            <w:left w:val="none" w:sz="0" w:space="0" w:color="auto"/>
            <w:bottom w:val="none" w:sz="0" w:space="0" w:color="auto"/>
            <w:right w:val="none" w:sz="0" w:space="0" w:color="auto"/>
          </w:divBdr>
        </w:div>
        <w:div w:id="1144543822">
          <w:marLeft w:val="547"/>
          <w:marRight w:val="0"/>
          <w:marTop w:val="0"/>
          <w:marBottom w:val="0"/>
          <w:divBdr>
            <w:top w:val="none" w:sz="0" w:space="0" w:color="auto"/>
            <w:left w:val="none" w:sz="0" w:space="0" w:color="auto"/>
            <w:bottom w:val="none" w:sz="0" w:space="0" w:color="auto"/>
            <w:right w:val="none" w:sz="0" w:space="0" w:color="auto"/>
          </w:divBdr>
        </w:div>
      </w:divsChild>
    </w:div>
    <w:div w:id="2126925767">
      <w:bodyDiv w:val="1"/>
      <w:marLeft w:val="0"/>
      <w:marRight w:val="0"/>
      <w:marTop w:val="0"/>
      <w:marBottom w:val="0"/>
      <w:divBdr>
        <w:top w:val="none" w:sz="0" w:space="0" w:color="auto"/>
        <w:left w:val="none" w:sz="0" w:space="0" w:color="auto"/>
        <w:bottom w:val="none" w:sz="0" w:space="0" w:color="auto"/>
        <w:right w:val="none" w:sz="0" w:space="0" w:color="auto"/>
      </w:divBdr>
    </w:div>
    <w:div w:id="2127263059">
      <w:bodyDiv w:val="1"/>
      <w:marLeft w:val="0"/>
      <w:marRight w:val="0"/>
      <w:marTop w:val="0"/>
      <w:marBottom w:val="0"/>
      <w:divBdr>
        <w:top w:val="none" w:sz="0" w:space="0" w:color="auto"/>
        <w:left w:val="none" w:sz="0" w:space="0" w:color="auto"/>
        <w:bottom w:val="none" w:sz="0" w:space="0" w:color="auto"/>
        <w:right w:val="none" w:sz="0" w:space="0" w:color="auto"/>
      </w:divBdr>
    </w:div>
    <w:div w:id="2140101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image" Target="media/image2.emf"/><Relationship Id="rId19" Type="http://schemas.openxmlformats.org/officeDocument/2006/relationships/chart" Target="charts/chart4.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chart" Target="charts/chart1.xm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superfinanciera.gov.co/inicio/simulador-y-tarifas-de-servicios-financieros/tasas-de-interes/tasas-de-interes-pasivas-por-tipo-de-deposito-61300" TargetMode="External"/><Relationship Id="rId2" Type="http://schemas.openxmlformats.org/officeDocument/2006/relationships/hyperlink" Target="https://www.banrep.gov.co/es/estadisticas/catalogo" TargetMode="External"/><Relationship Id="rId1" Type="http://schemas.openxmlformats.org/officeDocument/2006/relationships/hyperlink" Target="https://www.banrep.gov.co/es/estadisticas/encuesta-mensual-expectativas-analistas-economicos"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Diego\Documents\A&#241;o%202019\Asesor&#237;as\Fonaviemcali\FONAVIEMCALI-%20Indicadores%202015-2018.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Diego\Documents\A&#241;o%202019\Asesor&#237;as\Fonaviemcali\FONAVIEMCALI-%20Indicadores%202015-2018.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Diego\Documents\A&#241;o%202019\Asesor&#237;as\Fonaviemcali\FONAVIEMCALI-%20Indicadores%202015-2018.xlsx" TargetMode="External"/></Relationships>
</file>

<file path=word/charts/_rels/chart4.xml.rels><?xml version="1.0" encoding="UTF-8" standalone="yes"?>
<Relationships xmlns="http://schemas.openxmlformats.org/package/2006/relationships"><Relationship Id="rId3" Type="http://schemas.openxmlformats.org/officeDocument/2006/relationships/oleObject" Target="file:///\\server7\Usuarios$\analistacontable\My%20Documents\ANDREA\INFORMES\2018\INFORME%20JUNTA%20DIRECTIVA%202018-1.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lgn="ctr">
              <a:defRPr/>
            </a:pPr>
            <a:r>
              <a:rPr lang="es-CO"/>
              <a:t>Ingresos y Retiros Asociados</a:t>
            </a:r>
          </a:p>
        </c:rich>
      </c:tx>
      <c:layout>
        <c:manualLayout>
          <c:xMode val="edge"/>
          <c:yMode val="edge"/>
          <c:x val="0.10481933508311461"/>
          <c:y val="4.6296296296296294E-3"/>
        </c:manualLayout>
      </c:layout>
      <c:overlay val="1"/>
    </c:title>
    <c:autoTitleDeleted val="0"/>
    <c:plotArea>
      <c:layout>
        <c:manualLayout>
          <c:layoutTarget val="inner"/>
          <c:xMode val="edge"/>
          <c:yMode val="edge"/>
          <c:x val="8.607174103237096E-2"/>
          <c:y val="8.8437591134441523E-2"/>
          <c:w val="0.88337270341207352"/>
          <c:h val="0.72112459900845727"/>
        </c:manualLayout>
      </c:layout>
      <c:lineChart>
        <c:grouping val="standard"/>
        <c:varyColors val="0"/>
        <c:ser>
          <c:idx val="3"/>
          <c:order val="0"/>
          <c:tx>
            <c:strRef>
              <c:f>'Base Social GRAFICOS'!$A$5</c:f>
              <c:strCache>
                <c:ptCount val="1"/>
                <c:pt idx="0">
                  <c:v>Ingresos</c:v>
                </c:pt>
              </c:strCache>
            </c:strRef>
          </c:tx>
          <c:spPr>
            <a:ln w="28575"/>
          </c:spPr>
          <c:marker>
            <c:symbol val="none"/>
          </c:marker>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'Base Social GRAFICOS'!$B$1:$F$1</c:f>
              <c:strCache>
                <c:ptCount val="5"/>
                <c:pt idx="0">
                  <c:v>Año 14</c:v>
                </c:pt>
                <c:pt idx="1">
                  <c:v>Año 15</c:v>
                </c:pt>
                <c:pt idx="2">
                  <c:v>Año 16</c:v>
                </c:pt>
                <c:pt idx="3">
                  <c:v>Año 17</c:v>
                </c:pt>
                <c:pt idx="4">
                  <c:v>Año 18</c:v>
                </c:pt>
              </c:strCache>
            </c:strRef>
          </c:cat>
          <c:val>
            <c:numRef>
              <c:f>'Base Social GRAFICOS'!$B$5:$F$5</c:f>
              <c:numCache>
                <c:formatCode>General</c:formatCode>
                <c:ptCount val="5"/>
                <c:pt idx="0">
                  <c:v>188</c:v>
                </c:pt>
                <c:pt idx="1">
                  <c:v>225</c:v>
                </c:pt>
                <c:pt idx="2">
                  <c:v>168</c:v>
                </c:pt>
                <c:pt idx="3">
                  <c:v>141</c:v>
                </c:pt>
                <c:pt idx="4">
                  <c:v>159</c:v>
                </c:pt>
              </c:numCache>
            </c:numRef>
          </c:val>
          <c:smooth val="1"/>
          <c:extLst>
            <c:ext xmlns:c16="http://schemas.microsoft.com/office/drawing/2014/chart" uri="{C3380CC4-5D6E-409C-BE32-E72D297353CC}">
              <c16:uniqueId val="{00000000-22AE-4429-80CA-C059F54E71A3}"/>
            </c:ext>
          </c:extLst>
        </c:ser>
        <c:ser>
          <c:idx val="4"/>
          <c:order val="1"/>
          <c:tx>
            <c:strRef>
              <c:f>'Base Social GRAFICOS'!$A$6</c:f>
              <c:strCache>
                <c:ptCount val="1"/>
                <c:pt idx="0">
                  <c:v>Retiros</c:v>
                </c:pt>
              </c:strCache>
            </c:strRef>
          </c:tx>
          <c:spPr>
            <a:ln w="28575"/>
          </c:spPr>
          <c:marker>
            <c:symbol val="none"/>
          </c:marker>
          <c:dLbls>
            <c:dLbl>
              <c:idx val="8"/>
              <c:layout>
                <c:manualLayout>
                  <c:x val="-2.779225138901077E-3"/>
                  <c:y val="-4.16666666666666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2AE-4429-80CA-C059F54E71A3}"/>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'Base Social GRAFICOS'!$B$1:$F$1</c:f>
              <c:strCache>
                <c:ptCount val="5"/>
                <c:pt idx="0">
                  <c:v>Año 14</c:v>
                </c:pt>
                <c:pt idx="1">
                  <c:v>Año 15</c:v>
                </c:pt>
                <c:pt idx="2">
                  <c:v>Año 16</c:v>
                </c:pt>
                <c:pt idx="3">
                  <c:v>Año 17</c:v>
                </c:pt>
                <c:pt idx="4">
                  <c:v>Año 18</c:v>
                </c:pt>
              </c:strCache>
            </c:strRef>
          </c:cat>
          <c:val>
            <c:numRef>
              <c:f>'Base Social GRAFICOS'!$B$6:$F$6</c:f>
              <c:numCache>
                <c:formatCode>General</c:formatCode>
                <c:ptCount val="5"/>
                <c:pt idx="0">
                  <c:v>189</c:v>
                </c:pt>
                <c:pt idx="1">
                  <c:v>176</c:v>
                </c:pt>
                <c:pt idx="2">
                  <c:v>193</c:v>
                </c:pt>
                <c:pt idx="3">
                  <c:v>188</c:v>
                </c:pt>
                <c:pt idx="4">
                  <c:v>150</c:v>
                </c:pt>
              </c:numCache>
            </c:numRef>
          </c:val>
          <c:smooth val="1"/>
          <c:extLst>
            <c:ext xmlns:c16="http://schemas.microsoft.com/office/drawing/2014/chart" uri="{C3380CC4-5D6E-409C-BE32-E72D297353CC}">
              <c16:uniqueId val="{00000002-22AE-4429-80CA-C059F54E71A3}"/>
            </c:ext>
          </c:extLst>
        </c:ser>
        <c:dLbls>
          <c:showLegendKey val="0"/>
          <c:showVal val="0"/>
          <c:showCatName val="0"/>
          <c:showSerName val="0"/>
          <c:showPercent val="0"/>
          <c:showBubbleSize val="0"/>
        </c:dLbls>
        <c:smooth val="0"/>
        <c:axId val="564887824"/>
        <c:axId val="560943160"/>
      </c:lineChart>
      <c:catAx>
        <c:axId val="564887824"/>
        <c:scaling>
          <c:orientation val="minMax"/>
        </c:scaling>
        <c:delete val="0"/>
        <c:axPos val="b"/>
        <c:numFmt formatCode="General" sourceLinked="0"/>
        <c:majorTickMark val="out"/>
        <c:minorTickMark val="none"/>
        <c:tickLblPos val="nextTo"/>
        <c:crossAx val="560943160"/>
        <c:crosses val="autoZero"/>
        <c:auto val="1"/>
        <c:lblAlgn val="ctr"/>
        <c:lblOffset val="100"/>
        <c:noMultiLvlLbl val="0"/>
      </c:catAx>
      <c:valAx>
        <c:axId val="560943160"/>
        <c:scaling>
          <c:orientation val="minMax"/>
          <c:min val="80"/>
        </c:scaling>
        <c:delete val="0"/>
        <c:axPos val="l"/>
        <c:majorGridlines/>
        <c:numFmt formatCode="General" sourceLinked="1"/>
        <c:majorTickMark val="out"/>
        <c:minorTickMark val="none"/>
        <c:tickLblPos val="nextTo"/>
        <c:crossAx val="564887824"/>
        <c:crosses val="autoZero"/>
        <c:crossBetween val="between"/>
      </c:valAx>
    </c:plotArea>
    <c:legend>
      <c:legendPos val="b"/>
      <c:layout>
        <c:manualLayout>
          <c:xMode val="edge"/>
          <c:yMode val="edge"/>
          <c:x val="0.349712915597302"/>
          <c:y val="0.91628280839895015"/>
          <c:w val="0.3693767467265871"/>
          <c:h val="8.3717191601049873E-2"/>
        </c:manualLayout>
      </c:layout>
      <c:overlay val="0"/>
    </c:legend>
    <c:plotVisOnly val="1"/>
    <c:dispBlanksAs val="gap"/>
    <c:showDLblsOverMax val="0"/>
  </c:chart>
  <c:txPr>
    <a:bodyPr/>
    <a:lstStyle/>
    <a:p>
      <a:pPr>
        <a:defRPr sz="800">
          <a:latin typeface="Arial Narrow" panose="020B0606020202030204" pitchFamily="34" charset="0"/>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a:t>Asociados</a:t>
            </a:r>
          </a:p>
        </c:rich>
      </c:tx>
      <c:layout>
        <c:manualLayout>
          <c:xMode val="edge"/>
          <c:yMode val="edge"/>
          <c:x val="0.63699716080214674"/>
          <c:y val="3.7037074803572476E-2"/>
        </c:manualLayout>
      </c:layout>
      <c:overlay val="1"/>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'Base Social GRAFICOS'!$A$4</c:f>
              <c:strCache>
                <c:ptCount val="1"/>
                <c:pt idx="0">
                  <c:v>total</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'Base Social GRAFICOS'!$B$1:$F$1</c:f>
              <c:strCache>
                <c:ptCount val="5"/>
                <c:pt idx="0">
                  <c:v>Año 14</c:v>
                </c:pt>
                <c:pt idx="1">
                  <c:v>Año 15</c:v>
                </c:pt>
                <c:pt idx="2">
                  <c:v>Año 16</c:v>
                </c:pt>
                <c:pt idx="3">
                  <c:v>Año 17</c:v>
                </c:pt>
                <c:pt idx="4">
                  <c:v>Año 18</c:v>
                </c:pt>
              </c:strCache>
            </c:strRef>
          </c:cat>
          <c:val>
            <c:numRef>
              <c:f>'Base Social GRAFICOS'!$B$4:$F$4</c:f>
              <c:numCache>
                <c:formatCode>General</c:formatCode>
                <c:ptCount val="5"/>
                <c:pt idx="0">
                  <c:v>2186</c:v>
                </c:pt>
                <c:pt idx="1">
                  <c:v>2203</c:v>
                </c:pt>
                <c:pt idx="2">
                  <c:v>2187</c:v>
                </c:pt>
                <c:pt idx="3">
                  <c:v>2092</c:v>
                </c:pt>
                <c:pt idx="4">
                  <c:v>2115</c:v>
                </c:pt>
              </c:numCache>
            </c:numRef>
          </c:val>
          <c:extLst>
            <c:ext xmlns:c16="http://schemas.microsoft.com/office/drawing/2014/chart" uri="{C3380CC4-5D6E-409C-BE32-E72D297353CC}">
              <c16:uniqueId val="{00000000-B46B-4284-ABAB-E0B8B3CE1BD5}"/>
            </c:ext>
          </c:extLst>
        </c:ser>
        <c:dLbls>
          <c:showLegendKey val="0"/>
          <c:showVal val="0"/>
          <c:showCatName val="0"/>
          <c:showSerName val="0"/>
          <c:showPercent val="0"/>
          <c:showBubbleSize val="0"/>
        </c:dLbls>
        <c:gapWidth val="150"/>
        <c:shape val="box"/>
        <c:axId val="564890176"/>
        <c:axId val="564892920"/>
        <c:axId val="0"/>
      </c:bar3DChart>
      <c:catAx>
        <c:axId val="564890176"/>
        <c:scaling>
          <c:orientation val="minMax"/>
        </c:scaling>
        <c:delete val="0"/>
        <c:axPos val="b"/>
        <c:numFmt formatCode="General" sourceLinked="0"/>
        <c:majorTickMark val="out"/>
        <c:minorTickMark val="none"/>
        <c:tickLblPos val="nextTo"/>
        <c:crossAx val="564892920"/>
        <c:crosses val="autoZero"/>
        <c:auto val="1"/>
        <c:lblAlgn val="ctr"/>
        <c:lblOffset val="100"/>
        <c:noMultiLvlLbl val="0"/>
      </c:catAx>
      <c:valAx>
        <c:axId val="564892920"/>
        <c:scaling>
          <c:orientation val="minMax"/>
        </c:scaling>
        <c:delete val="0"/>
        <c:axPos val="l"/>
        <c:majorGridlines/>
        <c:numFmt formatCode="General" sourceLinked="1"/>
        <c:majorTickMark val="out"/>
        <c:minorTickMark val="none"/>
        <c:tickLblPos val="nextTo"/>
        <c:crossAx val="564890176"/>
        <c:crosses val="autoZero"/>
        <c:crossBetween val="between"/>
      </c:valAx>
    </c:plotArea>
    <c:plotVisOnly val="1"/>
    <c:dispBlanksAs val="gap"/>
    <c:showDLblsOverMax val="0"/>
  </c:chart>
  <c:txPr>
    <a:bodyPr/>
    <a:lstStyle/>
    <a:p>
      <a:pPr>
        <a:defRPr sz="800">
          <a:latin typeface="Arial Narrow" panose="020B0606020202030204" pitchFamily="34" charset="0"/>
        </a:defRPr>
      </a:pPr>
      <a:endParaRPr lang="es-CO"/>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a:t>Asociados</a:t>
            </a:r>
          </a:p>
        </c:rich>
      </c:tx>
      <c:layout>
        <c:manualLayout>
          <c:xMode val="edge"/>
          <c:yMode val="edge"/>
          <c:x val="0.34383385207471634"/>
          <c:y val="1.8554752774355577E-2"/>
        </c:manualLayout>
      </c:layout>
      <c:overlay val="1"/>
    </c:title>
    <c:autoTitleDeleted val="0"/>
    <c:plotArea>
      <c:layout>
        <c:manualLayout>
          <c:layoutTarget val="inner"/>
          <c:xMode val="edge"/>
          <c:yMode val="edge"/>
          <c:x val="8.6266185476815402E-2"/>
          <c:y val="4.6770924467774859E-2"/>
          <c:w val="0.89375459317585304"/>
          <c:h val="0.76317512394284048"/>
        </c:manualLayout>
      </c:layout>
      <c:areaChart>
        <c:grouping val="stacked"/>
        <c:varyColors val="0"/>
        <c:ser>
          <c:idx val="0"/>
          <c:order val="0"/>
          <c:tx>
            <c:strRef>
              <c:f>'Base Social GRAFICOS'!$A$2</c:f>
              <c:strCache>
                <c:ptCount val="1"/>
                <c:pt idx="0">
                  <c:v>Hombres</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'Base Social GRAFICOS'!$B$1:$F$1</c:f>
              <c:strCache>
                <c:ptCount val="5"/>
                <c:pt idx="0">
                  <c:v>Año 14</c:v>
                </c:pt>
                <c:pt idx="1">
                  <c:v>Año 15</c:v>
                </c:pt>
                <c:pt idx="2">
                  <c:v>Año 16</c:v>
                </c:pt>
                <c:pt idx="3">
                  <c:v>Año 17</c:v>
                </c:pt>
                <c:pt idx="4">
                  <c:v>Año 18</c:v>
                </c:pt>
              </c:strCache>
            </c:strRef>
          </c:cat>
          <c:val>
            <c:numRef>
              <c:f>'Base Social GRAFICOS'!$B$2:$F$2</c:f>
              <c:numCache>
                <c:formatCode>General</c:formatCode>
                <c:ptCount val="5"/>
                <c:pt idx="0">
                  <c:v>1674</c:v>
                </c:pt>
                <c:pt idx="1">
                  <c:v>1677</c:v>
                </c:pt>
                <c:pt idx="2">
                  <c:v>1645</c:v>
                </c:pt>
                <c:pt idx="3">
                  <c:v>1564</c:v>
                </c:pt>
                <c:pt idx="4">
                  <c:v>1581</c:v>
                </c:pt>
              </c:numCache>
            </c:numRef>
          </c:val>
          <c:extLst>
            <c:ext xmlns:c16="http://schemas.microsoft.com/office/drawing/2014/chart" uri="{C3380CC4-5D6E-409C-BE32-E72D297353CC}">
              <c16:uniqueId val="{00000000-5C31-478A-A8FE-50616E18A503}"/>
            </c:ext>
          </c:extLst>
        </c:ser>
        <c:ser>
          <c:idx val="1"/>
          <c:order val="1"/>
          <c:tx>
            <c:strRef>
              <c:f>'Base Social GRAFICOS'!$A$3</c:f>
              <c:strCache>
                <c:ptCount val="1"/>
                <c:pt idx="0">
                  <c:v>Mujeres</c:v>
                </c:pt>
              </c:strCache>
            </c:strRef>
          </c:tx>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'Base Social GRAFICOS'!$B$1:$F$1</c:f>
              <c:strCache>
                <c:ptCount val="5"/>
                <c:pt idx="0">
                  <c:v>Año 14</c:v>
                </c:pt>
                <c:pt idx="1">
                  <c:v>Año 15</c:v>
                </c:pt>
                <c:pt idx="2">
                  <c:v>Año 16</c:v>
                </c:pt>
                <c:pt idx="3">
                  <c:v>Año 17</c:v>
                </c:pt>
                <c:pt idx="4">
                  <c:v>Año 18</c:v>
                </c:pt>
              </c:strCache>
            </c:strRef>
          </c:cat>
          <c:val>
            <c:numRef>
              <c:f>'Base Social GRAFICOS'!$B$3:$F$3</c:f>
              <c:numCache>
                <c:formatCode>General</c:formatCode>
                <c:ptCount val="5"/>
                <c:pt idx="0">
                  <c:v>512</c:v>
                </c:pt>
                <c:pt idx="1">
                  <c:v>526</c:v>
                </c:pt>
                <c:pt idx="2">
                  <c:v>542</c:v>
                </c:pt>
                <c:pt idx="3">
                  <c:v>528</c:v>
                </c:pt>
                <c:pt idx="4">
                  <c:v>534</c:v>
                </c:pt>
              </c:numCache>
            </c:numRef>
          </c:val>
          <c:extLst>
            <c:ext xmlns:c16="http://schemas.microsoft.com/office/drawing/2014/chart" uri="{C3380CC4-5D6E-409C-BE32-E72D297353CC}">
              <c16:uniqueId val="{00000001-5C31-478A-A8FE-50616E18A503}"/>
            </c:ext>
          </c:extLst>
        </c:ser>
        <c:dLbls>
          <c:showLegendKey val="0"/>
          <c:showVal val="0"/>
          <c:showCatName val="0"/>
          <c:showSerName val="0"/>
          <c:showPercent val="0"/>
          <c:showBubbleSize val="0"/>
        </c:dLbls>
        <c:axId val="564894880"/>
        <c:axId val="564894096"/>
      </c:areaChart>
      <c:catAx>
        <c:axId val="564894880"/>
        <c:scaling>
          <c:orientation val="minMax"/>
        </c:scaling>
        <c:delete val="0"/>
        <c:axPos val="b"/>
        <c:numFmt formatCode="General" sourceLinked="0"/>
        <c:majorTickMark val="out"/>
        <c:minorTickMark val="none"/>
        <c:tickLblPos val="nextTo"/>
        <c:txPr>
          <a:bodyPr/>
          <a:lstStyle/>
          <a:p>
            <a:pPr>
              <a:defRPr>
                <a:latin typeface="Arial Narrow" pitchFamily="34" charset="0"/>
              </a:defRPr>
            </a:pPr>
            <a:endParaRPr lang="es-CO"/>
          </a:p>
        </c:txPr>
        <c:crossAx val="564894096"/>
        <c:crosses val="autoZero"/>
        <c:auto val="1"/>
        <c:lblAlgn val="ctr"/>
        <c:lblOffset val="100"/>
        <c:noMultiLvlLbl val="0"/>
      </c:catAx>
      <c:valAx>
        <c:axId val="564894096"/>
        <c:scaling>
          <c:orientation val="minMax"/>
        </c:scaling>
        <c:delete val="0"/>
        <c:axPos val="l"/>
        <c:majorGridlines/>
        <c:numFmt formatCode="General" sourceLinked="1"/>
        <c:majorTickMark val="out"/>
        <c:minorTickMark val="none"/>
        <c:tickLblPos val="nextTo"/>
        <c:crossAx val="564894880"/>
        <c:crosses val="autoZero"/>
        <c:crossBetween val="midCat"/>
      </c:valAx>
      <c:spPr>
        <a:noFill/>
        <a:ln w="25400">
          <a:noFill/>
        </a:ln>
      </c:spPr>
    </c:plotArea>
    <c:legend>
      <c:legendPos val="r"/>
      <c:layout>
        <c:manualLayout>
          <c:xMode val="edge"/>
          <c:yMode val="edge"/>
          <c:x val="0.60991871927897434"/>
          <c:y val="1.1756700438995222E-2"/>
          <c:w val="0.30186285175546829"/>
          <c:h val="0.15791811290859267"/>
        </c:manualLayout>
      </c:layout>
      <c:overlay val="0"/>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s-MX"/>
              <a:t>Indicador</a:t>
            </a:r>
            <a:r>
              <a:rPr lang="es-MX" baseline="0"/>
              <a:t> de Cartera Vencida historico</a:t>
            </a:r>
            <a:endParaRPr lang="es-MX"/>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CO"/>
        </a:p>
      </c:txPr>
    </c:title>
    <c:autoTitleDeleted val="0"/>
    <c:plotArea>
      <c:layout/>
      <c:barChart>
        <c:barDir val="bar"/>
        <c:grouping val="clustered"/>
        <c:varyColors val="0"/>
        <c:ser>
          <c:idx val="0"/>
          <c:order val="0"/>
          <c:spPr>
            <a:solidFill>
              <a:schemeClr val="accent1"/>
            </a:solidFill>
            <a:ln>
              <a:noFill/>
            </a:ln>
            <a:effectLst/>
            <a:scene3d>
              <a:camera prst="orthographicFront"/>
              <a:lightRig rig="threePt" dir="t"/>
            </a:scene3d>
            <a:sp3d>
              <a:bevelT/>
              <a:bevelB w="139700" h="139700" prst="divot"/>
            </a:sp3d>
          </c:spPr>
          <c:invertIfNegative val="0"/>
          <c:dPt>
            <c:idx val="0"/>
            <c:invertIfNegative val="0"/>
            <c:bubble3D val="0"/>
            <c:spPr>
              <a:solidFill>
                <a:srgbClr val="FF0000"/>
              </a:solidFill>
              <a:ln>
                <a:noFill/>
              </a:ln>
              <a:effectLst/>
              <a:scene3d>
                <a:camera prst="orthographicFront"/>
                <a:lightRig rig="threePt" dir="t"/>
              </a:scene3d>
              <a:sp3d>
                <a:bevelT/>
                <a:bevelB w="139700" h="139700" prst="divot"/>
              </a:sp3d>
            </c:spPr>
            <c:extLst>
              <c:ext xmlns:c16="http://schemas.microsoft.com/office/drawing/2014/chart" uri="{C3380CC4-5D6E-409C-BE32-E72D297353CC}">
                <c16:uniqueId val="{00000001-0086-4F63-8FC1-5970F5BB3AA4}"/>
              </c:ext>
            </c:extLst>
          </c:dPt>
          <c:dPt>
            <c:idx val="1"/>
            <c:invertIfNegative val="0"/>
            <c:bubble3D val="0"/>
            <c:spPr>
              <a:solidFill>
                <a:srgbClr val="FF0000"/>
              </a:solidFill>
              <a:ln>
                <a:noFill/>
              </a:ln>
              <a:effectLst/>
              <a:scene3d>
                <a:camera prst="orthographicFront"/>
                <a:lightRig rig="threePt" dir="t"/>
              </a:scene3d>
              <a:sp3d>
                <a:bevelT/>
                <a:bevelB w="139700" h="139700" prst="divot"/>
              </a:sp3d>
            </c:spPr>
            <c:extLst>
              <c:ext xmlns:c16="http://schemas.microsoft.com/office/drawing/2014/chart" uri="{C3380CC4-5D6E-409C-BE32-E72D297353CC}">
                <c16:uniqueId val="{00000003-0086-4F63-8FC1-5970F5BB3AA4}"/>
              </c:ext>
            </c:extLst>
          </c:dPt>
          <c:dPt>
            <c:idx val="2"/>
            <c:invertIfNegative val="0"/>
            <c:bubble3D val="0"/>
            <c:spPr>
              <a:solidFill>
                <a:srgbClr val="FF0000"/>
              </a:solidFill>
              <a:ln>
                <a:noFill/>
              </a:ln>
              <a:effectLst/>
              <a:scene3d>
                <a:camera prst="orthographicFront"/>
                <a:lightRig rig="threePt" dir="t"/>
              </a:scene3d>
              <a:sp3d>
                <a:bevelT/>
                <a:bevelB w="139700" h="139700" prst="divot"/>
              </a:sp3d>
            </c:spPr>
            <c:extLst>
              <c:ext xmlns:c16="http://schemas.microsoft.com/office/drawing/2014/chart" uri="{C3380CC4-5D6E-409C-BE32-E72D297353CC}">
                <c16:uniqueId val="{00000005-0086-4F63-8FC1-5970F5BB3AA4}"/>
              </c:ext>
            </c:extLst>
          </c:dPt>
          <c:dPt>
            <c:idx val="3"/>
            <c:invertIfNegative val="0"/>
            <c:bubble3D val="0"/>
            <c:spPr>
              <a:solidFill>
                <a:srgbClr val="FF0000"/>
              </a:solidFill>
              <a:ln>
                <a:noFill/>
              </a:ln>
              <a:effectLst/>
              <a:scene3d>
                <a:camera prst="orthographicFront"/>
                <a:lightRig rig="threePt" dir="t"/>
              </a:scene3d>
              <a:sp3d>
                <a:bevelT/>
                <a:bevelB w="139700" h="139700" prst="divot"/>
              </a:sp3d>
            </c:spPr>
            <c:extLst>
              <c:ext xmlns:c16="http://schemas.microsoft.com/office/drawing/2014/chart" uri="{C3380CC4-5D6E-409C-BE32-E72D297353CC}">
                <c16:uniqueId val="{00000007-0086-4F63-8FC1-5970F5BB3AA4}"/>
              </c:ext>
            </c:extLst>
          </c:dPt>
          <c:dPt>
            <c:idx val="4"/>
            <c:invertIfNegative val="0"/>
            <c:bubble3D val="0"/>
            <c:spPr>
              <a:solidFill>
                <a:srgbClr val="FFFF00"/>
              </a:solidFill>
              <a:ln>
                <a:noFill/>
              </a:ln>
              <a:effectLst/>
              <a:scene3d>
                <a:camera prst="orthographicFront"/>
                <a:lightRig rig="threePt" dir="t"/>
              </a:scene3d>
              <a:sp3d>
                <a:bevelT/>
                <a:bevelB w="139700" h="139700" prst="divot"/>
              </a:sp3d>
            </c:spPr>
            <c:extLst>
              <c:ext xmlns:c16="http://schemas.microsoft.com/office/drawing/2014/chart" uri="{C3380CC4-5D6E-409C-BE32-E72D297353CC}">
                <c16:uniqueId val="{00000009-0086-4F63-8FC1-5970F5BB3AA4}"/>
              </c:ext>
            </c:extLst>
          </c:dPt>
          <c:dPt>
            <c:idx val="5"/>
            <c:invertIfNegative val="0"/>
            <c:bubble3D val="0"/>
            <c:spPr>
              <a:solidFill>
                <a:srgbClr val="FFFF00"/>
              </a:solidFill>
              <a:ln>
                <a:noFill/>
              </a:ln>
              <a:effectLst/>
              <a:scene3d>
                <a:camera prst="orthographicFront"/>
                <a:lightRig rig="threePt" dir="t"/>
              </a:scene3d>
              <a:sp3d>
                <a:bevelT/>
                <a:bevelB w="139700" h="139700" prst="divot"/>
              </a:sp3d>
            </c:spPr>
            <c:extLst>
              <c:ext xmlns:c16="http://schemas.microsoft.com/office/drawing/2014/chart" uri="{C3380CC4-5D6E-409C-BE32-E72D297353CC}">
                <c16:uniqueId val="{0000000B-0086-4F63-8FC1-5970F5BB3AA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C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'CARTERA VENCIDA'!$F$2:$F$7</c:f>
              <c:strCache>
                <c:ptCount val="6"/>
                <c:pt idx="0">
                  <c:v>DICIEMBRE 2013.</c:v>
                </c:pt>
                <c:pt idx="1">
                  <c:v>DICIEMBRE 2014.</c:v>
                </c:pt>
                <c:pt idx="2">
                  <c:v>DICIEMBRE 2015.</c:v>
                </c:pt>
                <c:pt idx="3">
                  <c:v>DICIEMBRE  2016.</c:v>
                </c:pt>
                <c:pt idx="4">
                  <c:v>DICIEMBRE 2017.</c:v>
                </c:pt>
                <c:pt idx="5">
                  <c:v>DICIEMBRE  2018.</c:v>
                </c:pt>
              </c:strCache>
            </c:strRef>
          </c:cat>
          <c:val>
            <c:numRef>
              <c:f>'CARTERA VENCIDA'!$G$2:$G$7</c:f>
              <c:numCache>
                <c:formatCode>0.00%</c:formatCode>
                <c:ptCount val="6"/>
                <c:pt idx="0">
                  <c:v>9.9143912185923361E-2</c:v>
                </c:pt>
                <c:pt idx="1">
                  <c:v>0.10099037757822535</c:v>
                </c:pt>
                <c:pt idx="2">
                  <c:v>7.4142098764430647E-2</c:v>
                </c:pt>
                <c:pt idx="3">
                  <c:v>6.7957466784360626E-2</c:v>
                </c:pt>
                <c:pt idx="4">
                  <c:v>4.9618794173637876E-2</c:v>
                </c:pt>
                <c:pt idx="5">
                  <c:v>4.3449942231561761E-2</c:v>
                </c:pt>
              </c:numCache>
            </c:numRef>
          </c:val>
          <c:extLst>
            <c:ext xmlns:c16="http://schemas.microsoft.com/office/drawing/2014/chart" uri="{C3380CC4-5D6E-409C-BE32-E72D297353CC}">
              <c16:uniqueId val="{0000000C-0086-4F63-8FC1-5970F5BB3AA4}"/>
            </c:ext>
          </c:extLst>
        </c:ser>
        <c:dLbls>
          <c:showLegendKey val="0"/>
          <c:showVal val="0"/>
          <c:showCatName val="0"/>
          <c:showSerName val="0"/>
          <c:showPercent val="0"/>
          <c:showBubbleSize val="0"/>
        </c:dLbls>
        <c:gapWidth val="182"/>
        <c:axId val="507365008"/>
        <c:axId val="507367632"/>
      </c:barChart>
      <c:catAx>
        <c:axId val="50736500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507367632"/>
        <c:crosses val="autoZero"/>
        <c:auto val="1"/>
        <c:lblAlgn val="ctr"/>
        <c:lblOffset val="100"/>
        <c:noMultiLvlLbl val="0"/>
      </c:catAx>
      <c:valAx>
        <c:axId val="507367632"/>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CO"/>
          </a:p>
        </c:txPr>
        <c:crossAx val="50736500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CO"/>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Carrera 82 Bis 49-21 Ciudad Real – Teléfono 3166249 – Telefax   3961552 Cali - Celular 3108411045 – Mail diego.betancour@telecom.com.co</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8B4164F-864A-4289-ABB7-57120F713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28</Pages>
  <Words>13604</Words>
  <Characters>74822</Characters>
  <Application>Microsoft Office Word</Application>
  <DocSecurity>0</DocSecurity>
  <Lines>623</Lines>
  <Paragraphs>176</Paragraphs>
  <ScaleCrop>false</ScaleCrop>
  <HeadingPairs>
    <vt:vector size="2" baseType="variant">
      <vt:variant>
        <vt:lpstr>Título</vt:lpstr>
      </vt:variant>
      <vt:variant>
        <vt:i4>1</vt:i4>
      </vt:variant>
    </vt:vector>
  </HeadingPairs>
  <TitlesOfParts>
    <vt:vector size="1" baseType="lpstr">
      <vt:lpstr>sfjañsfdjaslfjCali, Diciembre 4 de 1995</vt:lpstr>
    </vt:vector>
  </TitlesOfParts>
  <Company> </Company>
  <LinksUpToDate>false</LinksUpToDate>
  <CharactersWithSpaces>88250</CharactersWithSpaces>
  <SharedDoc>false</SharedDoc>
  <HLinks>
    <vt:vector size="12" baseType="variant">
      <vt:variant>
        <vt:i4>7733266</vt:i4>
      </vt:variant>
      <vt:variant>
        <vt:i4>6</vt:i4>
      </vt:variant>
      <vt:variant>
        <vt:i4>0</vt:i4>
      </vt:variant>
      <vt:variant>
        <vt:i4>5</vt:i4>
      </vt:variant>
      <vt:variant>
        <vt:lpwstr>mailto:diego.betancour@hotmail.com</vt:lpwstr>
      </vt:variant>
      <vt:variant>
        <vt:lpwstr/>
      </vt:variant>
      <vt:variant>
        <vt:i4>589860</vt:i4>
      </vt:variant>
      <vt:variant>
        <vt:i4>3</vt:i4>
      </vt:variant>
      <vt:variant>
        <vt:i4>0</vt:i4>
      </vt:variant>
      <vt:variant>
        <vt:i4>5</vt:i4>
      </vt:variant>
      <vt:variant>
        <vt:lpwstr>mailto:diego.betancour@emcali.net.co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sfjañsfdjaslfjCali, Diciembre 4 de 1995</dc:title>
  <dc:subject/>
  <dc:creator>Acer</dc:creator>
  <cp:keywords/>
  <cp:lastModifiedBy>Diego Fernando Betancour Palacios</cp:lastModifiedBy>
  <cp:revision>77</cp:revision>
  <cp:lastPrinted>2009-01-29T16:26:00Z</cp:lastPrinted>
  <dcterms:created xsi:type="dcterms:W3CDTF">2022-02-04T00:42:00Z</dcterms:created>
  <dcterms:modified xsi:type="dcterms:W3CDTF">2022-02-04T16:15:00Z</dcterms:modified>
</cp:coreProperties>
</file>