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2"/>
        <w:gridCol w:w="2127"/>
        <w:gridCol w:w="8363"/>
      </w:tblGrid>
      <w:tr w:rsidR="000B7B01" w:rsidRPr="00E258E3" w14:paraId="70E7E971" w14:textId="77777777" w:rsidTr="00241880">
        <w:trPr>
          <w:trHeight w:val="300"/>
          <w:tblHeader/>
        </w:trPr>
        <w:tc>
          <w:tcPr>
            <w:tcW w:w="562" w:type="dxa"/>
            <w:shd w:val="clear" w:color="auto" w:fill="auto"/>
            <w:noWrap/>
            <w:hideMark/>
          </w:tcPr>
          <w:p w14:paraId="70E7E96E" w14:textId="77777777" w:rsidR="000B7B01" w:rsidRPr="00E258E3" w:rsidRDefault="000B7B01" w:rsidP="00E258E3">
            <w:pPr>
              <w:spacing w:after="0" w:line="240" w:lineRule="auto"/>
              <w:ind w:left="708" w:hanging="708"/>
              <w:jc w:val="center"/>
              <w:rPr>
                <w:rFonts w:ascii="Arial Narrow" w:eastAsia="Times New Roman" w:hAnsi="Arial Narrow" w:cs="Calibri"/>
                <w:b/>
                <w:color w:val="000000"/>
                <w:sz w:val="20"/>
                <w:szCs w:val="20"/>
                <w:lang w:eastAsia="es-CO"/>
              </w:rPr>
            </w:pPr>
            <w:proofErr w:type="spellStart"/>
            <w:r w:rsidRPr="00E258E3">
              <w:rPr>
                <w:rFonts w:ascii="Arial Narrow" w:eastAsia="Times New Roman" w:hAnsi="Arial Narrow" w:cs="Calibri"/>
                <w:b/>
                <w:color w:val="000000"/>
                <w:sz w:val="20"/>
                <w:szCs w:val="20"/>
                <w:lang w:eastAsia="es-CO"/>
              </w:rPr>
              <w:t>N°</w:t>
            </w:r>
            <w:proofErr w:type="spellEnd"/>
          </w:p>
        </w:tc>
        <w:tc>
          <w:tcPr>
            <w:tcW w:w="2127" w:type="dxa"/>
          </w:tcPr>
          <w:p w14:paraId="70E7E96F" w14:textId="77777777" w:rsidR="000B7B01" w:rsidRPr="00E258E3" w:rsidRDefault="000B7B01" w:rsidP="00E258E3">
            <w:pPr>
              <w:spacing w:after="0" w:line="240" w:lineRule="auto"/>
              <w:jc w:val="center"/>
              <w:rPr>
                <w:rFonts w:ascii="Arial Narrow" w:eastAsia="Times New Roman" w:hAnsi="Arial Narrow" w:cs="Calibri"/>
                <w:b/>
                <w:color w:val="000000"/>
                <w:sz w:val="20"/>
                <w:szCs w:val="20"/>
                <w:lang w:eastAsia="es-CO"/>
              </w:rPr>
            </w:pPr>
            <w:r w:rsidRPr="00E258E3">
              <w:rPr>
                <w:rFonts w:ascii="Arial Narrow" w:eastAsia="Times New Roman" w:hAnsi="Arial Narrow" w:cs="Calibri"/>
                <w:b/>
                <w:color w:val="000000"/>
                <w:sz w:val="20"/>
                <w:szCs w:val="20"/>
                <w:lang w:eastAsia="es-CO"/>
              </w:rPr>
              <w:t>concepto</w:t>
            </w:r>
          </w:p>
        </w:tc>
        <w:tc>
          <w:tcPr>
            <w:tcW w:w="8363" w:type="dxa"/>
            <w:shd w:val="clear" w:color="auto" w:fill="auto"/>
            <w:noWrap/>
            <w:hideMark/>
          </w:tcPr>
          <w:p w14:paraId="70E7E970" w14:textId="77777777" w:rsidR="000B7B01" w:rsidRPr="00E258E3" w:rsidRDefault="000B7B01" w:rsidP="00E258E3">
            <w:pPr>
              <w:spacing w:after="0" w:line="240" w:lineRule="auto"/>
              <w:jc w:val="center"/>
              <w:rPr>
                <w:rFonts w:ascii="Arial Narrow" w:eastAsia="Times New Roman" w:hAnsi="Arial Narrow" w:cs="Calibri"/>
                <w:b/>
                <w:color w:val="000000"/>
                <w:sz w:val="20"/>
                <w:szCs w:val="20"/>
                <w:lang w:eastAsia="es-CO"/>
              </w:rPr>
            </w:pPr>
            <w:r w:rsidRPr="00E258E3">
              <w:rPr>
                <w:rFonts w:ascii="Arial Narrow" w:eastAsia="Times New Roman" w:hAnsi="Arial Narrow" w:cs="Calibri"/>
                <w:b/>
                <w:color w:val="000000"/>
                <w:sz w:val="20"/>
                <w:szCs w:val="20"/>
                <w:lang w:eastAsia="es-CO"/>
              </w:rPr>
              <w:t>TEXTO</w:t>
            </w:r>
          </w:p>
        </w:tc>
      </w:tr>
      <w:tr w:rsidR="000B7B01" w:rsidRPr="00E258E3" w14:paraId="70E7E975" w14:textId="77777777" w:rsidTr="00241880">
        <w:trPr>
          <w:trHeight w:val="300"/>
        </w:trPr>
        <w:tc>
          <w:tcPr>
            <w:tcW w:w="562" w:type="dxa"/>
            <w:shd w:val="clear" w:color="auto" w:fill="auto"/>
            <w:noWrap/>
            <w:hideMark/>
          </w:tcPr>
          <w:p w14:paraId="70E7E972"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w:t>
            </w:r>
          </w:p>
        </w:tc>
        <w:tc>
          <w:tcPr>
            <w:tcW w:w="2127" w:type="dxa"/>
          </w:tcPr>
          <w:p w14:paraId="70E7E973"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Comentarios de la gerencia</w:t>
            </w:r>
          </w:p>
        </w:tc>
        <w:tc>
          <w:tcPr>
            <w:tcW w:w="8363" w:type="dxa"/>
            <w:shd w:val="clear" w:color="auto" w:fill="auto"/>
            <w:noWrap/>
            <w:hideMark/>
          </w:tcPr>
          <w:p w14:paraId="70E7E974" w14:textId="0B201F35" w:rsidR="000B7B01" w:rsidRPr="00E258E3" w:rsidRDefault="00E258E3"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RESUMEN DEL INFORME DE GESTION</w:t>
            </w:r>
          </w:p>
        </w:tc>
      </w:tr>
      <w:tr w:rsidR="000B7B01" w:rsidRPr="00E258E3" w14:paraId="70E7E97B" w14:textId="77777777" w:rsidTr="00241880">
        <w:trPr>
          <w:trHeight w:val="300"/>
        </w:trPr>
        <w:tc>
          <w:tcPr>
            <w:tcW w:w="562" w:type="dxa"/>
            <w:shd w:val="clear" w:color="auto" w:fill="auto"/>
            <w:noWrap/>
            <w:hideMark/>
          </w:tcPr>
          <w:p w14:paraId="70E7E97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w:t>
            </w:r>
          </w:p>
        </w:tc>
        <w:tc>
          <w:tcPr>
            <w:tcW w:w="2127" w:type="dxa"/>
          </w:tcPr>
          <w:p w14:paraId="70E7E97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naturaleza del negocio</w:t>
            </w:r>
          </w:p>
        </w:tc>
        <w:tc>
          <w:tcPr>
            <w:tcW w:w="8363" w:type="dxa"/>
            <w:shd w:val="clear" w:color="auto" w:fill="auto"/>
            <w:noWrap/>
            <w:hideMark/>
          </w:tcPr>
          <w:p w14:paraId="70E7E97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Empresa Asociativa sin ánimo de lucro de naturaleza Cooperativa y de carácter privado especializada en ahorro y crédito, con un número de asociados y patrimonio social variable e ilimitado integrado por sus fundadores, por los actuales y por quienes mediante las condiciones establecidas se adhieran a los estatutos y se sometan a ellos.</w:t>
            </w:r>
          </w:p>
          <w:p w14:paraId="70E7E97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7A" w14:textId="3A4AF98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Su objeto principal es contribuir al mejoramiento social, económico y cultural de sus asociados, al desarrollo de la comunidad fomentando la solidaridad y ayuda mutua, actuando con base principal en el esfuerzo propio y mediante la aplicación y la practicas de métodos cooperativos y la eficiente gestión administrativa.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La entidad ejerce la actividad financiera de manera exclusiva con sus asociados conforme al marco normativo establecido en la Ley 454 de 1998. Fomenta el ahorro y bienestar entre los asociados, ofreciéndoles soluciones crediticias para facilitar la adquisición de bienes o servicios, procurar la satisfacción de necesidades personales y familiares de los asociados y sus familiares. Además promueve la solidaridad y los lazos de compañerismo entre los asociados, acogiendo en su integridad la filosofía de la cooperación fomentando los vínculos de compañerismo y contribuyendo a elevar el nivel económico social y cultural. La duración de la Cooperativa es Indefinida, sin embargo, podrá disolverse y liquidarse en cualquier momento por las causales legales, estatutarias y reglamentarias.</w:t>
            </w:r>
          </w:p>
        </w:tc>
      </w:tr>
      <w:tr w:rsidR="000B7B01" w:rsidRPr="00E258E3" w14:paraId="70E7E97F" w14:textId="77777777" w:rsidTr="00241880">
        <w:trPr>
          <w:trHeight w:val="300"/>
        </w:trPr>
        <w:tc>
          <w:tcPr>
            <w:tcW w:w="562" w:type="dxa"/>
            <w:shd w:val="clear" w:color="auto" w:fill="auto"/>
            <w:noWrap/>
            <w:hideMark/>
          </w:tcPr>
          <w:p w14:paraId="70E7E97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w:t>
            </w:r>
          </w:p>
        </w:tc>
        <w:tc>
          <w:tcPr>
            <w:tcW w:w="2127" w:type="dxa"/>
          </w:tcPr>
          <w:p w14:paraId="70E7E97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objetivos de la gerencia y sus estrategias para alcanzar esos objetivos</w:t>
            </w:r>
          </w:p>
        </w:tc>
        <w:tc>
          <w:tcPr>
            <w:tcW w:w="8363" w:type="dxa"/>
            <w:shd w:val="clear" w:color="auto" w:fill="auto"/>
            <w:noWrap/>
            <w:hideMark/>
          </w:tcPr>
          <w:p w14:paraId="70E7E97E" w14:textId="3D866B3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COOPEJEMPLO, como Cooperativa Especializada de ahorro y Crédito, tendrá para el año </w:t>
            </w:r>
            <w:r w:rsidR="00E258E3" w:rsidRPr="00E258E3">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como tarea relevante, posicionar su nombre en la ciudad, mediante la puesta en marcha de un plan de medios que le permita generar recordación, facilitando con ello la labor de la fuerza comercial. Se dará ejecución al proyecto instalación y puesta en marcha del sistema LINIX, con el objeto de optimizar los procesos operativos, contando además, con una plataforma tecnológica adecuada que permita a los asociados dar manejo electrónico de los recursos que poseen en la entidad mediante la implementación de la tarjeta debito – crédito. Revisará cuidadosamente las políticas de crédito y cobranza, en aras de realizar los ajustes necesarios que le permitan tener controlado el riesgo de crédito y el indicador de calidad de la cartera de crédito. Continuará estableciendo metas y controlando los indicadores de ingresos, costos, gastos, crecimientos de cartera, aportes, ahorros, excedentes y capital institucional con el objeto cumplir con las proyecciones presentadas para transformarse en cooperativa de ahorro y crédito, así como tambien asegurar el fortalecimiento y crecimiento de la entidad. Diseñará y pondrá en marcha campañas de profundización con el objeto de mejorar los indicadores de cubrimiento de los servicios de ahorro y crédito en la base social actual.</w:t>
            </w:r>
          </w:p>
        </w:tc>
      </w:tr>
      <w:tr w:rsidR="000B7B01" w:rsidRPr="00E258E3" w14:paraId="70E7E98D" w14:textId="77777777" w:rsidTr="00241880">
        <w:trPr>
          <w:trHeight w:val="300"/>
        </w:trPr>
        <w:tc>
          <w:tcPr>
            <w:tcW w:w="562" w:type="dxa"/>
            <w:shd w:val="clear" w:color="auto" w:fill="auto"/>
            <w:noWrap/>
            <w:hideMark/>
          </w:tcPr>
          <w:p w14:paraId="70E7E98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w:t>
            </w:r>
          </w:p>
        </w:tc>
        <w:tc>
          <w:tcPr>
            <w:tcW w:w="2127" w:type="dxa"/>
          </w:tcPr>
          <w:p w14:paraId="70E7E98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recursos, riesgos y relaciones más significativos de la entidad</w:t>
            </w:r>
          </w:p>
        </w:tc>
        <w:tc>
          <w:tcPr>
            <w:tcW w:w="8363" w:type="dxa"/>
            <w:shd w:val="clear" w:color="auto" w:fill="auto"/>
            <w:noWrap/>
            <w:hideMark/>
          </w:tcPr>
          <w:p w14:paraId="70E7E98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Riesgo de Crédito y/o de Contraparte: El riesgo crediticio es la posibilidad de que una entidad incurra en pérdidas y se disminuya el valor de sus activos, como consecuencia de que sus deudores falten en el cumplimiento oportuno o cumplan imperfectamente los términos acordados en los respectivos contratos. COOPEJEMPLO cuenta con un modelo evaluación interno de iniciación y otorgamiento de créditos, que se emplea como una herramienta en el proceso de toma de decisiones de aprobación o rechazo por parte de los asesores comerciales. COOPEJEMPLO posee la información suficiente para evaluar el nivel de endeudamiento del asociado. </w:t>
            </w:r>
          </w:p>
          <w:p w14:paraId="70E7E98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b/>
            </w:r>
          </w:p>
          <w:p w14:paraId="70E7E98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Riesgo de Mercado: Posibilidad de que un establecimiento de crédito incurra en pérdidas y se disminuya el valor de su patrimonio técnico como consecuencia de cambios en el precio de los instrumentos financieros en los que la entidad mantenga posiciones dentro o fuera de balance. Estos cambios en el precio de los instrumentos pueden presentarse como resultado de variaciones en las tasas de interés, tipos de cambios y otros índices. La política de la Administración es la de invertir en títulos AAA y AA+ ya que es muy importante la seguridad en este tipo de inversiones, tal como lo indica el reglamento para inversiones que posee COOPEJEMPLO.</w:t>
            </w:r>
          </w:p>
          <w:p w14:paraId="70E7E98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Riesgo de tasa de interés: COOPEJEMPLO hace sus </w:t>
            </w:r>
            <w:proofErr w:type="gramStart"/>
            <w:r w:rsidRPr="00E258E3">
              <w:rPr>
                <w:rFonts w:ascii="Arial Narrow" w:eastAsia="Times New Roman" w:hAnsi="Arial Narrow" w:cs="Calibri"/>
                <w:color w:val="000000"/>
                <w:sz w:val="20"/>
                <w:szCs w:val="20"/>
                <w:lang w:eastAsia="es-CO"/>
              </w:rPr>
              <w:t>créditos acorde</w:t>
            </w:r>
            <w:proofErr w:type="gramEnd"/>
            <w:r w:rsidRPr="00E258E3">
              <w:rPr>
                <w:rFonts w:ascii="Arial Narrow" w:eastAsia="Times New Roman" w:hAnsi="Arial Narrow" w:cs="Calibri"/>
                <w:color w:val="000000"/>
                <w:sz w:val="20"/>
                <w:szCs w:val="20"/>
                <w:lang w:eastAsia="es-CO"/>
              </w:rPr>
              <w:t xml:space="preserve"> con las tasas del mercado para libranza consumo a tasa fija, las cuales son revisadas y ajustadas periódicamente por el Consejo de Administración y no reconoce intereses sobre sus ahorros permanentes lo que le genera un amplio margen de intermediación que absorba posibles fluctuaciones desfavorables de la tasas de interés. </w:t>
            </w:r>
          </w:p>
          <w:p w14:paraId="70E7E98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Riesgo de Liquidez: El Riesgo de Liquidez se define como la contingencia que la entidad incurra en pérdidas por la venta de activos a descuentos inusuales, con el fin de disponer rápidamente de los recursos necesarios para cumplir con sus obligaciones contractuales. </w:t>
            </w:r>
          </w:p>
          <w:p w14:paraId="70E7E98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Riesgo Operativo y Legal: Se entiende como la posibilidad de incurrir en pérdidas por deficiencias, fallas o inadecuaciones, en el recurso humano, los procesos, la tecnología, la infraestructura o por la ocurrencia de acontecimientos externos. Esta definición incluye los riesgos legales, de custodia y reputacional asociados a tales factores. COOPEJEMPLO cuenta actualmente con un software integrado y en línea que permite mantener actualizada la información y generar los reportes exigidos por la Superintendencia de la Economía Solidaria. Igualmente COOPEJEMPLO cuenta con Estatutos y Reglamentos de sus servicios y beneficios los cuales son conocidos y actualizados permanentemente por sus empleados. Se cuenta con una Revisoría Fiscal que hace visitas mensuales y vela por el cumplimiento de las normas legales, también se tiene auditoría interna.</w:t>
            </w:r>
          </w:p>
          <w:p w14:paraId="70E7E98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8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Riesgo de Lavado de Activos y Financiación del Terrorismo: El marco legal sobre el tema de prevención y control de lavado de activos y financiación del terrorismo LA/FT, tiene como base fundamental las políticas, normas y procedimientos consagrados en la Circular Básica Jurídica No. 007 de 2008, de la Superintendencia de la Economía Solidaria. COOPEJEMPLO cuenta con políticas de LA/TF, su cumplimiento se verifica mediante mecanismos y procedimientos adecuados de control interno que le permiten mitigar el riesgo legal, reputacional y de contagio. Como medidas adicionales para mitigar el riesgo se realizan publicaciones periódicas y se envían por correo electrónico a todos los empleados sobre temas relacionados con el lavado de activos, además se realizan capacitaciones periódicas a los empleados y directivos. Adicionalmente se cuenta con un sistema que controla alertas por operaciones en efectivo y permite cargar listas de control, para cruce con la base de datos.</w:t>
            </w:r>
          </w:p>
        </w:tc>
      </w:tr>
      <w:tr w:rsidR="000B7B01" w:rsidRPr="00E258E3" w14:paraId="70E7E995" w14:textId="77777777" w:rsidTr="00241880">
        <w:trPr>
          <w:trHeight w:val="300"/>
        </w:trPr>
        <w:tc>
          <w:tcPr>
            <w:tcW w:w="562" w:type="dxa"/>
            <w:shd w:val="clear" w:color="auto" w:fill="auto"/>
            <w:noWrap/>
            <w:hideMark/>
          </w:tcPr>
          <w:p w14:paraId="70E7E98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C5</w:t>
            </w:r>
          </w:p>
        </w:tc>
        <w:tc>
          <w:tcPr>
            <w:tcW w:w="2127" w:type="dxa"/>
          </w:tcPr>
          <w:p w14:paraId="70E7E98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los resultados de las operaciones y perspectivas </w:t>
            </w:r>
          </w:p>
        </w:tc>
        <w:tc>
          <w:tcPr>
            <w:tcW w:w="8363" w:type="dxa"/>
            <w:shd w:val="clear" w:color="auto" w:fill="auto"/>
            <w:noWrap/>
            <w:hideMark/>
          </w:tcPr>
          <w:p w14:paraId="70E7E990" w14:textId="7674CEB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El portafolio de créditos de COOPEJEMPLO, permitió llegar a los asociados con 1734 créditos desembolsados por un valor total de $5.491 millones de pesos. El crecimiento en colocación con relación al año anterior fue $ 547 millones equivalentes al 11%, el promedio de crédito otorgado fue en el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de $ 3.1 millones de pesos, desembolsos que se originaron a lo largo del año principalmente por las líneas de crédito ordinario nomina, ordinario personal crédito rotativo y crédito prima. La cooperativa cierra el año con 1510 créditos vigentes por valor de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$ 5.271 millones de pesos, presentando un crecimiento con relación al año anterior de $ 327 millones y porcentualmente del 7.3%. Las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políticas establecidas en aras de hacer más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ágil y accesible a los asociados el servicio de crédito, sumado a las constantes campañas de colocación desarrolladas a lo largo del año, pero principalmente al sentido de pertenencia de la base social quien continua considerado a la cooperativa como una muy buena opción de financiamiento, fueron las razones que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permitieron que a pesar de la desaceleración de la economía en la ciudad, la incertidumbre laboral y la fuerte competencia bancaria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especialmente en compra de cartera se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presentaran resultados positivos al cierre del año. Del total de la cartera de crédito vigente al cierre de año, un 4,98% presentan cuotas en mora con calificaciones iguales o superiores a B. Situación presentada debido al deterioro de la economía en Cúcuta, producto de la crisis binacional, situación que ha desencadenado la desvinculación laboral de asociados de la cooperativa, razón por la cual no han podido continuar dando oportuno pago a sus obligaciones, no obstante la entidad realiza seguimiento continuo a estos créditos, dando aplicación en su orden a cada una de las políticas de cobro establecidas, buscando siempre la recuperación de esta cartera. Al cierre del año la cartera en mora ascendió a $ 263 millones, las provisiones que cubren esta cartera registraron $ 315 millones, un indicador de cobertura de cartera con calificación superior a B del 120%.</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Cabe resaltar que para el logro de este indicador,</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las directivas de las ultimas vigencias obrando prudentemente y ante el inminente riesgo del incremento de la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morosidad, han aprobado y aplicado las siguientes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politicas de provision. Provision individual de cartera aplicando el % </w:t>
            </w:r>
            <w:r w:rsidR="00E258E3" w:rsidRPr="00E258E3">
              <w:rPr>
                <w:rFonts w:ascii="Arial Narrow" w:eastAsia="Times New Roman" w:hAnsi="Arial Narrow" w:cs="Calibri"/>
                <w:color w:val="000000"/>
                <w:sz w:val="20"/>
                <w:szCs w:val="20"/>
                <w:lang w:eastAsia="es-CO"/>
              </w:rPr>
              <w:t>máximo</w:t>
            </w:r>
            <w:r w:rsidRPr="00E258E3">
              <w:rPr>
                <w:rFonts w:ascii="Arial Narrow" w:eastAsia="Times New Roman" w:hAnsi="Arial Narrow" w:cs="Calibri"/>
                <w:color w:val="000000"/>
                <w:sz w:val="20"/>
                <w:szCs w:val="20"/>
                <w:lang w:eastAsia="es-CO"/>
              </w:rPr>
              <w:t xml:space="preserve"> permitido por la SUPERSOLIDARIA para cada calificación, </w:t>
            </w:r>
            <w:r w:rsidR="00E258E3" w:rsidRPr="00E258E3">
              <w:rPr>
                <w:rFonts w:ascii="Arial Narrow" w:eastAsia="Times New Roman" w:hAnsi="Arial Narrow" w:cs="Calibri"/>
                <w:color w:val="000000"/>
                <w:sz w:val="20"/>
                <w:szCs w:val="20"/>
                <w:lang w:eastAsia="es-CO"/>
              </w:rPr>
              <w:t>así</w:t>
            </w:r>
            <w:r w:rsidRPr="00E258E3">
              <w:rPr>
                <w:rFonts w:ascii="Arial Narrow" w:eastAsia="Times New Roman" w:hAnsi="Arial Narrow" w:cs="Calibri"/>
                <w:color w:val="000000"/>
                <w:sz w:val="20"/>
                <w:szCs w:val="20"/>
                <w:lang w:eastAsia="es-CO"/>
              </w:rPr>
              <w:t xml:space="preserve"> como </w:t>
            </w:r>
            <w:r w:rsidR="00E258E3" w:rsidRPr="00E258E3">
              <w:rPr>
                <w:rFonts w:ascii="Arial Narrow" w:eastAsia="Times New Roman" w:hAnsi="Arial Narrow" w:cs="Calibri"/>
                <w:color w:val="000000"/>
                <w:sz w:val="20"/>
                <w:szCs w:val="20"/>
                <w:lang w:eastAsia="es-CO"/>
              </w:rPr>
              <w:t>también</w:t>
            </w:r>
            <w:r w:rsidRPr="00E258E3">
              <w:rPr>
                <w:rFonts w:ascii="Arial Narrow" w:eastAsia="Times New Roman" w:hAnsi="Arial Narrow" w:cs="Calibri"/>
                <w:color w:val="000000"/>
                <w:sz w:val="20"/>
                <w:szCs w:val="20"/>
                <w:lang w:eastAsia="es-CO"/>
              </w:rPr>
              <w:t xml:space="preserve"> la no deducción de los aportes sociales al momento de realizar el </w:t>
            </w:r>
            <w:r w:rsidR="00E258E3" w:rsidRPr="00E258E3">
              <w:rPr>
                <w:rFonts w:ascii="Arial Narrow" w:eastAsia="Times New Roman" w:hAnsi="Arial Narrow" w:cs="Calibri"/>
                <w:color w:val="000000"/>
                <w:sz w:val="20"/>
                <w:szCs w:val="20"/>
                <w:lang w:eastAsia="es-CO"/>
              </w:rPr>
              <w:t>cálculo</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Incrementar el % de provision general de cartera en el año </w:t>
            </w:r>
            <w:r w:rsidR="00241880">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en 1% adicional 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1% exigido por norma y para el año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otro 1%, dando como resultado un porcentaje de provision general de cartera del 3%.</w:t>
            </w:r>
          </w:p>
          <w:p w14:paraId="70E7E99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92" w14:textId="3F00B9C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COOPEJEMPLO dio inicio en septiembre de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a la captación de ahorros de sus asociados, depósitos que a cierre de año ascendieron a $208 millones de pesos en 346 productos abiertos.</w:t>
            </w:r>
          </w:p>
          <w:p w14:paraId="70E7E99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94" w14:textId="5AE0242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Ingresaron a la entidad en el trascurso del año 320 asociados, la deserción durante el </w:t>
            </w:r>
            <w:r w:rsidR="00241880">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fue de 21 asociados por mes, para un total de 258 retiros, así tambien fallecieron 3 asociados, Al cierre del año la base social quedo constituida con 2435 asociados.</w:t>
            </w:r>
          </w:p>
        </w:tc>
      </w:tr>
      <w:tr w:rsidR="000B7B01" w:rsidRPr="00E258E3" w14:paraId="70E7E9A7" w14:textId="77777777" w:rsidTr="00241880">
        <w:trPr>
          <w:trHeight w:val="300"/>
        </w:trPr>
        <w:tc>
          <w:tcPr>
            <w:tcW w:w="562" w:type="dxa"/>
            <w:shd w:val="clear" w:color="auto" w:fill="auto"/>
            <w:noWrap/>
            <w:hideMark/>
          </w:tcPr>
          <w:p w14:paraId="70E7E99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w:t>
            </w:r>
          </w:p>
        </w:tc>
        <w:tc>
          <w:tcPr>
            <w:tcW w:w="2127" w:type="dxa"/>
          </w:tcPr>
          <w:p w14:paraId="70E7E99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las medidas de rendimiento fundamentales e indicadores que la gerencia utiliza para evaluar el rendimiento de la entidad con respecto a los objetivos establecidos</w:t>
            </w:r>
          </w:p>
        </w:tc>
        <w:tc>
          <w:tcPr>
            <w:tcW w:w="8363" w:type="dxa"/>
            <w:shd w:val="clear" w:color="auto" w:fill="auto"/>
            <w:noWrap/>
            <w:hideMark/>
          </w:tcPr>
          <w:p w14:paraId="70E7E998" w14:textId="216C681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Cartera / Activos</w:t>
            </w:r>
          </w:p>
          <w:p w14:paraId="70E7E99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Cartera + Inversiones + Cuentas por Cobrar + Efectivo y Equivalentes / Depositos + Aportes + Obligaciones Financieras + cuentas por pagar + beneficios a empleados + impuestos</w:t>
            </w:r>
          </w:p>
          <w:p w14:paraId="70E7E99A" w14:textId="1D3AE81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Quebranto Patrimonial: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Patrimonio / Capital Social</w:t>
            </w:r>
          </w:p>
          <w:p w14:paraId="70E7E99B" w14:textId="62603B6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de Solvencia: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Patrimonio Técnico / Activos ponderados por riesgo</w:t>
            </w:r>
          </w:p>
          <w:p w14:paraId="70E7E99C" w14:textId="66F6F2E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Tasa: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Rentabilidad ponderada del Activo - Costo ponderado del apalancamiento y el capital</w:t>
            </w:r>
          </w:p>
          <w:p w14:paraId="70E7E99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Crecimiento porcentual de: Cartera / Depositos / Aportes / Asociados</w:t>
            </w:r>
          </w:p>
          <w:p w14:paraId="70E7E99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Suficiencia del margen =Margen Financiero bruto / (Gastos de personal + Gastos Generales + Gastos de fondos + Provisiones + Depreciaciones + amortizaciones</w:t>
            </w:r>
          </w:p>
          <w:p w14:paraId="70E7E99F" w14:textId="61B101C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Eficiencia administrativa: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Gastos de personal + gastos generales / ingresos operacionales ordinarios</w:t>
            </w:r>
          </w:p>
          <w:p w14:paraId="70E7E9A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financiero bruto = Margen de intermediación + otros ingresos actividad financiera - otros egresos actividad financiera</w:t>
            </w:r>
          </w:p>
          <w:p w14:paraId="70E7E9A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Margen de Intermediación = Intereses recibidos de cartera - Intereses pagados de depósitos</w:t>
            </w:r>
          </w:p>
          <w:p w14:paraId="70E7E9A2" w14:textId="4D07FFA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Calidad de la cartera = Cartera vencida mayor a B / total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cartera bruta</w:t>
            </w:r>
          </w:p>
          <w:p w14:paraId="70E7E9A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Cobertura de la cartera mayor a B = Provisiones de cartera / (sumatoria de cartera en categorías B-C-D-E)</w:t>
            </w:r>
          </w:p>
          <w:p w14:paraId="70E7E9A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Indicador de cobertura de gastos de personal y gastos generales / ingresos operacionales</w:t>
            </w:r>
          </w:p>
          <w:p w14:paraId="70E7E9A5" w14:textId="35F5B55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Capital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Institucional/ Activos = Total patrimonio - capital social ( aportes)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total activos</w:t>
            </w:r>
          </w:p>
          <w:p w14:paraId="70E7E9A6" w14:textId="0905C76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Mantenimiento del Capital: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excedentes / Capital Social</w:t>
            </w:r>
          </w:p>
        </w:tc>
      </w:tr>
      <w:tr w:rsidR="000B7B01" w:rsidRPr="00E258E3" w14:paraId="70E7E9AE" w14:textId="77777777" w:rsidTr="00241880">
        <w:trPr>
          <w:trHeight w:val="300"/>
        </w:trPr>
        <w:tc>
          <w:tcPr>
            <w:tcW w:w="562" w:type="dxa"/>
            <w:shd w:val="clear" w:color="auto" w:fill="auto"/>
            <w:noWrap/>
            <w:hideMark/>
          </w:tcPr>
          <w:p w14:paraId="70E7E9A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C7</w:t>
            </w:r>
          </w:p>
        </w:tc>
        <w:tc>
          <w:tcPr>
            <w:tcW w:w="2127" w:type="dxa"/>
          </w:tcPr>
          <w:p w14:paraId="70E7E9A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información general sobre los estados financieros </w:t>
            </w:r>
          </w:p>
        </w:tc>
        <w:tc>
          <w:tcPr>
            <w:tcW w:w="8363" w:type="dxa"/>
            <w:shd w:val="clear" w:color="auto" w:fill="auto"/>
            <w:noWrap/>
            <w:hideMark/>
          </w:tcPr>
          <w:p w14:paraId="70E7E9AA" w14:textId="42A1C01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E258E3" w:rsidRPr="00E258E3">
              <w:rPr>
                <w:rFonts w:ascii="Arial Narrow" w:eastAsia="Times New Roman" w:hAnsi="Arial Narrow" w:cs="Calibri"/>
                <w:color w:val="000000"/>
                <w:sz w:val="20"/>
                <w:szCs w:val="20"/>
                <w:lang w:eastAsia="es-CO"/>
              </w:rPr>
              <w:t>COOPEJEMPLO</w:t>
            </w:r>
          </w:p>
          <w:p w14:paraId="70E7E9AB" w14:textId="7C6CDC4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NIT </w:t>
            </w:r>
            <w:r w:rsidR="00E258E3" w:rsidRPr="00E258E3">
              <w:rPr>
                <w:rFonts w:ascii="Arial Narrow" w:eastAsia="Times New Roman" w:hAnsi="Arial Narrow" w:cs="Calibri"/>
                <w:color w:val="000000"/>
                <w:sz w:val="20"/>
                <w:szCs w:val="20"/>
                <w:lang w:eastAsia="es-CO"/>
              </w:rPr>
              <w:t>999.999.999-9</w:t>
            </w:r>
          </w:p>
          <w:p w14:paraId="70E7E9AC" w14:textId="4B93D1C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Estados Financieros individuales comparativos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w:t>
            </w:r>
            <w:r w:rsidR="00241880">
              <w:rPr>
                <w:rFonts w:ascii="Arial Narrow" w:eastAsia="Times New Roman" w:hAnsi="Arial Narrow" w:cs="Calibri"/>
                <w:color w:val="000000"/>
                <w:sz w:val="20"/>
                <w:szCs w:val="20"/>
                <w:lang w:eastAsia="es-CO"/>
              </w:rPr>
              <w:t>2020</w:t>
            </w:r>
          </w:p>
          <w:p w14:paraId="70E7E9A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(Cifras Expresadas en </w:t>
            </w:r>
            <w:proofErr w:type="gramStart"/>
            <w:r w:rsidRPr="00E258E3">
              <w:rPr>
                <w:rFonts w:ascii="Arial Narrow" w:eastAsia="Times New Roman" w:hAnsi="Arial Narrow" w:cs="Calibri"/>
                <w:color w:val="000000"/>
                <w:sz w:val="20"/>
                <w:szCs w:val="20"/>
                <w:lang w:eastAsia="es-CO"/>
              </w:rPr>
              <w:t>Pesos Colombianos</w:t>
            </w:r>
            <w:proofErr w:type="gramEnd"/>
            <w:r w:rsidRPr="00E258E3">
              <w:rPr>
                <w:rFonts w:ascii="Arial Narrow" w:eastAsia="Times New Roman" w:hAnsi="Arial Narrow" w:cs="Calibri"/>
                <w:color w:val="000000"/>
                <w:sz w:val="20"/>
                <w:szCs w:val="20"/>
                <w:lang w:eastAsia="es-CO"/>
              </w:rPr>
              <w:t>)</w:t>
            </w:r>
          </w:p>
        </w:tc>
      </w:tr>
      <w:tr w:rsidR="000B7B01" w:rsidRPr="00E258E3" w14:paraId="70E7E9B4" w14:textId="77777777" w:rsidTr="00241880">
        <w:trPr>
          <w:trHeight w:val="300"/>
        </w:trPr>
        <w:tc>
          <w:tcPr>
            <w:tcW w:w="562" w:type="dxa"/>
            <w:shd w:val="clear" w:color="auto" w:fill="auto"/>
            <w:noWrap/>
            <w:hideMark/>
          </w:tcPr>
          <w:p w14:paraId="70E7E9A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w:t>
            </w:r>
          </w:p>
        </w:tc>
        <w:tc>
          <w:tcPr>
            <w:tcW w:w="2127" w:type="dxa"/>
          </w:tcPr>
          <w:p w14:paraId="70E7E9B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cambio en el nombre de la entidad que informa u otras formas de identificación desde el final del periodo sobre el que se informa precedente</w:t>
            </w:r>
          </w:p>
        </w:tc>
        <w:tc>
          <w:tcPr>
            <w:tcW w:w="8363" w:type="dxa"/>
            <w:shd w:val="clear" w:color="auto" w:fill="auto"/>
            <w:noWrap/>
            <w:hideMark/>
          </w:tcPr>
          <w:p w14:paraId="70E7E9B3" w14:textId="143558CC"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9B8" w14:textId="77777777" w:rsidTr="00241880">
        <w:trPr>
          <w:trHeight w:val="300"/>
        </w:trPr>
        <w:tc>
          <w:tcPr>
            <w:tcW w:w="562" w:type="dxa"/>
            <w:shd w:val="clear" w:color="auto" w:fill="auto"/>
            <w:noWrap/>
            <w:hideMark/>
          </w:tcPr>
          <w:p w14:paraId="70E7E9B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w:t>
            </w:r>
          </w:p>
        </w:tc>
        <w:tc>
          <w:tcPr>
            <w:tcW w:w="2127" w:type="dxa"/>
          </w:tcPr>
          <w:p w14:paraId="70E7E9B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los estados financieros</w:t>
            </w:r>
          </w:p>
        </w:tc>
        <w:tc>
          <w:tcPr>
            <w:tcW w:w="8363" w:type="dxa"/>
            <w:shd w:val="clear" w:color="auto" w:fill="auto"/>
            <w:noWrap/>
            <w:hideMark/>
          </w:tcPr>
          <w:p w14:paraId="70E7E9B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INDIVIDUALES</w:t>
            </w:r>
          </w:p>
        </w:tc>
      </w:tr>
      <w:tr w:rsidR="000B7B01" w:rsidRPr="00E258E3" w14:paraId="70E7E9BC" w14:textId="77777777" w:rsidTr="00241880">
        <w:trPr>
          <w:trHeight w:val="300"/>
        </w:trPr>
        <w:tc>
          <w:tcPr>
            <w:tcW w:w="562" w:type="dxa"/>
            <w:shd w:val="clear" w:color="auto" w:fill="auto"/>
            <w:noWrap/>
            <w:hideMark/>
          </w:tcPr>
          <w:p w14:paraId="70E7E9B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w:t>
            </w:r>
          </w:p>
        </w:tc>
        <w:tc>
          <w:tcPr>
            <w:tcW w:w="2127" w:type="dxa"/>
          </w:tcPr>
          <w:p w14:paraId="70E7E9B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Periodo cubierto por los estados financieros</w:t>
            </w:r>
          </w:p>
        </w:tc>
        <w:tc>
          <w:tcPr>
            <w:tcW w:w="8363" w:type="dxa"/>
            <w:tcBorders>
              <w:bottom w:val="single" w:sz="4" w:space="0" w:color="auto"/>
            </w:tcBorders>
            <w:shd w:val="clear" w:color="auto" w:fill="auto"/>
            <w:noWrap/>
            <w:hideMark/>
          </w:tcPr>
          <w:p w14:paraId="70E7E9BB" w14:textId="158CF30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Del 01 de enero al 31 de diciembre del año </w:t>
            </w:r>
            <w:r w:rsidR="00E258E3" w:rsidRPr="00E258E3">
              <w:rPr>
                <w:rFonts w:ascii="Arial Narrow" w:eastAsia="Times New Roman" w:hAnsi="Arial Narrow" w:cs="Calibri"/>
                <w:color w:val="000000"/>
                <w:sz w:val="20"/>
                <w:szCs w:val="20"/>
                <w:lang w:eastAsia="es-CO"/>
              </w:rPr>
              <w:t>202</w:t>
            </w:r>
            <w:r w:rsidR="00241880">
              <w:rPr>
                <w:rFonts w:ascii="Arial Narrow" w:eastAsia="Times New Roman" w:hAnsi="Arial Narrow" w:cs="Calibri"/>
                <w:color w:val="000000"/>
                <w:sz w:val="20"/>
                <w:szCs w:val="20"/>
                <w:lang w:eastAsia="es-CO"/>
              </w:rPr>
              <w:t>1</w:t>
            </w:r>
          </w:p>
        </w:tc>
      </w:tr>
      <w:tr w:rsidR="000B7B01" w:rsidRPr="00E258E3" w14:paraId="70E7E9C8" w14:textId="77777777" w:rsidTr="00241880">
        <w:trPr>
          <w:trHeight w:val="300"/>
        </w:trPr>
        <w:tc>
          <w:tcPr>
            <w:tcW w:w="562" w:type="dxa"/>
            <w:shd w:val="clear" w:color="auto" w:fill="auto"/>
            <w:noWrap/>
            <w:hideMark/>
          </w:tcPr>
          <w:p w14:paraId="70E7E9B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w:t>
            </w:r>
          </w:p>
        </w:tc>
        <w:tc>
          <w:tcPr>
            <w:tcW w:w="2127" w:type="dxa"/>
          </w:tcPr>
          <w:p w14:paraId="70E7E9B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notas y otra información explicativa</w:t>
            </w:r>
          </w:p>
        </w:tc>
        <w:tc>
          <w:tcPr>
            <w:tcW w:w="8363" w:type="dxa"/>
            <w:tcBorders>
              <w:bottom w:val="single" w:sz="4" w:space="0" w:color="auto"/>
            </w:tcBorders>
            <w:shd w:val="clear" w:color="auto" w:fill="auto"/>
            <w:noWrap/>
            <w:hideMark/>
          </w:tcPr>
          <w:p w14:paraId="70E7E9C5" w14:textId="25D50B3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El periodo contable revelado en estas notas es tomado al 31 de </w:t>
            </w:r>
            <w:proofErr w:type="gramStart"/>
            <w:r w:rsidRPr="00E258E3">
              <w:rPr>
                <w:rFonts w:ascii="Arial Narrow" w:eastAsia="Times New Roman" w:hAnsi="Arial Narrow" w:cs="Calibri"/>
                <w:color w:val="000000"/>
                <w:sz w:val="20"/>
                <w:szCs w:val="20"/>
                <w:lang w:eastAsia="es-CO"/>
              </w:rPr>
              <w:t>Diciembre</w:t>
            </w:r>
            <w:proofErr w:type="gramEnd"/>
            <w:r w:rsidRPr="00E258E3">
              <w:rPr>
                <w:rFonts w:ascii="Arial Narrow" w:eastAsia="Times New Roman" w:hAnsi="Arial Narrow" w:cs="Calibri"/>
                <w:color w:val="000000"/>
                <w:sz w:val="20"/>
                <w:szCs w:val="20"/>
                <w:lang w:eastAsia="es-CO"/>
              </w:rPr>
              <w:t xml:space="preserve"> del año </w:t>
            </w:r>
            <w:r w:rsidR="00E258E3" w:rsidRPr="00E258E3">
              <w:rPr>
                <w:rFonts w:ascii="Arial Narrow" w:eastAsia="Times New Roman" w:hAnsi="Arial Narrow" w:cs="Calibri"/>
                <w:color w:val="000000"/>
                <w:sz w:val="20"/>
                <w:szCs w:val="20"/>
                <w:lang w:eastAsia="es-CO"/>
              </w:rPr>
              <w:t>202</w:t>
            </w:r>
            <w:r w:rsidR="00241880">
              <w:rPr>
                <w:rFonts w:ascii="Arial Narrow" w:eastAsia="Times New Roman" w:hAnsi="Arial Narrow" w:cs="Calibri"/>
                <w:color w:val="000000"/>
                <w:sz w:val="20"/>
                <w:szCs w:val="20"/>
                <w:lang w:eastAsia="es-CO"/>
              </w:rPr>
              <w:t>1</w:t>
            </w:r>
            <w:r w:rsidRPr="00E258E3">
              <w:rPr>
                <w:rFonts w:ascii="Arial Narrow" w:eastAsia="Times New Roman" w:hAnsi="Arial Narrow" w:cs="Calibri"/>
                <w:color w:val="000000"/>
                <w:sz w:val="20"/>
                <w:szCs w:val="20"/>
                <w:lang w:eastAsia="es-CO"/>
              </w:rPr>
              <w:t xml:space="preserve"> el cual se compara con el periodo </w:t>
            </w:r>
            <w:r w:rsidR="00241880">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cortado con esa misma fecha. Las instrucciones incorporadas deberán observarse de manera complementaria con las establecidas en la Circular Básica Contable y Financiera. Las entidades supervisadas por la S.E.S., deben tener en cuenta en adelante dichas circulares básicas además de la legislación cooperativa y solidaria vigente, contenida, entre otras normas en las Leyes: 79 de 1988 y 454 de 1998. </w:t>
            </w:r>
          </w:p>
          <w:p w14:paraId="70E7E9C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C7" w14:textId="248B9F4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Catálogo de Cuentas: El Catálogo de Cuentas aplicado hasta diciembre 31 de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se rigió por </w:t>
            </w:r>
            <w:r w:rsidR="00241880">
              <w:rPr>
                <w:rFonts w:ascii="Arial Narrow" w:eastAsia="Times New Roman" w:hAnsi="Arial Narrow" w:cs="Calibri"/>
                <w:color w:val="000000"/>
                <w:sz w:val="20"/>
                <w:szCs w:val="20"/>
                <w:lang w:eastAsia="es-CO"/>
              </w:rPr>
              <w:t>el catálogo de reporte a través del programa SICSES que se efectúa a la Supersolidaria (SES).</w:t>
            </w:r>
          </w:p>
        </w:tc>
      </w:tr>
      <w:tr w:rsidR="000B7B01" w:rsidRPr="00E258E3" w14:paraId="70E7E9CC" w14:textId="77777777" w:rsidTr="00241880">
        <w:trPr>
          <w:trHeight w:val="300"/>
        </w:trPr>
        <w:tc>
          <w:tcPr>
            <w:tcW w:w="562" w:type="dxa"/>
            <w:shd w:val="clear" w:color="auto" w:fill="auto"/>
            <w:noWrap/>
            <w:hideMark/>
          </w:tcPr>
          <w:p w14:paraId="70E7E9C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w:t>
            </w:r>
          </w:p>
        </w:tc>
        <w:tc>
          <w:tcPr>
            <w:tcW w:w="2127" w:type="dxa"/>
          </w:tcPr>
          <w:p w14:paraId="70E7E9CA" w14:textId="3228DD00" w:rsidR="000B7B01" w:rsidRPr="00E258E3" w:rsidRDefault="000B7B01" w:rsidP="00E258E3">
            <w:pPr>
              <w:spacing w:after="0" w:line="240" w:lineRule="auto"/>
              <w:ind w:firstLine="230"/>
              <w:rPr>
                <w:rFonts w:ascii="Arial Narrow" w:hAnsi="Arial Narrow" w:cs="Calibri"/>
                <w:color w:val="000000"/>
                <w:sz w:val="20"/>
                <w:szCs w:val="20"/>
              </w:rPr>
            </w:pPr>
            <w:r w:rsidRPr="00E258E3">
              <w:rPr>
                <w:rFonts w:ascii="Arial Narrow" w:hAnsi="Arial Narrow" w:cs="Calibri"/>
                <w:color w:val="000000"/>
                <w:sz w:val="20"/>
                <w:szCs w:val="20"/>
              </w:rPr>
              <w:t>Sede de la entidad</w:t>
            </w:r>
          </w:p>
        </w:tc>
        <w:tc>
          <w:tcPr>
            <w:tcW w:w="8363" w:type="dxa"/>
            <w:tcBorders>
              <w:top w:val="single" w:sz="4" w:space="0" w:color="auto"/>
            </w:tcBorders>
            <w:shd w:val="clear" w:color="auto" w:fill="auto"/>
            <w:noWrap/>
            <w:hideMark/>
          </w:tcPr>
          <w:p w14:paraId="70E7E9CB" w14:textId="21CB0AA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241880">
              <w:rPr>
                <w:rFonts w:ascii="Arial Narrow" w:eastAsia="Times New Roman" w:hAnsi="Arial Narrow" w:cs="Calibri"/>
                <w:color w:val="000000"/>
                <w:sz w:val="20"/>
                <w:szCs w:val="20"/>
                <w:lang w:eastAsia="es-CO"/>
              </w:rPr>
              <w:t>_________________________</w:t>
            </w:r>
          </w:p>
        </w:tc>
      </w:tr>
      <w:tr w:rsidR="000B7B01" w:rsidRPr="00E258E3" w14:paraId="70E7E9D0" w14:textId="77777777" w:rsidTr="00241880">
        <w:trPr>
          <w:trHeight w:val="300"/>
        </w:trPr>
        <w:tc>
          <w:tcPr>
            <w:tcW w:w="562" w:type="dxa"/>
            <w:shd w:val="clear" w:color="auto" w:fill="auto"/>
            <w:noWrap/>
            <w:hideMark/>
          </w:tcPr>
          <w:p w14:paraId="70E7E9C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C13</w:t>
            </w:r>
          </w:p>
        </w:tc>
        <w:tc>
          <w:tcPr>
            <w:tcW w:w="2127" w:type="dxa"/>
          </w:tcPr>
          <w:p w14:paraId="70E7E9C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Forma legal de la entidad</w:t>
            </w:r>
          </w:p>
        </w:tc>
        <w:tc>
          <w:tcPr>
            <w:tcW w:w="8363" w:type="dxa"/>
            <w:shd w:val="clear" w:color="auto" w:fill="auto"/>
            <w:noWrap/>
            <w:hideMark/>
          </w:tcPr>
          <w:p w14:paraId="70E7E9C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COOPERATIVA DE AHORRO Y CREDITO</w:t>
            </w:r>
          </w:p>
        </w:tc>
      </w:tr>
      <w:tr w:rsidR="000B7B01" w:rsidRPr="00E258E3" w14:paraId="70E7E9D4" w14:textId="77777777" w:rsidTr="00241880">
        <w:trPr>
          <w:trHeight w:val="300"/>
        </w:trPr>
        <w:tc>
          <w:tcPr>
            <w:tcW w:w="562" w:type="dxa"/>
            <w:shd w:val="clear" w:color="auto" w:fill="auto"/>
            <w:noWrap/>
            <w:hideMark/>
          </w:tcPr>
          <w:p w14:paraId="70E7E9D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C14</w:t>
            </w:r>
          </w:p>
        </w:tc>
        <w:tc>
          <w:tcPr>
            <w:tcW w:w="2127" w:type="dxa"/>
          </w:tcPr>
          <w:p w14:paraId="70E7E9D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Domicilio principal donde desarrolla sus actividades</w:t>
            </w:r>
          </w:p>
        </w:tc>
        <w:tc>
          <w:tcPr>
            <w:tcW w:w="8363" w:type="dxa"/>
            <w:shd w:val="clear" w:color="auto" w:fill="auto"/>
            <w:noWrap/>
            <w:hideMark/>
          </w:tcPr>
          <w:p w14:paraId="70E7E9D3" w14:textId="19BA9ED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241880">
              <w:rPr>
                <w:rFonts w:ascii="Arial Narrow" w:eastAsia="Times New Roman" w:hAnsi="Arial Narrow" w:cs="Calibri"/>
                <w:color w:val="000000"/>
                <w:sz w:val="20"/>
                <w:szCs w:val="20"/>
                <w:lang w:eastAsia="es-CO"/>
              </w:rPr>
              <w:t>CARTAGENA</w:t>
            </w:r>
          </w:p>
        </w:tc>
      </w:tr>
      <w:tr w:rsidR="000B7B01" w:rsidRPr="00E258E3" w14:paraId="70E7E9E8" w14:textId="77777777" w:rsidTr="00241880">
        <w:trPr>
          <w:trHeight w:val="300"/>
        </w:trPr>
        <w:tc>
          <w:tcPr>
            <w:tcW w:w="562" w:type="dxa"/>
            <w:shd w:val="clear" w:color="auto" w:fill="auto"/>
            <w:noWrap/>
            <w:hideMark/>
          </w:tcPr>
          <w:p w14:paraId="70E7E9D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C15</w:t>
            </w:r>
          </w:p>
        </w:tc>
        <w:tc>
          <w:tcPr>
            <w:tcW w:w="2127" w:type="dxa"/>
          </w:tcPr>
          <w:p w14:paraId="70E7E9D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las operaciones de la entidad y actividades principales</w:t>
            </w:r>
          </w:p>
        </w:tc>
        <w:tc>
          <w:tcPr>
            <w:tcW w:w="8363" w:type="dxa"/>
            <w:shd w:val="clear" w:color="auto" w:fill="auto"/>
            <w:noWrap/>
            <w:hideMark/>
          </w:tcPr>
          <w:p w14:paraId="70E7E9D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Todo asociado debe aportar mensualmente como mínimo el 5% de un SMLMV y aquellos que tengan aportes sociales acumulados superiores a 20 SMLMV, podrán disminuirlo al 1%. Los aportes sociales solo se reintegran al momento del retiro del asociado, previa compensación de obligaciones a su cargo y descuento proporcional de sus aportes de las pérdidas acumuladas que no alcancen a ser cubiertas con la reserva para protección de aportes. </w:t>
            </w:r>
          </w:p>
          <w:p w14:paraId="70E7E9D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Adicionalmente capta ahorros en las modalidades de ahorro a la vista, Certificados de Ahorro a Término - CDAT y ahorro contractual (programado). Las tasas las define el Consejo de Administración y se modifican periódicamente acorde con las condiciones del mercado. </w:t>
            </w:r>
          </w:p>
          <w:p w14:paraId="70E7E9D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 entidad además suscribe convenios con proveedores de bienes y servicios en beneficio de sus asociados actuando como financiador o recaudador de los mismos. </w:t>
            </w:r>
          </w:p>
          <w:p w14:paraId="70E7E9D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De los ahorros captados debe constituir un fondo de liquidez equivalente al 10% de las captaciones (sobre los aportes NO), representado en depósitos a la vista o inversiones de alta seguridad y liquidez en el sector financiero y que solo puede utilizarse para retiros masivos o inesperados de depósitos. </w:t>
            </w:r>
          </w:p>
          <w:p w14:paraId="70E7E9D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D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Los recursos disponibles se utilizan para colocar créditos a los asociados en la modalidad de consumo y microcrédito a través de diferentes líneas que son reglamentadas por el Consejo de Administración quien periódicamente las ajusta a las condiciones del mercado en materia de tasas y plazos. </w:t>
            </w:r>
          </w:p>
          <w:p w14:paraId="70E7E9E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Eventualmente la entidad puede requerir capital de trabajo adicional a través de apalancamiento externo con obligaciones financieras. </w:t>
            </w:r>
          </w:p>
          <w:p w14:paraId="70E7E9E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De los excedentes obtenidos (resultado neto) se constituye una reserva legal del 20% y se destina mínimo el 20% para el Fondo de Educación y el 10% para el Fondo de Solidaridad. </w:t>
            </w:r>
          </w:p>
          <w:p w14:paraId="70E7E9E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El remanente puede destinarse en todo o en parte para para revalorizar los aportes (restituir la pérdida de poder adquisitivo) o efectuar retornos a los asociados en proporción al uso de sus servicios, sin perjuicio de que también puedan destinarse sus excedentes para alimentar fondos sociales agotables que beneficien a los asociados, sus familias y la comunidad en todos los campos del bienestar o constituir fondos y reservas patrimoniales permanentes. </w:t>
            </w:r>
          </w:p>
          <w:p w14:paraId="70E7E9E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9E7" w14:textId="3001DB4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xml:space="preserve"> Pertenece al régimen tributario especial (Artículo 19 numeral 4 del Estatuto Tributario) por ende para ser exenta del pago del impuesto de renta debe distribuir sus excedentes como lo establece la normatividad cooperativa y destinar el 20% del excedente, tomado de los Fondos de Educación y Solidaridad para invertir en educación formal conforme a las instrucciones del decreto 2880 de 2004. No es responsable del impuesto a la equidad – CREE pero debe pagar las contribuciones parafiscales a la nómina de ICBF, SENA, CAJA DE COMPENSACION. No está sujeta al régimen de renta presuntiva. A nivel municipal es contribuyente del impuesto de industria y comercio liquidado sobre los ingresos. No vende servicios o bienes gravados con el impuesto al valor agregado y por ende no está en obligación de facturar sus ingresos y el IVA pagado en la adquisición de bienes y servicios es un mayor valor de costo o del gasto. Constitución: Constituida el 3 de julio de 1966 y protocolizada en la Notaria 2ª Principal de Cúcuta por medio de la Escritura Pública </w:t>
            </w:r>
            <w:proofErr w:type="spellStart"/>
            <w:r w:rsidRPr="00E258E3">
              <w:rPr>
                <w:rFonts w:ascii="Arial Narrow" w:eastAsia="Times New Roman" w:hAnsi="Arial Narrow" w:cs="Calibri"/>
                <w:color w:val="000000"/>
                <w:sz w:val="20"/>
                <w:szCs w:val="20"/>
                <w:lang w:eastAsia="es-CO"/>
              </w:rPr>
              <w:t>Nº</w:t>
            </w:r>
            <w:proofErr w:type="spellEnd"/>
            <w:r w:rsidRPr="00E258E3">
              <w:rPr>
                <w:rFonts w:ascii="Arial Narrow" w:eastAsia="Times New Roman" w:hAnsi="Arial Narrow" w:cs="Calibri"/>
                <w:color w:val="000000"/>
                <w:sz w:val="20"/>
                <w:szCs w:val="20"/>
                <w:lang w:eastAsia="es-CO"/>
              </w:rPr>
              <w:t xml:space="preserve"> 0048 de enero 24 de 1967, expedida por la Superintendencia Nacional de Cooperativas. La administración de la Cooperativa se encuentra a cargo de la Asamblea General, el Consejo de Administración y la Gerente. La vigilancia es ejercida por la Junta de Vigilancia y la Revisora Fiscal.</w:t>
            </w:r>
            <w:r w:rsidR="00241880">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Asamblea General es el órgano máximo de administración de la Cooperativa y sus decisiones y Acuerdos son obligatorios para todos los asociados, siempre que se hayan adoptado de conformidad con la Ley y los Estatutos; La constituye la reunión de los asociados hábiles o de los </w:t>
            </w:r>
            <w:proofErr w:type="gramStart"/>
            <w:r w:rsidRPr="00E258E3">
              <w:rPr>
                <w:rFonts w:ascii="Arial Narrow" w:eastAsia="Times New Roman" w:hAnsi="Arial Narrow" w:cs="Calibri"/>
                <w:color w:val="000000"/>
                <w:sz w:val="20"/>
                <w:szCs w:val="20"/>
                <w:lang w:eastAsia="es-CO"/>
              </w:rPr>
              <w:t>Delegados</w:t>
            </w:r>
            <w:proofErr w:type="gramEnd"/>
            <w:r w:rsidRPr="00E258E3">
              <w:rPr>
                <w:rFonts w:ascii="Arial Narrow" w:eastAsia="Times New Roman" w:hAnsi="Arial Narrow" w:cs="Calibri"/>
                <w:color w:val="000000"/>
                <w:sz w:val="20"/>
                <w:szCs w:val="20"/>
                <w:lang w:eastAsia="es-CO"/>
              </w:rPr>
              <w:t xml:space="preserve"> elegidos por éstos. La Cooperativa es vigilada por la SUPERSOLIDARIA y cuenta con el seguro de depósito del FOGACOOP</w:t>
            </w:r>
          </w:p>
        </w:tc>
      </w:tr>
      <w:tr w:rsidR="000B7B01" w:rsidRPr="00E258E3" w14:paraId="70E7E9EC" w14:textId="77777777" w:rsidTr="00241880">
        <w:trPr>
          <w:trHeight w:val="300"/>
        </w:trPr>
        <w:tc>
          <w:tcPr>
            <w:tcW w:w="562" w:type="dxa"/>
            <w:shd w:val="clear" w:color="auto" w:fill="auto"/>
            <w:noWrap/>
            <w:hideMark/>
          </w:tcPr>
          <w:p w14:paraId="70E7E9E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C16</w:t>
            </w:r>
          </w:p>
        </w:tc>
        <w:tc>
          <w:tcPr>
            <w:tcW w:w="2127" w:type="dxa"/>
          </w:tcPr>
          <w:p w14:paraId="70E7E9E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entidad controladora</w:t>
            </w:r>
          </w:p>
        </w:tc>
        <w:tc>
          <w:tcPr>
            <w:tcW w:w="8363" w:type="dxa"/>
            <w:shd w:val="clear" w:color="auto" w:fill="auto"/>
            <w:noWrap/>
            <w:hideMark/>
          </w:tcPr>
          <w:p w14:paraId="70E7E9EB" w14:textId="4FC5203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9F0" w14:textId="77777777" w:rsidTr="00241880">
        <w:trPr>
          <w:trHeight w:val="300"/>
        </w:trPr>
        <w:tc>
          <w:tcPr>
            <w:tcW w:w="562" w:type="dxa"/>
            <w:shd w:val="clear" w:color="auto" w:fill="auto"/>
            <w:noWrap/>
            <w:hideMark/>
          </w:tcPr>
          <w:p w14:paraId="70E7E9E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C17</w:t>
            </w:r>
          </w:p>
        </w:tc>
        <w:tc>
          <w:tcPr>
            <w:tcW w:w="2127" w:type="dxa"/>
          </w:tcPr>
          <w:p w14:paraId="70E7E9E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controladora última del grupo</w:t>
            </w:r>
          </w:p>
        </w:tc>
        <w:tc>
          <w:tcPr>
            <w:tcW w:w="8363" w:type="dxa"/>
            <w:shd w:val="clear" w:color="auto" w:fill="auto"/>
            <w:noWrap/>
            <w:hideMark/>
          </w:tcPr>
          <w:p w14:paraId="70E7E9EF" w14:textId="1B44606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9F4" w14:textId="77777777" w:rsidTr="00241880">
        <w:trPr>
          <w:trHeight w:val="300"/>
        </w:trPr>
        <w:tc>
          <w:tcPr>
            <w:tcW w:w="562" w:type="dxa"/>
            <w:shd w:val="clear" w:color="auto" w:fill="auto"/>
            <w:noWrap/>
            <w:hideMark/>
          </w:tcPr>
          <w:p w14:paraId="70E7E9F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C18</w:t>
            </w:r>
          </w:p>
        </w:tc>
        <w:tc>
          <w:tcPr>
            <w:tcW w:w="2127" w:type="dxa"/>
          </w:tcPr>
          <w:p w14:paraId="70E7E9F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Duración de la vida de entidades de vida limitada </w:t>
            </w:r>
          </w:p>
        </w:tc>
        <w:tc>
          <w:tcPr>
            <w:tcW w:w="8363" w:type="dxa"/>
            <w:shd w:val="clear" w:color="auto" w:fill="auto"/>
            <w:noWrap/>
            <w:hideMark/>
          </w:tcPr>
          <w:p w14:paraId="70E7E9F3" w14:textId="06E577B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9F8" w14:textId="77777777" w:rsidTr="00241880">
        <w:trPr>
          <w:trHeight w:val="300"/>
        </w:trPr>
        <w:tc>
          <w:tcPr>
            <w:tcW w:w="562" w:type="dxa"/>
            <w:shd w:val="clear" w:color="auto" w:fill="auto"/>
            <w:noWrap/>
            <w:hideMark/>
          </w:tcPr>
          <w:p w14:paraId="70E7E9F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C19</w:t>
            </w:r>
          </w:p>
        </w:tc>
        <w:tc>
          <w:tcPr>
            <w:tcW w:w="2127" w:type="dxa"/>
          </w:tcPr>
          <w:p w14:paraId="70E7E9F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Declaración de cumplimiento con las NIF</w:t>
            </w:r>
          </w:p>
        </w:tc>
        <w:tc>
          <w:tcPr>
            <w:tcW w:w="8363" w:type="dxa"/>
            <w:shd w:val="clear" w:color="auto" w:fill="auto"/>
            <w:noWrap/>
            <w:hideMark/>
          </w:tcPr>
          <w:p w14:paraId="70E7E9F7" w14:textId="420C5B4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Estos estados financieros individuales se han elaborado de acuerdo con la Norma Internacional de Información Financiera para Pequeñas y Medianas Entidades (NIIF para las PYMES) emitida por el Consejo de Normas Internacionales de Contabilidad (IASB) version 2009 y modificaciones </w:t>
            </w:r>
            <w:r w:rsidR="00241880">
              <w:rPr>
                <w:rFonts w:ascii="Arial Narrow" w:eastAsia="Times New Roman" w:hAnsi="Arial Narrow" w:cs="Calibri"/>
                <w:color w:val="000000"/>
                <w:sz w:val="20"/>
                <w:szCs w:val="20"/>
                <w:lang w:eastAsia="es-CO"/>
              </w:rPr>
              <w:t>2015</w:t>
            </w:r>
            <w:r w:rsidRPr="00E258E3">
              <w:rPr>
                <w:rFonts w:ascii="Arial Narrow" w:eastAsia="Times New Roman" w:hAnsi="Arial Narrow" w:cs="Calibri"/>
                <w:color w:val="000000"/>
                <w:sz w:val="20"/>
                <w:szCs w:val="20"/>
                <w:lang w:eastAsia="es-CO"/>
              </w:rPr>
              <w:t xml:space="preserve"> contenidas en el </w:t>
            </w:r>
            <w:r w:rsidR="00E258E3" w:rsidRPr="00E258E3">
              <w:rPr>
                <w:rFonts w:ascii="Arial Narrow" w:eastAsia="Times New Roman" w:hAnsi="Arial Narrow" w:cs="Calibri"/>
                <w:color w:val="000000"/>
                <w:sz w:val="20"/>
                <w:szCs w:val="20"/>
                <w:lang w:eastAsia="es-CO"/>
              </w:rPr>
              <w:t>anexo 2 del decreto 2420 y 2.1 del decreto 2496 ambos de diciembre de 2015</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 Ello incluye la salvedad para aplicar las NIIF sobre Cartera de Crédito y Aportes contenida en el </w:t>
            </w:r>
            <w:r w:rsidR="00E258E3" w:rsidRPr="00E258E3">
              <w:rPr>
                <w:rFonts w:ascii="Arial Narrow" w:eastAsia="Times New Roman" w:hAnsi="Arial Narrow" w:cs="Calibri"/>
                <w:color w:val="000000"/>
                <w:sz w:val="20"/>
                <w:szCs w:val="20"/>
                <w:lang w:eastAsia="es-CO"/>
              </w:rPr>
              <w:t>artículo</w:t>
            </w:r>
            <w:r w:rsidRPr="00E258E3">
              <w:rPr>
                <w:rFonts w:ascii="Arial Narrow" w:eastAsia="Times New Roman" w:hAnsi="Arial Narrow" w:cs="Calibri"/>
                <w:color w:val="000000"/>
                <w:sz w:val="20"/>
                <w:szCs w:val="20"/>
                <w:lang w:eastAsia="es-CO"/>
              </w:rPr>
              <w:t xml:space="preserve"> 3 del </w:t>
            </w:r>
            <w:r w:rsidR="00E258E3" w:rsidRPr="00E258E3">
              <w:rPr>
                <w:rFonts w:ascii="Arial Narrow" w:eastAsia="Times New Roman" w:hAnsi="Arial Narrow" w:cs="Calibri"/>
                <w:color w:val="000000"/>
                <w:sz w:val="20"/>
                <w:szCs w:val="20"/>
                <w:lang w:eastAsia="es-CO"/>
              </w:rPr>
              <w:t>decreto 2496 de diciembre de 2015</w:t>
            </w:r>
            <w:r w:rsidRPr="00E258E3">
              <w:rPr>
                <w:rFonts w:ascii="Arial Narrow" w:eastAsia="Times New Roman" w:hAnsi="Arial Narrow" w:cs="Calibri"/>
                <w:color w:val="000000"/>
                <w:sz w:val="20"/>
                <w:szCs w:val="20"/>
                <w:lang w:eastAsia="es-CO"/>
              </w:rPr>
              <w:t>.</w:t>
            </w:r>
          </w:p>
        </w:tc>
      </w:tr>
      <w:tr w:rsidR="000B7B01" w:rsidRPr="00E258E3" w14:paraId="70E7E9FC" w14:textId="77777777" w:rsidTr="00241880">
        <w:trPr>
          <w:trHeight w:val="300"/>
        </w:trPr>
        <w:tc>
          <w:tcPr>
            <w:tcW w:w="562" w:type="dxa"/>
            <w:shd w:val="clear" w:color="auto" w:fill="auto"/>
            <w:noWrap/>
            <w:hideMark/>
          </w:tcPr>
          <w:p w14:paraId="70E7E9F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C20</w:t>
            </w:r>
          </w:p>
        </w:tc>
        <w:tc>
          <w:tcPr>
            <w:tcW w:w="2127" w:type="dxa"/>
          </w:tcPr>
          <w:p w14:paraId="70E7E9F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Conclusión de la gerencia sobre la presentación razonable como consecuencia de la falta de aplicación </w:t>
            </w:r>
          </w:p>
        </w:tc>
        <w:tc>
          <w:tcPr>
            <w:tcW w:w="8363" w:type="dxa"/>
            <w:shd w:val="clear" w:color="auto" w:fill="auto"/>
            <w:noWrap/>
            <w:hideMark/>
          </w:tcPr>
          <w:p w14:paraId="70E7E9FB" w14:textId="0C3704B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Los estados financieros presentados reflejan razonablemente la situación financiera de la entidad a pesar de la salvedad existente en el </w:t>
            </w:r>
            <w:r w:rsidR="00E258E3" w:rsidRPr="00E258E3">
              <w:rPr>
                <w:rFonts w:ascii="Arial Narrow" w:eastAsia="Times New Roman" w:hAnsi="Arial Narrow" w:cs="Calibri"/>
                <w:color w:val="000000"/>
                <w:sz w:val="20"/>
                <w:szCs w:val="20"/>
                <w:lang w:eastAsia="es-CO"/>
              </w:rPr>
              <w:t xml:space="preserve">artículo </w:t>
            </w:r>
            <w:r w:rsidRPr="00E258E3">
              <w:rPr>
                <w:rFonts w:ascii="Arial Narrow" w:eastAsia="Times New Roman" w:hAnsi="Arial Narrow" w:cs="Calibri"/>
                <w:color w:val="000000"/>
                <w:sz w:val="20"/>
                <w:szCs w:val="20"/>
                <w:lang w:eastAsia="es-CO"/>
              </w:rPr>
              <w:t xml:space="preserve">del </w:t>
            </w:r>
            <w:r w:rsidR="00E258E3" w:rsidRPr="00E258E3">
              <w:rPr>
                <w:rFonts w:ascii="Arial Narrow" w:eastAsia="Times New Roman" w:hAnsi="Arial Narrow" w:cs="Calibri"/>
                <w:color w:val="000000"/>
                <w:sz w:val="20"/>
                <w:szCs w:val="20"/>
                <w:lang w:eastAsia="es-CO"/>
              </w:rPr>
              <w:t>decreto 2496 de diciembre de 2015</w:t>
            </w:r>
            <w:r w:rsidRPr="00E258E3">
              <w:rPr>
                <w:rFonts w:ascii="Arial Narrow" w:eastAsia="Times New Roman" w:hAnsi="Arial Narrow" w:cs="Calibri"/>
                <w:color w:val="000000"/>
                <w:sz w:val="20"/>
                <w:szCs w:val="20"/>
                <w:lang w:eastAsia="es-CO"/>
              </w:rPr>
              <w:t xml:space="preserve"> para la aplicación de las NIIF sobre la </w:t>
            </w:r>
            <w:r w:rsidR="00E258E3" w:rsidRPr="00E258E3">
              <w:rPr>
                <w:rFonts w:ascii="Arial Narrow" w:eastAsia="Times New Roman" w:hAnsi="Arial Narrow" w:cs="Calibri"/>
                <w:color w:val="000000"/>
                <w:sz w:val="20"/>
                <w:szCs w:val="20"/>
                <w:lang w:eastAsia="es-CO"/>
              </w:rPr>
              <w:t>medición</w:t>
            </w:r>
            <w:r w:rsidRPr="00E258E3">
              <w:rPr>
                <w:rFonts w:ascii="Arial Narrow" w:eastAsia="Times New Roman" w:hAnsi="Arial Narrow" w:cs="Calibri"/>
                <w:color w:val="000000"/>
                <w:sz w:val="20"/>
                <w:szCs w:val="20"/>
                <w:lang w:eastAsia="es-CO"/>
              </w:rPr>
              <w:t xml:space="preserve"> del </w:t>
            </w:r>
            <w:r w:rsidR="00E258E3" w:rsidRPr="00E258E3">
              <w:rPr>
                <w:rFonts w:ascii="Arial Narrow" w:eastAsia="Times New Roman" w:hAnsi="Arial Narrow" w:cs="Calibri"/>
                <w:color w:val="000000"/>
                <w:sz w:val="20"/>
                <w:szCs w:val="20"/>
                <w:lang w:eastAsia="es-CO"/>
              </w:rPr>
              <w:t>deterioro</w:t>
            </w:r>
            <w:r w:rsidRPr="00E258E3">
              <w:rPr>
                <w:rFonts w:ascii="Arial Narrow" w:eastAsia="Times New Roman" w:hAnsi="Arial Narrow" w:cs="Calibri"/>
                <w:color w:val="000000"/>
                <w:sz w:val="20"/>
                <w:szCs w:val="20"/>
                <w:lang w:eastAsia="es-CO"/>
              </w:rPr>
              <w:t xml:space="preserve"> de la Cartera y el traslado de los aportes sociales al pasivo.</w:t>
            </w:r>
          </w:p>
        </w:tc>
      </w:tr>
      <w:tr w:rsidR="000B7B01" w:rsidRPr="00E258E3" w14:paraId="70E7EA00" w14:textId="77777777" w:rsidTr="00241880">
        <w:trPr>
          <w:trHeight w:val="300"/>
        </w:trPr>
        <w:tc>
          <w:tcPr>
            <w:tcW w:w="562" w:type="dxa"/>
            <w:shd w:val="clear" w:color="auto" w:fill="auto"/>
            <w:noWrap/>
            <w:hideMark/>
          </w:tcPr>
          <w:p w14:paraId="70E7E9F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C21</w:t>
            </w:r>
          </w:p>
        </w:tc>
        <w:tc>
          <w:tcPr>
            <w:tcW w:w="2127" w:type="dxa"/>
          </w:tcPr>
          <w:p w14:paraId="70E7E9F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faltas de aplicación de las NIF</w:t>
            </w:r>
          </w:p>
        </w:tc>
        <w:tc>
          <w:tcPr>
            <w:tcW w:w="8363" w:type="dxa"/>
            <w:shd w:val="clear" w:color="auto" w:fill="auto"/>
            <w:noWrap/>
            <w:hideMark/>
          </w:tcPr>
          <w:p w14:paraId="70E7E9FF" w14:textId="6A613A8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La medición del deterioro de la cartera de crédito se efectúa conforme a las instrucciones de la circular básica contable capitulo II numeral 6 emanada de la Superintendencia de la Economía Solidaria lo cual implica que no se aplica pérdida por deterioro ni se aplican tasas de referencia para la medición de la cartera y el deterioro obedece a un porcentaje señalado por la Superintendencia de acuerdo con la altura de mora más un porcentaje fijo de deterioro general sobre la cartera bruta. Los aportes sociales con derecho a rescate y sin derecho a rescate (</w:t>
            </w:r>
            <w:r w:rsidR="00E258E3" w:rsidRPr="00E258E3">
              <w:rPr>
                <w:rFonts w:ascii="Arial Narrow" w:eastAsia="Times New Roman" w:hAnsi="Arial Narrow" w:cs="Calibri"/>
                <w:color w:val="000000"/>
                <w:sz w:val="20"/>
                <w:szCs w:val="20"/>
                <w:lang w:eastAsia="es-CO"/>
              </w:rPr>
              <w:t>mínimo</w:t>
            </w:r>
            <w:r w:rsidRPr="00E258E3">
              <w:rPr>
                <w:rFonts w:ascii="Arial Narrow" w:eastAsia="Times New Roman" w:hAnsi="Arial Narrow" w:cs="Calibri"/>
                <w:color w:val="000000"/>
                <w:sz w:val="20"/>
                <w:szCs w:val="20"/>
                <w:lang w:eastAsia="es-CO"/>
              </w:rPr>
              <w:t xml:space="preserve"> irreducible) se presentan ambos en el patrimonio.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Actualmente Existe controversia con el CTCP que considera los Fondos Sociales deben tratarse como patrimonio, solicitud que ha sido efectuada a la Supersolidaria y sobre la que no hay respuesta </w:t>
            </w:r>
            <w:r w:rsidR="00241880" w:rsidRPr="00E258E3">
              <w:rPr>
                <w:rFonts w:ascii="Arial Narrow" w:eastAsia="Times New Roman" w:hAnsi="Arial Narrow" w:cs="Calibri"/>
                <w:color w:val="000000"/>
                <w:sz w:val="20"/>
                <w:szCs w:val="20"/>
                <w:lang w:eastAsia="es-CO"/>
              </w:rPr>
              <w:t>aún</w:t>
            </w:r>
            <w:r w:rsidRPr="00E258E3">
              <w:rPr>
                <w:rFonts w:ascii="Arial Narrow" w:eastAsia="Times New Roman" w:hAnsi="Arial Narrow" w:cs="Calibri"/>
                <w:color w:val="000000"/>
                <w:sz w:val="20"/>
                <w:szCs w:val="20"/>
                <w:lang w:eastAsia="es-CO"/>
              </w:rPr>
              <w:t>.</w:t>
            </w:r>
          </w:p>
        </w:tc>
      </w:tr>
      <w:tr w:rsidR="000B7B01" w:rsidRPr="00E258E3" w14:paraId="70E7EA05" w14:textId="77777777" w:rsidTr="00241880">
        <w:trPr>
          <w:trHeight w:val="300"/>
        </w:trPr>
        <w:tc>
          <w:tcPr>
            <w:tcW w:w="562" w:type="dxa"/>
            <w:shd w:val="clear" w:color="auto" w:fill="auto"/>
            <w:noWrap/>
            <w:hideMark/>
          </w:tcPr>
          <w:p w14:paraId="70E7EA0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C22</w:t>
            </w:r>
          </w:p>
        </w:tc>
        <w:tc>
          <w:tcPr>
            <w:tcW w:w="2127" w:type="dxa"/>
          </w:tcPr>
          <w:p w14:paraId="70E7EA0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del efecto financiero de faltas de aplicación de las NIF </w:t>
            </w:r>
          </w:p>
        </w:tc>
        <w:tc>
          <w:tcPr>
            <w:tcW w:w="8363" w:type="dxa"/>
            <w:shd w:val="clear" w:color="auto" w:fill="auto"/>
            <w:noWrap/>
            <w:hideMark/>
          </w:tcPr>
          <w:p w14:paraId="70E7EA04" w14:textId="2D1A503A" w:rsidR="000B7B01" w:rsidRPr="00E258E3" w:rsidRDefault="000B7B01" w:rsidP="00241880">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Si se aplicaran las NIIF en la cartera sería necesario revertir la provisión general de cartera incrementando el patrimonio.</w:t>
            </w:r>
            <w:r w:rsidR="00241880">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Tambien sería necesario reclasificar del patrimonio al pasivo el aporte social con derecho a rescate y los Fondos Sociales al patrimonio.</w:t>
            </w:r>
          </w:p>
        </w:tc>
      </w:tr>
      <w:tr w:rsidR="000B7B01" w:rsidRPr="00E258E3" w14:paraId="70E7EA09" w14:textId="77777777" w:rsidTr="00241880">
        <w:trPr>
          <w:trHeight w:val="300"/>
        </w:trPr>
        <w:tc>
          <w:tcPr>
            <w:tcW w:w="562" w:type="dxa"/>
            <w:shd w:val="clear" w:color="auto" w:fill="auto"/>
            <w:noWrap/>
            <w:hideMark/>
          </w:tcPr>
          <w:p w14:paraId="70E7EA0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C23</w:t>
            </w:r>
          </w:p>
        </w:tc>
        <w:tc>
          <w:tcPr>
            <w:tcW w:w="2127" w:type="dxa"/>
          </w:tcPr>
          <w:p w14:paraId="70E7EA0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naturaleza del requerimiento de las NIF y conclusiones sobre la razón por la que dicho requerimiento está en conflicto con algún objetivo de los estados financieros establecido en el Marco Conceptual</w:t>
            </w:r>
          </w:p>
        </w:tc>
        <w:tc>
          <w:tcPr>
            <w:tcW w:w="8363" w:type="dxa"/>
            <w:shd w:val="clear" w:color="auto" w:fill="auto"/>
            <w:noWrap/>
            <w:hideMark/>
          </w:tcPr>
          <w:p w14:paraId="70E7EA08" w14:textId="0FADF24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0D" w14:textId="77777777" w:rsidTr="00241880">
        <w:trPr>
          <w:trHeight w:val="300"/>
        </w:trPr>
        <w:tc>
          <w:tcPr>
            <w:tcW w:w="562" w:type="dxa"/>
            <w:shd w:val="clear" w:color="auto" w:fill="auto"/>
            <w:noWrap/>
            <w:hideMark/>
          </w:tcPr>
          <w:p w14:paraId="70E7EA0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C24</w:t>
            </w:r>
          </w:p>
        </w:tc>
        <w:tc>
          <w:tcPr>
            <w:tcW w:w="2127" w:type="dxa"/>
          </w:tcPr>
          <w:p w14:paraId="70E7EA0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ajustes que serían necesarios para lograr la presentación fiel </w:t>
            </w:r>
          </w:p>
        </w:tc>
        <w:tc>
          <w:tcPr>
            <w:tcW w:w="8363" w:type="dxa"/>
            <w:shd w:val="clear" w:color="auto" w:fill="auto"/>
            <w:noWrap/>
            <w:hideMark/>
          </w:tcPr>
          <w:p w14:paraId="70E7EA0C" w14:textId="1502DBF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11" w14:textId="77777777" w:rsidTr="00241880">
        <w:trPr>
          <w:trHeight w:val="300"/>
        </w:trPr>
        <w:tc>
          <w:tcPr>
            <w:tcW w:w="562" w:type="dxa"/>
            <w:shd w:val="clear" w:color="auto" w:fill="auto"/>
            <w:noWrap/>
            <w:hideMark/>
          </w:tcPr>
          <w:p w14:paraId="70E7EA0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C25</w:t>
            </w:r>
          </w:p>
        </w:tc>
        <w:tc>
          <w:tcPr>
            <w:tcW w:w="2127" w:type="dxa"/>
          </w:tcPr>
          <w:p w14:paraId="70E7EA0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incertidumbres sobre la capacidad de la </w:t>
            </w:r>
            <w:r w:rsidRPr="00E258E3">
              <w:rPr>
                <w:rFonts w:ascii="Arial Narrow" w:hAnsi="Arial Narrow" w:cs="Calibri"/>
                <w:color w:val="000000"/>
                <w:sz w:val="20"/>
                <w:szCs w:val="20"/>
              </w:rPr>
              <w:lastRenderedPageBreak/>
              <w:t>entidad para continuar como negocio en marcha</w:t>
            </w:r>
          </w:p>
        </w:tc>
        <w:tc>
          <w:tcPr>
            <w:tcW w:w="8363" w:type="dxa"/>
            <w:shd w:val="clear" w:color="auto" w:fill="auto"/>
            <w:noWrap/>
            <w:hideMark/>
          </w:tcPr>
          <w:p w14:paraId="70E7EA1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NO EXISTEN</w:t>
            </w:r>
          </w:p>
        </w:tc>
      </w:tr>
      <w:tr w:rsidR="000B7B01" w:rsidRPr="00E258E3" w14:paraId="70E7EA15" w14:textId="77777777" w:rsidTr="00241880">
        <w:trPr>
          <w:trHeight w:val="300"/>
        </w:trPr>
        <w:tc>
          <w:tcPr>
            <w:tcW w:w="562" w:type="dxa"/>
            <w:shd w:val="clear" w:color="auto" w:fill="auto"/>
            <w:noWrap/>
            <w:hideMark/>
          </w:tcPr>
          <w:p w14:paraId="70E7EA12"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C26</w:t>
            </w:r>
          </w:p>
        </w:tc>
        <w:tc>
          <w:tcPr>
            <w:tcW w:w="2127" w:type="dxa"/>
          </w:tcPr>
          <w:p w14:paraId="70E7EA13"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hecho y bases para la elaboración de los estados financieros cuando no es aplicable la hipótesis de negocio en marcha</w:t>
            </w:r>
          </w:p>
        </w:tc>
        <w:tc>
          <w:tcPr>
            <w:tcW w:w="8363" w:type="dxa"/>
            <w:shd w:val="clear" w:color="auto" w:fill="auto"/>
            <w:noWrap/>
            <w:hideMark/>
          </w:tcPr>
          <w:p w14:paraId="70E7EA14" w14:textId="364A716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19" w14:textId="77777777" w:rsidTr="00241880">
        <w:trPr>
          <w:trHeight w:val="300"/>
        </w:trPr>
        <w:tc>
          <w:tcPr>
            <w:tcW w:w="562" w:type="dxa"/>
            <w:shd w:val="clear" w:color="auto" w:fill="auto"/>
            <w:noWrap/>
            <w:hideMark/>
          </w:tcPr>
          <w:p w14:paraId="70E7EA1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C27</w:t>
            </w:r>
          </w:p>
        </w:tc>
        <w:tc>
          <w:tcPr>
            <w:tcW w:w="2127" w:type="dxa"/>
          </w:tcPr>
          <w:p w14:paraId="70E7EA17" w14:textId="3B17C122"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razón por la que no se considera a la entidad como negocio en marcha</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A18" w14:textId="3199837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1D" w14:textId="77777777" w:rsidTr="00241880">
        <w:trPr>
          <w:trHeight w:val="300"/>
        </w:trPr>
        <w:tc>
          <w:tcPr>
            <w:tcW w:w="562" w:type="dxa"/>
            <w:shd w:val="clear" w:color="auto" w:fill="auto"/>
            <w:noWrap/>
            <w:hideMark/>
          </w:tcPr>
          <w:p w14:paraId="70E7EA1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C28</w:t>
            </w:r>
          </w:p>
        </w:tc>
        <w:tc>
          <w:tcPr>
            <w:tcW w:w="2127" w:type="dxa"/>
          </w:tcPr>
          <w:p w14:paraId="70E7EA1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razón para utilizar un periodo sobre el que se informa de duración inferior o superior </w:t>
            </w:r>
          </w:p>
        </w:tc>
        <w:tc>
          <w:tcPr>
            <w:tcW w:w="8363" w:type="dxa"/>
            <w:shd w:val="clear" w:color="auto" w:fill="auto"/>
            <w:noWrap/>
            <w:hideMark/>
          </w:tcPr>
          <w:p w14:paraId="70E7EA1C" w14:textId="64D8808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21" w14:textId="77777777" w:rsidTr="00241880">
        <w:trPr>
          <w:trHeight w:val="300"/>
        </w:trPr>
        <w:tc>
          <w:tcPr>
            <w:tcW w:w="562" w:type="dxa"/>
            <w:shd w:val="clear" w:color="auto" w:fill="auto"/>
            <w:noWrap/>
            <w:hideMark/>
          </w:tcPr>
          <w:p w14:paraId="70E7EA1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C29</w:t>
            </w:r>
          </w:p>
        </w:tc>
        <w:tc>
          <w:tcPr>
            <w:tcW w:w="2127" w:type="dxa"/>
          </w:tcPr>
          <w:p w14:paraId="70E7EA1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hecho de que los importes presentados en los estados financieros no son totalmente comparables</w:t>
            </w:r>
          </w:p>
        </w:tc>
        <w:tc>
          <w:tcPr>
            <w:tcW w:w="8363" w:type="dxa"/>
            <w:shd w:val="clear" w:color="auto" w:fill="auto"/>
            <w:noWrap/>
            <w:hideMark/>
          </w:tcPr>
          <w:p w14:paraId="70E7EA20" w14:textId="6E46B96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42" w14:textId="77777777" w:rsidTr="00241880">
        <w:trPr>
          <w:trHeight w:val="300"/>
        </w:trPr>
        <w:tc>
          <w:tcPr>
            <w:tcW w:w="562" w:type="dxa"/>
            <w:shd w:val="clear" w:color="auto" w:fill="auto"/>
            <w:noWrap/>
            <w:hideMark/>
          </w:tcPr>
          <w:p w14:paraId="70E7EA22"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C30</w:t>
            </w:r>
          </w:p>
        </w:tc>
        <w:tc>
          <w:tcPr>
            <w:tcW w:w="2127" w:type="dxa"/>
          </w:tcPr>
          <w:p w14:paraId="70E7EA23"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reclasificaciones o cambios en la presentación</w:t>
            </w:r>
          </w:p>
        </w:tc>
        <w:tc>
          <w:tcPr>
            <w:tcW w:w="8363" w:type="dxa"/>
            <w:shd w:val="clear" w:color="auto" w:fill="auto"/>
            <w:noWrap/>
            <w:hideMark/>
          </w:tcPr>
          <w:p w14:paraId="70E7EA41" w14:textId="24AA13E8" w:rsidR="000B7B01" w:rsidRPr="00E258E3" w:rsidRDefault="009A56BC" w:rsidP="00E258E3">
            <w:pPr>
              <w:spacing w:after="0" w:line="240" w:lineRule="auto"/>
              <w:contextualSpacing/>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rPr>
              <w:t>NO APLICA</w:t>
            </w:r>
          </w:p>
        </w:tc>
      </w:tr>
      <w:tr w:rsidR="000B7B01" w:rsidRPr="00E258E3" w14:paraId="70E7EA4C" w14:textId="77777777" w:rsidTr="00241880">
        <w:trPr>
          <w:trHeight w:val="300"/>
        </w:trPr>
        <w:tc>
          <w:tcPr>
            <w:tcW w:w="562" w:type="dxa"/>
            <w:shd w:val="clear" w:color="auto" w:fill="auto"/>
            <w:noWrap/>
            <w:hideMark/>
          </w:tcPr>
          <w:p w14:paraId="70E7EA4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C31</w:t>
            </w:r>
          </w:p>
        </w:tc>
        <w:tc>
          <w:tcPr>
            <w:tcW w:w="2127" w:type="dxa"/>
          </w:tcPr>
          <w:p w14:paraId="70E7EA4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reclasificaciones o cambios en la presentación [partidas de los estados financieros]</w:t>
            </w:r>
          </w:p>
        </w:tc>
        <w:tc>
          <w:tcPr>
            <w:tcW w:w="8363" w:type="dxa"/>
            <w:shd w:val="clear" w:color="auto" w:fill="auto"/>
            <w:noWrap/>
            <w:hideMark/>
          </w:tcPr>
          <w:p w14:paraId="70E7EA4B" w14:textId="133C699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r w:rsidRPr="00E258E3">
              <w:rPr>
                <w:rFonts w:ascii="Arial Narrow" w:eastAsia="Times New Roman" w:hAnsi="Arial Narrow" w:cs="Calibri"/>
                <w:color w:val="000000"/>
                <w:sz w:val="20"/>
                <w:szCs w:val="20"/>
                <w:lang w:eastAsia="es-CO"/>
              </w:rPr>
              <w:t>.</w:t>
            </w:r>
          </w:p>
        </w:tc>
      </w:tr>
      <w:tr w:rsidR="000B7B01" w:rsidRPr="00E258E3" w14:paraId="70E7EA56" w14:textId="77777777" w:rsidTr="00241880">
        <w:trPr>
          <w:trHeight w:val="300"/>
        </w:trPr>
        <w:tc>
          <w:tcPr>
            <w:tcW w:w="562" w:type="dxa"/>
            <w:shd w:val="clear" w:color="auto" w:fill="auto"/>
            <w:noWrap/>
            <w:hideMark/>
          </w:tcPr>
          <w:p w14:paraId="70E7EA4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C32</w:t>
            </w:r>
          </w:p>
        </w:tc>
        <w:tc>
          <w:tcPr>
            <w:tcW w:w="2127" w:type="dxa"/>
          </w:tcPr>
          <w:p w14:paraId="70E7EA4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reclasificaciones o cambios en la presentación</w:t>
            </w:r>
          </w:p>
        </w:tc>
        <w:tc>
          <w:tcPr>
            <w:tcW w:w="8363" w:type="dxa"/>
            <w:shd w:val="clear" w:color="auto" w:fill="auto"/>
            <w:noWrap/>
            <w:hideMark/>
          </w:tcPr>
          <w:p w14:paraId="70E7EA53" w14:textId="6ACEFA91" w:rsidR="000B7B01" w:rsidRPr="00E258E3" w:rsidRDefault="000B7B01" w:rsidP="009A56BC">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p w14:paraId="70E7EA5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55" w14:textId="7683EAD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tc>
      </w:tr>
      <w:tr w:rsidR="000B7B01" w:rsidRPr="00E258E3" w14:paraId="70E7EA5B" w14:textId="77777777" w:rsidTr="00241880">
        <w:trPr>
          <w:trHeight w:val="300"/>
        </w:trPr>
        <w:tc>
          <w:tcPr>
            <w:tcW w:w="562" w:type="dxa"/>
            <w:shd w:val="clear" w:color="auto" w:fill="auto"/>
            <w:noWrap/>
            <w:hideMark/>
          </w:tcPr>
          <w:p w14:paraId="70E7EA5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C33</w:t>
            </w:r>
          </w:p>
        </w:tc>
        <w:tc>
          <w:tcPr>
            <w:tcW w:w="2127" w:type="dxa"/>
          </w:tcPr>
          <w:p w14:paraId="70E7EA58" w14:textId="536044D4"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razón para reclasificaciones o cambios en la presentación</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A5A" w14:textId="4E7C9112" w:rsidR="000B7B01" w:rsidRPr="00E258E3" w:rsidRDefault="000B7B01" w:rsidP="009A56BC">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5F" w14:textId="77777777" w:rsidTr="00241880">
        <w:trPr>
          <w:trHeight w:val="300"/>
        </w:trPr>
        <w:tc>
          <w:tcPr>
            <w:tcW w:w="562" w:type="dxa"/>
            <w:shd w:val="clear" w:color="auto" w:fill="auto"/>
            <w:noWrap/>
            <w:hideMark/>
          </w:tcPr>
          <w:p w14:paraId="70E7EA5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C34</w:t>
            </w:r>
          </w:p>
        </w:tc>
        <w:tc>
          <w:tcPr>
            <w:tcW w:w="2127" w:type="dxa"/>
          </w:tcPr>
          <w:p w14:paraId="70E7EA5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razón por la que es impracticable la reclasificación de importes comparativos</w:t>
            </w:r>
          </w:p>
        </w:tc>
        <w:tc>
          <w:tcPr>
            <w:tcW w:w="8363" w:type="dxa"/>
            <w:shd w:val="clear" w:color="auto" w:fill="auto"/>
            <w:noWrap/>
            <w:hideMark/>
          </w:tcPr>
          <w:p w14:paraId="70E7EA5E" w14:textId="2C5458A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63" w14:textId="77777777" w:rsidTr="00241880">
        <w:trPr>
          <w:trHeight w:val="300"/>
        </w:trPr>
        <w:tc>
          <w:tcPr>
            <w:tcW w:w="562" w:type="dxa"/>
            <w:shd w:val="clear" w:color="auto" w:fill="auto"/>
            <w:noWrap/>
            <w:hideMark/>
          </w:tcPr>
          <w:p w14:paraId="70E7EA6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C35</w:t>
            </w:r>
          </w:p>
        </w:tc>
        <w:tc>
          <w:tcPr>
            <w:tcW w:w="2127" w:type="dxa"/>
          </w:tcPr>
          <w:p w14:paraId="70E7EA6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los ajustes necesarios para proporcionar información comparativa</w:t>
            </w:r>
          </w:p>
        </w:tc>
        <w:tc>
          <w:tcPr>
            <w:tcW w:w="8363" w:type="dxa"/>
            <w:shd w:val="clear" w:color="auto" w:fill="auto"/>
            <w:noWrap/>
            <w:hideMark/>
          </w:tcPr>
          <w:p w14:paraId="70E7EA62" w14:textId="547E8BF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69" w14:textId="77777777" w:rsidTr="00241880">
        <w:trPr>
          <w:trHeight w:val="300"/>
        </w:trPr>
        <w:tc>
          <w:tcPr>
            <w:tcW w:w="562" w:type="dxa"/>
            <w:shd w:val="clear" w:color="auto" w:fill="auto"/>
            <w:noWrap/>
            <w:hideMark/>
          </w:tcPr>
          <w:p w14:paraId="70E7EA6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C36</w:t>
            </w:r>
          </w:p>
        </w:tc>
        <w:tc>
          <w:tcPr>
            <w:tcW w:w="2127" w:type="dxa"/>
          </w:tcPr>
          <w:p w14:paraId="70E7EA6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importes a recuperar o liquidar tras doce meses para clases de activos y pasivos que contienen importes a recuperar o liquidar antes y después de doce meses tras la fecha de presentación</w:t>
            </w:r>
          </w:p>
        </w:tc>
        <w:tc>
          <w:tcPr>
            <w:tcW w:w="8363" w:type="dxa"/>
            <w:shd w:val="clear" w:color="auto" w:fill="auto"/>
            <w:noWrap/>
            <w:hideMark/>
          </w:tcPr>
          <w:p w14:paraId="70E7EA68" w14:textId="7EAEBA00" w:rsidR="000B7B01" w:rsidRPr="00E258E3" w:rsidRDefault="00F32622" w:rsidP="00241880">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L</w:t>
            </w:r>
            <w:r w:rsidR="000B7B01" w:rsidRPr="00E258E3">
              <w:rPr>
                <w:rFonts w:ascii="Arial Narrow" w:eastAsia="Times New Roman" w:hAnsi="Arial Narrow" w:cs="Calibri"/>
                <w:color w:val="000000"/>
                <w:sz w:val="20"/>
                <w:szCs w:val="20"/>
                <w:lang w:eastAsia="es-CO"/>
              </w:rPr>
              <w:t xml:space="preserve">a cartera de créditos corresponde a </w:t>
            </w:r>
            <w:r w:rsidR="009A56BC" w:rsidRPr="00E258E3">
              <w:rPr>
                <w:rFonts w:ascii="Arial Narrow" w:eastAsia="Times New Roman" w:hAnsi="Arial Narrow" w:cs="Calibri"/>
                <w:color w:val="000000"/>
                <w:sz w:val="20"/>
                <w:szCs w:val="20"/>
                <w:lang w:eastAsia="es-CO"/>
              </w:rPr>
              <w:t>préstamos</w:t>
            </w:r>
            <w:r w:rsidR="000B7B01" w:rsidRPr="00E258E3">
              <w:rPr>
                <w:rFonts w:ascii="Arial Narrow" w:eastAsia="Times New Roman" w:hAnsi="Arial Narrow" w:cs="Calibri"/>
                <w:color w:val="000000"/>
                <w:sz w:val="20"/>
                <w:szCs w:val="20"/>
                <w:lang w:eastAsia="es-CO"/>
              </w:rPr>
              <w:t xml:space="preserve"> a asociados que generan intereses calculados por el método del interés efectivo y cuyos plazos de recuperación del capital contemplan hasta 60 meses. Igualmente las obligaciones financieras son pactadas con una tasa de referencia variable como la DTF o el IBR más unos puntos que van desde 4 hasta 6 y que regularmente contemplan plazos para pago de capital de hasta 36 meses.</w:t>
            </w:r>
            <w:r w:rsidR="00241880">
              <w:rPr>
                <w:rFonts w:ascii="Arial Narrow" w:eastAsia="Times New Roman" w:hAnsi="Arial Narrow" w:cs="Calibri"/>
                <w:color w:val="000000"/>
                <w:sz w:val="20"/>
                <w:szCs w:val="20"/>
                <w:lang w:eastAsia="es-CO"/>
              </w:rPr>
              <w:t xml:space="preserve"> </w:t>
            </w:r>
            <w:r w:rsidR="000B7B01" w:rsidRPr="00E258E3">
              <w:rPr>
                <w:rFonts w:ascii="Arial Narrow" w:eastAsia="Times New Roman" w:hAnsi="Arial Narrow" w:cs="Calibri"/>
                <w:color w:val="000000"/>
                <w:sz w:val="20"/>
                <w:szCs w:val="20"/>
                <w:lang w:eastAsia="es-CO"/>
              </w:rPr>
              <w:t>No existen otros activos o pasivos cuya realización o recuperación se extienda más allá de los 12 meses.</w:t>
            </w:r>
          </w:p>
        </w:tc>
      </w:tr>
      <w:tr w:rsidR="000B7B01" w:rsidRPr="00E258E3" w14:paraId="70E7EA6F" w14:textId="77777777" w:rsidTr="00241880">
        <w:trPr>
          <w:trHeight w:val="300"/>
        </w:trPr>
        <w:tc>
          <w:tcPr>
            <w:tcW w:w="562" w:type="dxa"/>
            <w:shd w:val="clear" w:color="auto" w:fill="auto"/>
            <w:noWrap/>
            <w:hideMark/>
          </w:tcPr>
          <w:p w14:paraId="70E7EA6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C37</w:t>
            </w:r>
          </w:p>
        </w:tc>
        <w:tc>
          <w:tcPr>
            <w:tcW w:w="2127" w:type="dxa"/>
          </w:tcPr>
          <w:p w14:paraId="70E7EA6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los importes a </w:t>
            </w:r>
            <w:r w:rsidRPr="00E258E3">
              <w:rPr>
                <w:rFonts w:ascii="Arial Narrow" w:hAnsi="Arial Narrow" w:cs="Calibri"/>
                <w:color w:val="000000"/>
                <w:sz w:val="20"/>
                <w:szCs w:val="20"/>
              </w:rPr>
              <w:lastRenderedPageBreak/>
              <w:t>recuperar o liquidar tras doce meses para clases de activos y pasivos que contienen importes a recuperar o liquidar antes y después de doce meses tras la fecha de presentación [partidas de los estados financieros]</w:t>
            </w:r>
          </w:p>
        </w:tc>
        <w:tc>
          <w:tcPr>
            <w:tcW w:w="8363" w:type="dxa"/>
            <w:shd w:val="clear" w:color="auto" w:fill="auto"/>
            <w:noWrap/>
            <w:hideMark/>
          </w:tcPr>
          <w:p w14:paraId="70E7EA6C" w14:textId="7D7E74E1"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lastRenderedPageBreak/>
              <w:t>L</w:t>
            </w:r>
            <w:r w:rsidR="000B7B01" w:rsidRPr="00E258E3">
              <w:rPr>
                <w:rFonts w:ascii="Arial Narrow" w:eastAsia="Times New Roman" w:hAnsi="Arial Narrow" w:cs="Calibri"/>
                <w:color w:val="000000"/>
                <w:sz w:val="20"/>
                <w:szCs w:val="20"/>
                <w:lang w:eastAsia="es-CO"/>
              </w:rPr>
              <w:t xml:space="preserve">a cartera de créditos corresponde a </w:t>
            </w:r>
            <w:r w:rsidRPr="00E258E3">
              <w:rPr>
                <w:rFonts w:ascii="Arial Narrow" w:eastAsia="Times New Roman" w:hAnsi="Arial Narrow" w:cs="Calibri"/>
                <w:color w:val="000000"/>
                <w:sz w:val="20"/>
                <w:szCs w:val="20"/>
                <w:lang w:eastAsia="es-CO"/>
              </w:rPr>
              <w:t>préstamos</w:t>
            </w:r>
            <w:r w:rsidR="000B7B01" w:rsidRPr="00E258E3">
              <w:rPr>
                <w:rFonts w:ascii="Arial Narrow" w:eastAsia="Times New Roman" w:hAnsi="Arial Narrow" w:cs="Calibri"/>
                <w:color w:val="000000"/>
                <w:sz w:val="20"/>
                <w:szCs w:val="20"/>
                <w:lang w:eastAsia="es-CO"/>
              </w:rPr>
              <w:t xml:space="preserve"> a asociados que generan intereses calculados por el método del interés efectivo y cuyos plazos de recuperación del capital contemplan hasta 60 meses. Igualmente las </w:t>
            </w:r>
            <w:r w:rsidR="000B7B01" w:rsidRPr="00E258E3">
              <w:rPr>
                <w:rFonts w:ascii="Arial Narrow" w:eastAsia="Times New Roman" w:hAnsi="Arial Narrow" w:cs="Calibri"/>
                <w:color w:val="000000"/>
                <w:sz w:val="20"/>
                <w:szCs w:val="20"/>
                <w:lang w:eastAsia="es-CO"/>
              </w:rPr>
              <w:lastRenderedPageBreak/>
              <w:t>obligaciones financieras son pactadas con una tasa de referencia variable como la DTF o el IBR más unos puntos que van desde 4 hasta 6 y que regularmente contemplan plazos para pago de capital de hasta 36 meses.</w:t>
            </w:r>
          </w:p>
          <w:p w14:paraId="70E7EA6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6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No existen otros activos o pasivos cuya realización o recuperación se extienda más allá de los 12 meses.</w:t>
            </w:r>
          </w:p>
        </w:tc>
      </w:tr>
      <w:tr w:rsidR="000B7B01" w:rsidRPr="00E258E3" w14:paraId="70E7EA73" w14:textId="77777777" w:rsidTr="00241880">
        <w:trPr>
          <w:trHeight w:val="300"/>
        </w:trPr>
        <w:tc>
          <w:tcPr>
            <w:tcW w:w="562" w:type="dxa"/>
            <w:shd w:val="clear" w:color="auto" w:fill="auto"/>
            <w:noWrap/>
            <w:hideMark/>
          </w:tcPr>
          <w:p w14:paraId="70E7EA7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C38</w:t>
            </w:r>
          </w:p>
        </w:tc>
        <w:tc>
          <w:tcPr>
            <w:tcW w:w="2127" w:type="dxa"/>
          </w:tcPr>
          <w:p w14:paraId="70E7EA7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las políticas contables significativas</w:t>
            </w:r>
          </w:p>
        </w:tc>
        <w:tc>
          <w:tcPr>
            <w:tcW w:w="8363" w:type="dxa"/>
            <w:shd w:val="clear" w:color="auto" w:fill="auto"/>
            <w:noWrap/>
            <w:hideMark/>
          </w:tcPr>
          <w:p w14:paraId="70E7EA72" w14:textId="20BD262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Efectivo y Equivalentes del Efectivo: Efectivo en caja y depósitos en entidades financieras a la vista (cuentas de ahorro, corrientes y fiducias).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Los equivalentes al efectivo son inversiones a corto plazo de gran liquidez que se mantienen para cumplir con los compromisos de pago a corto plazo más que para propósitos de inversión u otros. Instrumentos de Deuda al Costo Amortizado. Todos los instrumentos de deuda que contemplan financiación se reconocen cuando la entidad se hace parte contractual. La medición inicial se hace por el costo de transacción y la medición posterior por el costo amortizado utilizando el método del interés efectivo, menos cualquier deterioro por incobrabilidad en el caso de los activos. Instrumentos de Deuda al costo histórico: Los instrumentos de deuda corrientes se miden al importe no descontado, menos cualquier deterioro por incobrabilidad en el caso del activo, utilizando el método de la pérdida incurrida. La entidad considera instrumentos de deuda corrientes: cuentas por cobrar y por pagar cuyo pacto de realización está definido a menos de 12 meses.</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Instrumentos de Patrimonio a Costo Histórico: Regularmente corresponden a aportaciones en entidades sin ánimo de lucro (cooperativas) que no pueden medirse a valor razonable y por tanto son medidas a costo histórico menos deterioro.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En estas inversiones es evidencia de deterioro pérdidas recurrentes (3 años) o quebranto patrimonial (patrimonio inferior al capital social). Propiedad, Planta y Equipo al Costo Histórico menos Depreciación menos Deterioro: Son activos tangibles que: (a) se mantienen para su uso en la producción o suministro de bienes o servicios, para arrendarlos a terceros o con propósitos administrativos, y (b) se esperan usar durante más de un periodo.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Se registran por el valor pagado más todos los costos de instalación excepto la financiación y se deprecian en línea recta según su vida útil.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Intangibles: Los gastos anticipados que son recuperables como seguros pagados por anticipado, se amortizan durante la vigencia de la cobertura o del servicio adquirido. El Software se amortiza según su vida útil hasta un máximo de 10 años y los demás intangibles generados internamente se reconocen directamente al gasto. Activos y Pasivos Contingentes: No se reconocen en los estados financieros, pero si se revelan en notas a los estados financieros, a menos que la posibilidad de que se desembolse un flujo económico sea remota. Fondos Sociales y Mutuales: corresponden a partidas medidas al costo histórico producto de excedentes o contribuciones dispuestas por los asociados para financiar actividades o servicios en su propio beneficio y que la entidad ejecuta conforme a la reglamentación expedida por el Consejo de Administración y las instrucciones emanadas de la Supersolidaria. Beneficios a Empleados: Corresponde a todos los pagos efectuados a los empleados de la Cooperativa por sus servicios de acuerdo con el código laboral colombiano y auxilios educativos así como otros auxilios, capacitación, dotación, botiquín etc.</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entidad no tiene beneficios laborales de largo plazo. Ingresos de Actividades Ordinarias: COOPEJEMPLO reconocerá los ingresos de actividades ordinarias de acuerdo con las siguientes bases: (a) Los intereses se reconocerán utilizando el método del interés efectivo, (b) Las regalías se reconocerán utilizando la base de acumulación (o devengo), de acuerdo con la esencia del acuerdo correspondiente. (c) Los dividendos se reconocerán cuando se establezca el derecho a recibirlos por parte del accionista. Partes Relacionadas: La entidad considera partes relacionadas, aquellas personas naturales o jurídicas que ejercen control o influencia significativa en la definición de las políticas y decisiones de la Cooperativa así como sus familiares hasta tercer grado de consanguinidad, segundo de afinidad y único civil así como todas las personas jurídicas en que </w:t>
            </w:r>
            <w:proofErr w:type="gramStart"/>
            <w:r w:rsidRPr="00E258E3">
              <w:rPr>
                <w:rFonts w:ascii="Arial Narrow" w:eastAsia="Times New Roman" w:hAnsi="Arial Narrow" w:cs="Calibri"/>
                <w:color w:val="000000"/>
                <w:sz w:val="20"/>
                <w:szCs w:val="20"/>
                <w:lang w:eastAsia="es-CO"/>
              </w:rPr>
              <w:t>éstas</w:t>
            </w:r>
            <w:proofErr w:type="gramEnd"/>
            <w:r w:rsidRPr="00E258E3">
              <w:rPr>
                <w:rFonts w:ascii="Arial Narrow" w:eastAsia="Times New Roman" w:hAnsi="Arial Narrow" w:cs="Calibri"/>
                <w:color w:val="000000"/>
                <w:sz w:val="20"/>
                <w:szCs w:val="20"/>
                <w:lang w:eastAsia="es-CO"/>
              </w:rPr>
              <w:t xml:space="preserve"> personas sean accionistas o propietarios con más del 50% del capital.</w:t>
            </w:r>
          </w:p>
        </w:tc>
      </w:tr>
      <w:tr w:rsidR="000B7B01" w:rsidRPr="00E258E3" w14:paraId="70E7EA79" w14:textId="77777777" w:rsidTr="00241880">
        <w:trPr>
          <w:trHeight w:val="300"/>
        </w:trPr>
        <w:tc>
          <w:tcPr>
            <w:tcW w:w="562" w:type="dxa"/>
            <w:shd w:val="clear" w:color="auto" w:fill="auto"/>
            <w:noWrap/>
            <w:hideMark/>
          </w:tcPr>
          <w:p w14:paraId="70E7EA7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C39</w:t>
            </w:r>
          </w:p>
        </w:tc>
        <w:tc>
          <w:tcPr>
            <w:tcW w:w="2127" w:type="dxa"/>
          </w:tcPr>
          <w:p w14:paraId="70E7EA7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los criterios de medición utilizados para preparar los estados financieros</w:t>
            </w:r>
          </w:p>
        </w:tc>
        <w:tc>
          <w:tcPr>
            <w:tcW w:w="8363" w:type="dxa"/>
            <w:shd w:val="clear" w:color="auto" w:fill="auto"/>
            <w:noWrap/>
            <w:hideMark/>
          </w:tcPr>
          <w:p w14:paraId="70E7EA7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El costo amortizado en la las inve</w:t>
            </w:r>
            <w:r w:rsidR="00F32622" w:rsidRPr="00E258E3">
              <w:rPr>
                <w:rFonts w:ascii="Arial Narrow" w:eastAsia="Times New Roman" w:hAnsi="Arial Narrow" w:cs="Calibri"/>
                <w:color w:val="000000"/>
                <w:sz w:val="20"/>
                <w:szCs w:val="20"/>
                <w:lang w:eastAsia="es-CO"/>
              </w:rPr>
              <w:t>r</w:t>
            </w:r>
            <w:r w:rsidRPr="00E258E3">
              <w:rPr>
                <w:rFonts w:ascii="Arial Narrow" w:eastAsia="Times New Roman" w:hAnsi="Arial Narrow" w:cs="Calibri"/>
                <w:color w:val="000000"/>
                <w:sz w:val="20"/>
                <w:szCs w:val="20"/>
                <w:lang w:eastAsia="es-CO"/>
              </w:rPr>
              <w:t xml:space="preserve">siones de </w:t>
            </w:r>
            <w:r w:rsidR="00D25BE2" w:rsidRPr="00E258E3">
              <w:rPr>
                <w:rFonts w:ascii="Arial Narrow" w:eastAsia="Times New Roman" w:hAnsi="Arial Narrow" w:cs="Calibri"/>
                <w:color w:val="000000"/>
                <w:sz w:val="20"/>
                <w:szCs w:val="20"/>
                <w:lang w:eastAsia="es-CO"/>
              </w:rPr>
              <w:t>deuda</w:t>
            </w:r>
            <w:r w:rsidRPr="00E258E3">
              <w:rPr>
                <w:rFonts w:ascii="Arial Narrow" w:eastAsia="Times New Roman" w:hAnsi="Arial Narrow" w:cs="Calibri"/>
                <w:color w:val="000000"/>
                <w:sz w:val="20"/>
                <w:szCs w:val="20"/>
                <w:lang w:eastAsia="es-CO"/>
              </w:rPr>
              <w:t xml:space="preserve"> / la cartera de créditos / los </w:t>
            </w:r>
            <w:proofErr w:type="spellStart"/>
            <w:r w:rsidRPr="00E258E3">
              <w:rPr>
                <w:rFonts w:ascii="Arial Narrow" w:eastAsia="Times New Roman" w:hAnsi="Arial Narrow" w:cs="Calibri"/>
                <w:color w:val="000000"/>
                <w:sz w:val="20"/>
                <w:szCs w:val="20"/>
                <w:lang w:eastAsia="es-CO"/>
              </w:rPr>
              <w:t>depositos</w:t>
            </w:r>
            <w:proofErr w:type="spellEnd"/>
            <w:r w:rsidRPr="00E258E3">
              <w:rPr>
                <w:rFonts w:ascii="Arial Narrow" w:eastAsia="Times New Roman" w:hAnsi="Arial Narrow" w:cs="Calibri"/>
                <w:color w:val="000000"/>
                <w:sz w:val="20"/>
                <w:szCs w:val="20"/>
                <w:lang w:eastAsia="es-CO"/>
              </w:rPr>
              <w:t xml:space="preserve"> / las obligaciones financieras</w:t>
            </w:r>
          </w:p>
          <w:p w14:paraId="70E7EA7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El valor razonable para las inversiones de patrimonio que cotizan en Bolsa y las propiedades de inversion</w:t>
            </w:r>
          </w:p>
          <w:p w14:paraId="70E7EA78" w14:textId="328CF7B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Para </w:t>
            </w:r>
            <w:r w:rsidR="009A56BC" w:rsidRPr="00E258E3">
              <w:rPr>
                <w:rFonts w:ascii="Arial Narrow" w:eastAsia="Times New Roman" w:hAnsi="Arial Narrow" w:cs="Calibri"/>
                <w:color w:val="000000"/>
                <w:sz w:val="20"/>
                <w:szCs w:val="20"/>
                <w:lang w:eastAsia="es-CO"/>
              </w:rPr>
              <w:t>todo el demás costo histórico</w:t>
            </w:r>
            <w:r w:rsidRPr="00E258E3">
              <w:rPr>
                <w:rFonts w:ascii="Arial Narrow" w:eastAsia="Times New Roman" w:hAnsi="Arial Narrow" w:cs="Calibri"/>
                <w:color w:val="000000"/>
                <w:sz w:val="20"/>
                <w:szCs w:val="20"/>
                <w:lang w:eastAsia="es-CO"/>
              </w:rPr>
              <w:t xml:space="preserve"> aplicando deterioro en el caso de los activos</w:t>
            </w:r>
          </w:p>
        </w:tc>
      </w:tr>
      <w:tr w:rsidR="000B7B01" w:rsidRPr="00E258E3" w14:paraId="70E7EA8F" w14:textId="77777777" w:rsidTr="00241880">
        <w:trPr>
          <w:trHeight w:val="300"/>
        </w:trPr>
        <w:tc>
          <w:tcPr>
            <w:tcW w:w="562" w:type="dxa"/>
            <w:shd w:val="clear" w:color="auto" w:fill="auto"/>
            <w:noWrap/>
            <w:hideMark/>
          </w:tcPr>
          <w:p w14:paraId="70E7EA7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C40</w:t>
            </w:r>
          </w:p>
        </w:tc>
        <w:tc>
          <w:tcPr>
            <w:tcW w:w="2127" w:type="dxa"/>
          </w:tcPr>
          <w:p w14:paraId="70E7EA7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otras políticas contables relevantes para comprender los estados financieros</w:t>
            </w:r>
          </w:p>
        </w:tc>
        <w:tc>
          <w:tcPr>
            <w:tcW w:w="8363" w:type="dxa"/>
            <w:shd w:val="clear" w:color="auto" w:fill="auto"/>
            <w:noWrap/>
            <w:hideMark/>
          </w:tcPr>
          <w:p w14:paraId="70E7EA7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Principio de Materialidad: Se considera cifra material para el estado de situación financiera, flujos de efectivo y de cambios en el patrimonio, cifras por valor superior al 0.5% del Activo y en el estado de resultados integral cifras superiores al 0.5% del total de ingresos de la entidad. Se revelará en las notas a los estados financieros por tercero y/o concepto, todas las partidas que conforman cada uno de los rubros revelados en los estados financieros, cuyos valores sean en todo caso superiores a diez (10) salarios mínimo mensuales legales vigentes. </w:t>
            </w:r>
          </w:p>
          <w:p w14:paraId="70E7EA7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7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Comprensibilidad: los Estados Financieros de MULTIFAMILIAR URAPAN II se presentan de modo que sea comprensible para los copropietarios y usuarios externos que tienen un conocimiento razonable de las actividades económicas y empresariales y de la contabilidad, así como voluntad para estudiar la información con diligencia razonable. </w:t>
            </w:r>
          </w:p>
          <w:p w14:paraId="70E7EA7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Relevancia: la información proporcionada en los Estados Financieros de MULTIFAMILIAR URAPAN II es relevante para las necesidades de toma de decisiones de los usuarios internos y externos, siempre y cuando esta información pueda ejercer influencia sobre las decisiones económicas de quienes la utilizan, ayudándoles a evaluar suceso pasados, presentes y futuros, o bien a confirmar o corregir evaluaciones realizadas con anterioridad.</w:t>
            </w:r>
          </w:p>
          <w:p w14:paraId="70E7EA8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Fiabilidad: La información que contiene los Estados Financieros de MULTIFAMILIAR URAPAN II son fiables, no presenta error significativo y sesgo, y representa fielmente lo que pretende representar o puede esperarse razonablemente que represente. </w:t>
            </w:r>
          </w:p>
          <w:p w14:paraId="70E7EA8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La Esencia sobre la forma: MULTIFAMILIAR URAPAN II contabiliza y presenta las transacciones y demás sucesos y condiciones de acuerdo con su esencia y no solamente en consideración a su forma legal.</w:t>
            </w:r>
          </w:p>
          <w:p w14:paraId="70E7EA85"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Prudencia: es la inclusión de un cierto grado de precaución al realizar los juicios necesarios para efectuar las estimaciones requeridas bajo condiciones de incertidumbre, de forma que los activos o los ingresos no se expresen en exceso y que los pasivos o los gastos no se expresen en defecto. La prudencia no permite el sesgo. </w:t>
            </w:r>
          </w:p>
          <w:p w14:paraId="70E7EA87"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8"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Integridad: para ser fiable, la información en los estados financieros debe ser completa dentro de los límites de la importancia relativa y el costo. Una omisión puede causar que la información sea falsa y equívoca, por tanto no fiable y deficiente en términos de relevancia. </w:t>
            </w:r>
          </w:p>
          <w:p w14:paraId="70E7EA8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Comparabilidad: Los usuarios deben ser capaces de comparar los estados financieros de MULTIFAMILIAR URAPAN II a lo largo del tiempo, para identificar las tendencias de su situación financiera y su rendimiento financiero. La medida y presentación de los efectos financieros de transacciones similares y otros sucesos y condiciones son llevadas a cabo de una forma uniforme a través del tiempo. Los usuarios deben estar informados de las presentes políticas contables empleadas en la preparación de los estados financieros, de cualquier cambio habido en dichas políticas y de los efectos de estos cambios.</w:t>
            </w:r>
          </w:p>
          <w:p w14:paraId="70E7EA8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Oportunidad: la oportunidad implica proporcionar información dentro del período de tiempo para la decisión. Si hay un retraso indebido en la presentación de la información, ésta puede perder su relevancia. Se espera conseguir un equilibrio entre relevancia y fiabilidad, la consideración decisiva es como se satisfacen mejor las necesidades de los usuarios internos y externos cuando toman decisiones económicas.</w:t>
            </w:r>
          </w:p>
          <w:p w14:paraId="70E7EA8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p w14:paraId="70E7EA8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Equilibrio entre costo y beneficio: los beneficios derivados de la información deben exceder a los costos de suministrarla. La evaluación de beneficios y costos es, sustancialmente, un proceso de juicio.</w:t>
            </w:r>
          </w:p>
        </w:tc>
      </w:tr>
      <w:tr w:rsidR="000B7B01" w:rsidRPr="00E258E3" w14:paraId="70E7EA93" w14:textId="77777777" w:rsidTr="00241880">
        <w:trPr>
          <w:trHeight w:val="300"/>
        </w:trPr>
        <w:tc>
          <w:tcPr>
            <w:tcW w:w="562" w:type="dxa"/>
            <w:shd w:val="clear" w:color="auto" w:fill="auto"/>
            <w:noWrap/>
            <w:hideMark/>
          </w:tcPr>
          <w:p w14:paraId="70E7EA9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C41</w:t>
            </w:r>
          </w:p>
        </w:tc>
        <w:tc>
          <w:tcPr>
            <w:tcW w:w="2127" w:type="dxa"/>
          </w:tcPr>
          <w:p w14:paraId="70E7EA9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juicios de la gerencia al aplicar las políticas contables de la entidad con efectos </w:t>
            </w:r>
            <w:r w:rsidRPr="006A6FD1">
              <w:rPr>
                <w:rFonts w:ascii="Arial Narrow" w:hAnsi="Arial Narrow" w:cs="Calibri"/>
                <w:color w:val="FF0000"/>
                <w:sz w:val="20"/>
                <w:szCs w:val="20"/>
              </w:rPr>
              <w:t xml:space="preserve">significativos </w:t>
            </w:r>
            <w:r w:rsidRPr="00E258E3">
              <w:rPr>
                <w:rFonts w:ascii="Arial Narrow" w:hAnsi="Arial Narrow" w:cs="Calibri"/>
                <w:color w:val="000000"/>
                <w:sz w:val="20"/>
                <w:szCs w:val="20"/>
              </w:rPr>
              <w:t>en los importes reconocidos</w:t>
            </w:r>
          </w:p>
        </w:tc>
        <w:tc>
          <w:tcPr>
            <w:tcW w:w="8363" w:type="dxa"/>
            <w:shd w:val="clear" w:color="auto" w:fill="auto"/>
            <w:noWrap/>
            <w:hideMark/>
          </w:tcPr>
          <w:p w14:paraId="70E7EA92" w14:textId="35427D4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97" w14:textId="77777777" w:rsidTr="00241880">
        <w:trPr>
          <w:trHeight w:val="300"/>
        </w:trPr>
        <w:tc>
          <w:tcPr>
            <w:tcW w:w="562" w:type="dxa"/>
            <w:shd w:val="clear" w:color="auto" w:fill="auto"/>
            <w:noWrap/>
            <w:hideMark/>
          </w:tcPr>
          <w:p w14:paraId="70E7EA9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C42</w:t>
            </w:r>
          </w:p>
        </w:tc>
        <w:tc>
          <w:tcPr>
            <w:tcW w:w="2127" w:type="dxa"/>
          </w:tcPr>
          <w:p w14:paraId="70E7EA9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origen de incertidumbre de la estimación con riesgo significativo de causar ajustes importantes</w:t>
            </w:r>
          </w:p>
        </w:tc>
        <w:tc>
          <w:tcPr>
            <w:tcW w:w="8363" w:type="dxa"/>
            <w:shd w:val="clear" w:color="auto" w:fill="auto"/>
            <w:noWrap/>
            <w:hideMark/>
          </w:tcPr>
          <w:p w14:paraId="70E7EA96" w14:textId="137D4E4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9B" w14:textId="77777777" w:rsidTr="00241880">
        <w:trPr>
          <w:trHeight w:val="300"/>
        </w:trPr>
        <w:tc>
          <w:tcPr>
            <w:tcW w:w="562" w:type="dxa"/>
            <w:shd w:val="clear" w:color="auto" w:fill="auto"/>
            <w:noWrap/>
            <w:hideMark/>
          </w:tcPr>
          <w:p w14:paraId="70E7EA9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C43</w:t>
            </w:r>
          </w:p>
        </w:tc>
        <w:tc>
          <w:tcPr>
            <w:tcW w:w="2127" w:type="dxa"/>
          </w:tcPr>
          <w:p w14:paraId="70E7EA9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activos y pasivos con riesgo significativo de </w:t>
            </w:r>
            <w:r w:rsidRPr="006A6FD1">
              <w:rPr>
                <w:rFonts w:ascii="Arial Narrow" w:hAnsi="Arial Narrow" w:cs="Calibri"/>
                <w:color w:val="FF0000"/>
                <w:sz w:val="20"/>
                <w:szCs w:val="20"/>
              </w:rPr>
              <w:t>ajustes importantes</w:t>
            </w:r>
          </w:p>
        </w:tc>
        <w:tc>
          <w:tcPr>
            <w:tcW w:w="8363" w:type="dxa"/>
            <w:shd w:val="clear" w:color="auto" w:fill="auto"/>
            <w:noWrap/>
            <w:hideMark/>
          </w:tcPr>
          <w:p w14:paraId="70E7EA9A" w14:textId="11706C3B"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9F" w14:textId="77777777" w:rsidTr="00241880">
        <w:trPr>
          <w:trHeight w:val="300"/>
        </w:trPr>
        <w:tc>
          <w:tcPr>
            <w:tcW w:w="562" w:type="dxa"/>
            <w:shd w:val="clear" w:color="auto" w:fill="auto"/>
            <w:noWrap/>
            <w:hideMark/>
          </w:tcPr>
          <w:p w14:paraId="70E7EA9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C44</w:t>
            </w:r>
          </w:p>
        </w:tc>
        <w:tc>
          <w:tcPr>
            <w:tcW w:w="2127" w:type="dxa"/>
          </w:tcPr>
          <w:p w14:paraId="70E7EA9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con riesgo significativo de ajustes importantes [partidas de los estados financieros]</w:t>
            </w:r>
          </w:p>
        </w:tc>
        <w:tc>
          <w:tcPr>
            <w:tcW w:w="8363" w:type="dxa"/>
            <w:shd w:val="clear" w:color="auto" w:fill="auto"/>
            <w:noWrap/>
            <w:hideMark/>
          </w:tcPr>
          <w:p w14:paraId="70E7EA9E" w14:textId="6CD563E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A3" w14:textId="77777777" w:rsidTr="00241880">
        <w:trPr>
          <w:trHeight w:val="300"/>
        </w:trPr>
        <w:tc>
          <w:tcPr>
            <w:tcW w:w="562" w:type="dxa"/>
            <w:shd w:val="clear" w:color="auto" w:fill="auto"/>
            <w:noWrap/>
            <w:hideMark/>
          </w:tcPr>
          <w:p w14:paraId="70E7EAA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C45</w:t>
            </w:r>
          </w:p>
        </w:tc>
        <w:tc>
          <w:tcPr>
            <w:tcW w:w="2127" w:type="dxa"/>
          </w:tcPr>
          <w:p w14:paraId="70E7EAA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naturaleza de activos con riesgo significativo de ajustes materiales dentro </w:t>
            </w:r>
            <w:r w:rsidRPr="00E258E3">
              <w:rPr>
                <w:rFonts w:ascii="Arial Narrow" w:hAnsi="Arial Narrow" w:cs="Calibri"/>
                <w:color w:val="000000"/>
                <w:sz w:val="20"/>
                <w:szCs w:val="20"/>
              </w:rPr>
              <w:lastRenderedPageBreak/>
              <w:t>del ejercicio contable siguiente</w:t>
            </w:r>
          </w:p>
        </w:tc>
        <w:tc>
          <w:tcPr>
            <w:tcW w:w="8363" w:type="dxa"/>
            <w:shd w:val="clear" w:color="auto" w:fill="auto"/>
            <w:noWrap/>
            <w:hideMark/>
          </w:tcPr>
          <w:p w14:paraId="70E7EAA2" w14:textId="67EF328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w:t>
            </w:r>
            <w:r w:rsidR="009A56BC">
              <w:rPr>
                <w:rFonts w:ascii="Arial Narrow" w:eastAsia="Times New Roman" w:hAnsi="Arial Narrow" w:cs="Calibri"/>
                <w:color w:val="000000"/>
                <w:sz w:val="20"/>
                <w:szCs w:val="20"/>
                <w:lang w:eastAsia="es-CO"/>
              </w:rPr>
              <w:t>NO APLICA</w:t>
            </w:r>
          </w:p>
        </w:tc>
      </w:tr>
      <w:tr w:rsidR="000B7B01" w:rsidRPr="00E258E3" w14:paraId="70E7EAA7" w14:textId="77777777" w:rsidTr="00241880">
        <w:trPr>
          <w:trHeight w:val="300"/>
        </w:trPr>
        <w:tc>
          <w:tcPr>
            <w:tcW w:w="562" w:type="dxa"/>
            <w:shd w:val="clear" w:color="auto" w:fill="auto"/>
            <w:noWrap/>
            <w:hideMark/>
          </w:tcPr>
          <w:p w14:paraId="70E7EAA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C46</w:t>
            </w:r>
          </w:p>
        </w:tc>
        <w:tc>
          <w:tcPr>
            <w:tcW w:w="2127" w:type="dxa"/>
          </w:tcPr>
          <w:p w14:paraId="70E7EAA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pasivos con riesgo significativo de ajustes materiales dentro del ejercicio contable siguiente</w:t>
            </w:r>
          </w:p>
        </w:tc>
        <w:tc>
          <w:tcPr>
            <w:tcW w:w="8363" w:type="dxa"/>
            <w:shd w:val="clear" w:color="auto" w:fill="auto"/>
            <w:noWrap/>
            <w:hideMark/>
          </w:tcPr>
          <w:p w14:paraId="70E7EAA6" w14:textId="5899A9B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AAE" w14:textId="77777777" w:rsidTr="00241880">
        <w:trPr>
          <w:trHeight w:val="300"/>
        </w:trPr>
        <w:tc>
          <w:tcPr>
            <w:tcW w:w="562" w:type="dxa"/>
            <w:shd w:val="clear" w:color="auto" w:fill="auto"/>
            <w:noWrap/>
            <w:hideMark/>
          </w:tcPr>
          <w:p w14:paraId="70E7EAA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C47</w:t>
            </w:r>
          </w:p>
        </w:tc>
        <w:tc>
          <w:tcPr>
            <w:tcW w:w="2127" w:type="dxa"/>
          </w:tcPr>
          <w:p w14:paraId="70E7EAA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objetivos, políticas y procesos para la gestión del capital</w:t>
            </w:r>
          </w:p>
        </w:tc>
        <w:tc>
          <w:tcPr>
            <w:tcW w:w="8363" w:type="dxa"/>
            <w:shd w:val="clear" w:color="auto" w:fill="auto"/>
            <w:noWrap/>
            <w:hideMark/>
          </w:tcPr>
          <w:p w14:paraId="70E7EAAA"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Se captan ahorros de los asociados y todos los asociados por ley deben hacer aportes sociales </w:t>
            </w:r>
          </w:p>
          <w:p w14:paraId="70E7EAAB"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con el 10% de los </w:t>
            </w:r>
            <w:r w:rsidR="0013148F" w:rsidRPr="00E258E3">
              <w:rPr>
                <w:rFonts w:ascii="Arial Narrow" w:eastAsia="Times New Roman" w:hAnsi="Arial Narrow" w:cs="Calibri"/>
                <w:color w:val="000000"/>
                <w:sz w:val="20"/>
                <w:szCs w:val="20"/>
                <w:lang w:eastAsia="es-CO"/>
              </w:rPr>
              <w:t>depósitos</w:t>
            </w:r>
            <w:r w:rsidRPr="00E258E3">
              <w:rPr>
                <w:rFonts w:ascii="Arial Narrow" w:eastAsia="Times New Roman" w:hAnsi="Arial Narrow" w:cs="Calibri"/>
                <w:color w:val="000000"/>
                <w:sz w:val="20"/>
                <w:szCs w:val="20"/>
                <w:lang w:eastAsia="es-CO"/>
              </w:rPr>
              <w:t xml:space="preserve"> se constituyen inversiones o efectivo y equivalentes del fondo de liquidez y el restante se destina para incrementar la cartera de </w:t>
            </w:r>
            <w:r w:rsidR="00E97E89" w:rsidRPr="00E258E3">
              <w:rPr>
                <w:rFonts w:ascii="Arial Narrow" w:eastAsia="Times New Roman" w:hAnsi="Arial Narrow" w:cs="Calibri"/>
                <w:color w:val="000000"/>
                <w:sz w:val="20"/>
                <w:szCs w:val="20"/>
                <w:lang w:eastAsia="es-CO"/>
              </w:rPr>
              <w:t>créditos</w:t>
            </w:r>
          </w:p>
          <w:p w14:paraId="70E7EAAC"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No se </w:t>
            </w:r>
            <w:r w:rsidR="0013148F" w:rsidRPr="00E258E3">
              <w:rPr>
                <w:rFonts w:ascii="Arial Narrow" w:eastAsia="Times New Roman" w:hAnsi="Arial Narrow" w:cs="Calibri"/>
                <w:color w:val="000000"/>
                <w:sz w:val="20"/>
                <w:szCs w:val="20"/>
                <w:lang w:eastAsia="es-CO"/>
              </w:rPr>
              <w:t>efectúan</w:t>
            </w:r>
            <w:r w:rsidRPr="00E258E3">
              <w:rPr>
                <w:rFonts w:ascii="Arial Narrow" w:eastAsia="Times New Roman" w:hAnsi="Arial Narrow" w:cs="Calibri"/>
                <w:color w:val="000000"/>
                <w:sz w:val="20"/>
                <w:szCs w:val="20"/>
                <w:lang w:eastAsia="es-CO"/>
              </w:rPr>
              <w:t xml:space="preserve"> inversiones en activos fijos apalancadas en créditos bancarios</w:t>
            </w:r>
          </w:p>
          <w:p w14:paraId="70E7EAAD" w14:textId="77777777" w:rsidR="000B7B01" w:rsidRPr="00E258E3" w:rsidRDefault="00E97E89"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únicamente</w:t>
            </w:r>
            <w:r w:rsidR="000B7B01" w:rsidRPr="00E258E3">
              <w:rPr>
                <w:rFonts w:ascii="Arial Narrow" w:eastAsia="Times New Roman" w:hAnsi="Arial Narrow" w:cs="Calibri"/>
                <w:color w:val="000000"/>
                <w:sz w:val="20"/>
                <w:szCs w:val="20"/>
                <w:lang w:eastAsia="es-CO"/>
              </w:rPr>
              <w:t xml:space="preserve"> se autorizan </w:t>
            </w:r>
            <w:r w:rsidRPr="00E258E3">
              <w:rPr>
                <w:rFonts w:ascii="Arial Narrow" w:eastAsia="Times New Roman" w:hAnsi="Arial Narrow" w:cs="Calibri"/>
                <w:color w:val="000000"/>
                <w:sz w:val="20"/>
                <w:szCs w:val="20"/>
                <w:lang w:eastAsia="es-CO"/>
              </w:rPr>
              <w:t>créditos</w:t>
            </w:r>
            <w:r w:rsidR="000B7B01" w:rsidRPr="00E258E3">
              <w:rPr>
                <w:rFonts w:ascii="Arial Narrow" w:eastAsia="Times New Roman" w:hAnsi="Arial Narrow" w:cs="Calibri"/>
                <w:color w:val="000000"/>
                <w:sz w:val="20"/>
                <w:szCs w:val="20"/>
                <w:lang w:eastAsia="es-CO"/>
              </w:rPr>
              <w:t xml:space="preserve"> bancarios para apalancar incrementos de la cartera o para cubrir eventuales necesidades de capital de trabajo e </w:t>
            </w:r>
            <w:r w:rsidRPr="00E258E3">
              <w:rPr>
                <w:rFonts w:ascii="Arial Narrow" w:eastAsia="Times New Roman" w:hAnsi="Arial Narrow" w:cs="Calibri"/>
                <w:color w:val="000000"/>
                <w:sz w:val="20"/>
                <w:szCs w:val="20"/>
                <w:lang w:eastAsia="es-CO"/>
              </w:rPr>
              <w:t>inversión</w:t>
            </w:r>
            <w:r w:rsidR="000B7B01" w:rsidRPr="00E258E3">
              <w:rPr>
                <w:rFonts w:ascii="Arial Narrow" w:eastAsia="Times New Roman" w:hAnsi="Arial Narrow" w:cs="Calibri"/>
                <w:color w:val="000000"/>
                <w:sz w:val="20"/>
                <w:szCs w:val="20"/>
                <w:lang w:eastAsia="es-CO"/>
              </w:rPr>
              <w:t xml:space="preserve"> a corto plazo</w:t>
            </w:r>
          </w:p>
        </w:tc>
      </w:tr>
      <w:tr w:rsidR="000B7B01" w:rsidRPr="00E258E3" w14:paraId="70E7EAB5" w14:textId="77777777" w:rsidTr="00241880">
        <w:trPr>
          <w:trHeight w:val="300"/>
        </w:trPr>
        <w:tc>
          <w:tcPr>
            <w:tcW w:w="562" w:type="dxa"/>
            <w:shd w:val="clear" w:color="auto" w:fill="auto"/>
            <w:noWrap/>
            <w:hideMark/>
          </w:tcPr>
          <w:p w14:paraId="70E7EAA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C48</w:t>
            </w:r>
          </w:p>
        </w:tc>
        <w:tc>
          <w:tcPr>
            <w:tcW w:w="2127" w:type="dxa"/>
          </w:tcPr>
          <w:p w14:paraId="70E7EAB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objetivos, políticas y procesos para la gestión del capital [</w:t>
            </w:r>
            <w:r w:rsidRPr="00E258E3">
              <w:rPr>
                <w:rFonts w:ascii="Arial Narrow" w:hAnsi="Arial Narrow" w:cs="Calibri"/>
                <w:color w:val="FF0000"/>
                <w:sz w:val="20"/>
                <w:szCs w:val="20"/>
              </w:rPr>
              <w:t>partidas de los estados financieros]</w:t>
            </w:r>
          </w:p>
        </w:tc>
        <w:tc>
          <w:tcPr>
            <w:tcW w:w="8363" w:type="dxa"/>
            <w:shd w:val="clear" w:color="auto" w:fill="auto"/>
            <w:noWrap/>
            <w:hideMark/>
          </w:tcPr>
          <w:p w14:paraId="70E7EAB1"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Se captan ahorros de los asociados y todos los asociados por ley deben hacer aportes sociales </w:t>
            </w:r>
          </w:p>
          <w:p w14:paraId="70E7EAB2"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con el 10% de los </w:t>
            </w:r>
            <w:proofErr w:type="spellStart"/>
            <w:r w:rsidRPr="00E258E3">
              <w:rPr>
                <w:rFonts w:ascii="Arial Narrow" w:eastAsia="Times New Roman" w:hAnsi="Arial Narrow" w:cs="Calibri"/>
                <w:color w:val="000000"/>
                <w:sz w:val="20"/>
                <w:szCs w:val="20"/>
                <w:lang w:eastAsia="es-CO"/>
              </w:rPr>
              <w:t>depositos</w:t>
            </w:r>
            <w:proofErr w:type="spellEnd"/>
            <w:r w:rsidRPr="00E258E3">
              <w:rPr>
                <w:rFonts w:ascii="Arial Narrow" w:eastAsia="Times New Roman" w:hAnsi="Arial Narrow" w:cs="Calibri"/>
                <w:color w:val="000000"/>
                <w:sz w:val="20"/>
                <w:szCs w:val="20"/>
                <w:lang w:eastAsia="es-CO"/>
              </w:rPr>
              <w:t xml:space="preserve"> se constituyen inversiones o efectivo y equivalentes del fondo de liquidez y el restante se destina para incrementar la cartera de creditos</w:t>
            </w:r>
          </w:p>
          <w:p w14:paraId="70E7EAB3" w14:textId="77777777"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No se </w:t>
            </w:r>
            <w:r w:rsidR="00E97E89" w:rsidRPr="00E258E3">
              <w:rPr>
                <w:rFonts w:ascii="Arial Narrow" w:eastAsia="Times New Roman" w:hAnsi="Arial Narrow" w:cs="Calibri"/>
                <w:color w:val="000000"/>
                <w:sz w:val="20"/>
                <w:szCs w:val="20"/>
                <w:lang w:eastAsia="es-CO"/>
              </w:rPr>
              <w:t>efectúan</w:t>
            </w:r>
            <w:r w:rsidRPr="00E258E3">
              <w:rPr>
                <w:rFonts w:ascii="Arial Narrow" w:eastAsia="Times New Roman" w:hAnsi="Arial Narrow" w:cs="Calibri"/>
                <w:color w:val="000000"/>
                <w:sz w:val="20"/>
                <w:szCs w:val="20"/>
                <w:lang w:eastAsia="es-CO"/>
              </w:rPr>
              <w:t xml:space="preserve"> inversiones en activos fijos apalancadas en créditos bancarios</w:t>
            </w:r>
          </w:p>
          <w:p w14:paraId="70E7EAB4" w14:textId="77777777" w:rsidR="000B7B01" w:rsidRPr="00E258E3" w:rsidRDefault="00E97E89"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únicamente</w:t>
            </w:r>
            <w:r w:rsidR="000B7B01" w:rsidRPr="00E258E3">
              <w:rPr>
                <w:rFonts w:ascii="Arial Narrow" w:eastAsia="Times New Roman" w:hAnsi="Arial Narrow" w:cs="Calibri"/>
                <w:color w:val="000000"/>
                <w:sz w:val="20"/>
                <w:szCs w:val="20"/>
                <w:lang w:eastAsia="es-CO"/>
              </w:rPr>
              <w:t xml:space="preserve"> se autorizan </w:t>
            </w:r>
            <w:r w:rsidRPr="00E258E3">
              <w:rPr>
                <w:rFonts w:ascii="Arial Narrow" w:eastAsia="Times New Roman" w:hAnsi="Arial Narrow" w:cs="Calibri"/>
                <w:color w:val="000000"/>
                <w:sz w:val="20"/>
                <w:szCs w:val="20"/>
                <w:lang w:eastAsia="es-CO"/>
              </w:rPr>
              <w:t>créditos</w:t>
            </w:r>
            <w:r w:rsidR="000B7B01" w:rsidRPr="00E258E3">
              <w:rPr>
                <w:rFonts w:ascii="Arial Narrow" w:eastAsia="Times New Roman" w:hAnsi="Arial Narrow" w:cs="Calibri"/>
                <w:color w:val="000000"/>
                <w:sz w:val="20"/>
                <w:szCs w:val="20"/>
                <w:lang w:eastAsia="es-CO"/>
              </w:rPr>
              <w:t xml:space="preserve"> bancarios para apalancar incrementos de la cartera o para cubrir eventuales necesidades de capital de trabajo e inversion a corto plazo</w:t>
            </w:r>
          </w:p>
        </w:tc>
      </w:tr>
      <w:tr w:rsidR="000B7B01" w:rsidRPr="00E258E3" w14:paraId="70E7EAB9" w14:textId="77777777" w:rsidTr="00241880">
        <w:trPr>
          <w:trHeight w:val="300"/>
        </w:trPr>
        <w:tc>
          <w:tcPr>
            <w:tcW w:w="562" w:type="dxa"/>
            <w:shd w:val="clear" w:color="auto" w:fill="auto"/>
            <w:noWrap/>
            <w:hideMark/>
          </w:tcPr>
          <w:p w14:paraId="70E7EAB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C49</w:t>
            </w:r>
          </w:p>
        </w:tc>
        <w:tc>
          <w:tcPr>
            <w:tcW w:w="2127" w:type="dxa"/>
          </w:tcPr>
          <w:p w14:paraId="70E7EAB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w:t>
            </w:r>
            <w:r w:rsidRPr="00E258E3">
              <w:rPr>
                <w:rFonts w:ascii="Arial Narrow" w:hAnsi="Arial Narrow" w:cs="Calibri"/>
                <w:color w:val="FF0000"/>
                <w:sz w:val="20"/>
                <w:szCs w:val="20"/>
              </w:rPr>
              <w:t xml:space="preserve">cualitativa </w:t>
            </w:r>
            <w:r w:rsidRPr="00E258E3">
              <w:rPr>
                <w:rFonts w:ascii="Arial Narrow" w:hAnsi="Arial Narrow" w:cs="Calibri"/>
                <w:color w:val="000000"/>
                <w:sz w:val="20"/>
                <w:szCs w:val="20"/>
              </w:rPr>
              <w:t>sobre los objetivos, políticas y procesos para gestionar el capital de la entidad</w:t>
            </w:r>
          </w:p>
        </w:tc>
        <w:tc>
          <w:tcPr>
            <w:tcW w:w="8363" w:type="dxa"/>
            <w:shd w:val="clear" w:color="auto" w:fill="auto"/>
            <w:noWrap/>
            <w:hideMark/>
          </w:tcPr>
          <w:p w14:paraId="70E7EAB8" w14:textId="12D2A1B4" w:rsidR="000B7B01" w:rsidRPr="00E258E3" w:rsidRDefault="000B7B01" w:rsidP="006200B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Se busca que la tasa ponderada de los </w:t>
            </w:r>
            <w:proofErr w:type="spellStart"/>
            <w:r w:rsidRPr="00E258E3">
              <w:rPr>
                <w:rFonts w:ascii="Arial Narrow" w:eastAsia="Times New Roman" w:hAnsi="Arial Narrow" w:cs="Calibri"/>
                <w:color w:val="000000"/>
                <w:sz w:val="20"/>
                <w:szCs w:val="20"/>
                <w:lang w:eastAsia="es-CO"/>
              </w:rPr>
              <w:t>depositos</w:t>
            </w:r>
            <w:proofErr w:type="spellEnd"/>
            <w:r w:rsidRPr="00E258E3">
              <w:rPr>
                <w:rFonts w:ascii="Arial Narrow" w:eastAsia="Times New Roman" w:hAnsi="Arial Narrow" w:cs="Calibri"/>
                <w:color w:val="000000"/>
                <w:sz w:val="20"/>
                <w:szCs w:val="20"/>
                <w:lang w:eastAsia="es-CO"/>
              </w:rPr>
              <w:t xml:space="preserve"> sea </w:t>
            </w:r>
            <w:proofErr w:type="spellStart"/>
            <w:r w:rsidRPr="00E258E3">
              <w:rPr>
                <w:rFonts w:ascii="Arial Narrow" w:eastAsia="Times New Roman" w:hAnsi="Arial Narrow" w:cs="Calibri"/>
                <w:color w:val="000000"/>
                <w:sz w:val="20"/>
                <w:szCs w:val="20"/>
                <w:lang w:eastAsia="es-CO"/>
              </w:rPr>
              <w:t>maximo</w:t>
            </w:r>
            <w:proofErr w:type="spellEnd"/>
            <w:r w:rsidRPr="00E258E3">
              <w:rPr>
                <w:rFonts w:ascii="Arial Narrow" w:eastAsia="Times New Roman" w:hAnsi="Arial Narrow" w:cs="Calibri"/>
                <w:color w:val="000000"/>
                <w:sz w:val="20"/>
                <w:szCs w:val="20"/>
                <w:lang w:eastAsia="es-CO"/>
              </w:rPr>
              <w:t xml:space="preserve"> de la DTF o IBR + 2 puntos y que la tasa de las obligaciones financieras se </w:t>
            </w:r>
            <w:r w:rsidR="00E97E89" w:rsidRPr="00E258E3">
              <w:rPr>
                <w:rFonts w:ascii="Arial Narrow" w:eastAsia="Times New Roman" w:hAnsi="Arial Narrow" w:cs="Calibri"/>
                <w:color w:val="000000"/>
                <w:sz w:val="20"/>
                <w:szCs w:val="20"/>
                <w:lang w:eastAsia="es-CO"/>
              </w:rPr>
              <w:t>máximo</w:t>
            </w:r>
            <w:r w:rsidRPr="00E258E3">
              <w:rPr>
                <w:rFonts w:ascii="Arial Narrow" w:eastAsia="Times New Roman" w:hAnsi="Arial Narrow" w:cs="Calibri"/>
                <w:color w:val="000000"/>
                <w:sz w:val="20"/>
                <w:szCs w:val="20"/>
                <w:lang w:eastAsia="es-CO"/>
              </w:rPr>
              <w:t xml:space="preserve"> DTF+5.</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El excedente neto </w:t>
            </w:r>
            <w:r w:rsidR="00E97E89" w:rsidRPr="00E258E3">
              <w:rPr>
                <w:rFonts w:ascii="Arial Narrow" w:eastAsia="Times New Roman" w:hAnsi="Arial Narrow" w:cs="Calibri"/>
                <w:color w:val="000000"/>
                <w:sz w:val="20"/>
                <w:szCs w:val="20"/>
                <w:lang w:eastAsia="es-CO"/>
              </w:rPr>
              <w:t>más</w:t>
            </w:r>
            <w:r w:rsidRPr="00E258E3">
              <w:rPr>
                <w:rFonts w:ascii="Arial Narrow" w:eastAsia="Times New Roman" w:hAnsi="Arial Narrow" w:cs="Calibri"/>
                <w:color w:val="000000"/>
                <w:sz w:val="20"/>
                <w:szCs w:val="20"/>
                <w:lang w:eastAsia="es-CO"/>
              </w:rPr>
              <w:t xml:space="preserve"> las actividades de beneficio social que afectan gastos deben ser iguales o superiores a los aportes sociales x 2 veces el IPC para garantizar el mantenimiento del Capital.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El capital institucional debe ser superior al 20% y los activos productivos superiores al 80%.</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tasa de cartera debe ser inferior al </w:t>
            </w:r>
            <w:r w:rsidR="00E97E89" w:rsidRPr="00E258E3">
              <w:rPr>
                <w:rFonts w:ascii="Arial Narrow" w:eastAsia="Times New Roman" w:hAnsi="Arial Narrow" w:cs="Calibri"/>
                <w:color w:val="000000"/>
                <w:sz w:val="20"/>
                <w:szCs w:val="20"/>
                <w:lang w:eastAsia="es-CO"/>
              </w:rPr>
              <w:t>interés</w:t>
            </w:r>
            <w:r w:rsidRPr="00E258E3">
              <w:rPr>
                <w:rFonts w:ascii="Arial Narrow" w:eastAsia="Times New Roman" w:hAnsi="Arial Narrow" w:cs="Calibri"/>
                <w:color w:val="000000"/>
                <w:sz w:val="20"/>
                <w:szCs w:val="20"/>
                <w:lang w:eastAsia="es-CO"/>
              </w:rPr>
              <w:t xml:space="preserve"> bancario corriente y la rentabilidad de las inversiones por los menos superior en 1 punto al IPC sin realizar </w:t>
            </w:r>
            <w:r w:rsidR="00E97E89" w:rsidRPr="00E258E3">
              <w:rPr>
                <w:rFonts w:ascii="Arial Narrow" w:eastAsia="Times New Roman" w:hAnsi="Arial Narrow" w:cs="Calibri"/>
                <w:color w:val="000000"/>
                <w:sz w:val="20"/>
                <w:szCs w:val="20"/>
                <w:lang w:eastAsia="es-CO"/>
              </w:rPr>
              <w:t>inversiones</w:t>
            </w:r>
            <w:r w:rsidRPr="00E258E3">
              <w:rPr>
                <w:rFonts w:ascii="Arial Narrow" w:eastAsia="Times New Roman" w:hAnsi="Arial Narrow" w:cs="Calibri"/>
                <w:color w:val="000000"/>
                <w:sz w:val="20"/>
                <w:szCs w:val="20"/>
                <w:lang w:eastAsia="es-CO"/>
              </w:rPr>
              <w:t xml:space="preserve"> de tipo especulativo bajo ninguna circunstancia.</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La actividad </w:t>
            </w:r>
            <w:r w:rsidR="00E97E89" w:rsidRPr="00E258E3">
              <w:rPr>
                <w:rFonts w:ascii="Arial Narrow" w:eastAsia="Times New Roman" w:hAnsi="Arial Narrow" w:cs="Calibri"/>
                <w:color w:val="000000"/>
                <w:sz w:val="20"/>
                <w:szCs w:val="20"/>
                <w:lang w:eastAsia="es-CO"/>
              </w:rPr>
              <w:t>económica</w:t>
            </w:r>
            <w:r w:rsidRPr="00E258E3">
              <w:rPr>
                <w:rFonts w:ascii="Arial Narrow" w:eastAsia="Times New Roman" w:hAnsi="Arial Narrow" w:cs="Calibri"/>
                <w:color w:val="000000"/>
                <w:sz w:val="20"/>
                <w:szCs w:val="20"/>
                <w:lang w:eastAsia="es-CO"/>
              </w:rPr>
              <w:t xml:space="preserve"> es especializada alrededor de la intermediación financiera con asociados.</w:t>
            </w:r>
          </w:p>
        </w:tc>
      </w:tr>
      <w:tr w:rsidR="000B7B01" w:rsidRPr="00E258E3" w14:paraId="70E7EACE" w14:textId="77777777" w:rsidTr="00241880">
        <w:trPr>
          <w:trHeight w:val="300"/>
        </w:trPr>
        <w:tc>
          <w:tcPr>
            <w:tcW w:w="562" w:type="dxa"/>
            <w:shd w:val="clear" w:color="auto" w:fill="auto"/>
            <w:noWrap/>
            <w:hideMark/>
          </w:tcPr>
          <w:p w14:paraId="70E7EAB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C50</w:t>
            </w:r>
          </w:p>
        </w:tc>
        <w:tc>
          <w:tcPr>
            <w:tcW w:w="2127" w:type="dxa"/>
          </w:tcPr>
          <w:p w14:paraId="70E7EAB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Resumen de datos </w:t>
            </w:r>
            <w:r w:rsidRPr="00E258E3">
              <w:rPr>
                <w:rFonts w:ascii="Arial Narrow" w:hAnsi="Arial Narrow" w:cs="Calibri"/>
                <w:color w:val="FF0000"/>
                <w:sz w:val="20"/>
                <w:szCs w:val="20"/>
              </w:rPr>
              <w:t xml:space="preserve">cuantitativos </w:t>
            </w:r>
            <w:r w:rsidRPr="00E258E3">
              <w:rPr>
                <w:rFonts w:ascii="Arial Narrow" w:hAnsi="Arial Narrow" w:cs="Calibri"/>
                <w:color w:val="000000"/>
                <w:sz w:val="20"/>
                <w:szCs w:val="20"/>
              </w:rPr>
              <w:t>acerca de lo que gestiona la entidad como capital</w:t>
            </w:r>
          </w:p>
        </w:tc>
        <w:tc>
          <w:tcPr>
            <w:tcW w:w="8363" w:type="dxa"/>
            <w:shd w:val="clear" w:color="auto" w:fill="auto"/>
            <w:noWrap/>
            <w:hideMark/>
          </w:tcPr>
          <w:p w14:paraId="70E7EABC"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Activos</w:t>
            </w:r>
          </w:p>
          <w:p w14:paraId="70E7EABD"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Cartera $</w:t>
            </w:r>
          </w:p>
          <w:p w14:paraId="70E7EABE"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Inversiones $</w:t>
            </w:r>
          </w:p>
          <w:p w14:paraId="70E7EABF"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Efectivo y equivalentes $</w:t>
            </w:r>
          </w:p>
          <w:p w14:paraId="70E7EAC0"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CXC$</w:t>
            </w:r>
          </w:p>
          <w:p w14:paraId="70E7EAC1"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PPE$</w:t>
            </w:r>
          </w:p>
          <w:p w14:paraId="70E7EAC2"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Otros activos$</w:t>
            </w:r>
          </w:p>
          <w:p w14:paraId="70E7EAC3"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Pasivos y Patrimonio</w:t>
            </w:r>
          </w:p>
          <w:p w14:paraId="70E7EAC4" w14:textId="77777777" w:rsidR="00D527AC" w:rsidRPr="00E258E3" w:rsidRDefault="00E97E89"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Depósitos</w:t>
            </w:r>
            <w:r w:rsidR="00D527AC" w:rsidRPr="00E258E3">
              <w:rPr>
                <w:rFonts w:ascii="Arial Narrow" w:eastAsia="Times New Roman" w:hAnsi="Arial Narrow" w:cs="Calibri"/>
                <w:color w:val="000000"/>
                <w:sz w:val="20"/>
                <w:szCs w:val="20"/>
                <w:lang w:eastAsia="es-CO"/>
              </w:rPr>
              <w:t xml:space="preserve"> $</w:t>
            </w:r>
          </w:p>
          <w:p w14:paraId="70E7EAC5"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Obligaciones $</w:t>
            </w:r>
          </w:p>
          <w:p w14:paraId="70E7EAC6"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proofErr w:type="spellStart"/>
            <w:r w:rsidRPr="00E258E3">
              <w:rPr>
                <w:rFonts w:ascii="Arial Narrow" w:eastAsia="Times New Roman" w:hAnsi="Arial Narrow" w:cs="Calibri"/>
                <w:color w:val="000000"/>
                <w:sz w:val="20"/>
                <w:szCs w:val="20"/>
                <w:lang w:eastAsia="es-CO"/>
              </w:rPr>
              <w:t>CxP</w:t>
            </w:r>
            <w:proofErr w:type="spellEnd"/>
            <w:r w:rsidR="00E97E89"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w:t>
            </w:r>
          </w:p>
          <w:p w14:paraId="70E7EAC7"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Fondos Sociales $</w:t>
            </w:r>
          </w:p>
          <w:p w14:paraId="70E7EAC8"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Impuestos$</w:t>
            </w:r>
          </w:p>
          <w:p w14:paraId="70E7EAC9"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Beneficios a empleados$</w:t>
            </w:r>
          </w:p>
          <w:p w14:paraId="70E7EACA"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proofErr w:type="gramStart"/>
            <w:r w:rsidRPr="00E258E3">
              <w:rPr>
                <w:rFonts w:ascii="Arial Narrow" w:eastAsia="Times New Roman" w:hAnsi="Arial Narrow" w:cs="Calibri"/>
                <w:color w:val="000000"/>
                <w:sz w:val="20"/>
                <w:szCs w:val="20"/>
                <w:lang w:eastAsia="es-CO"/>
              </w:rPr>
              <w:t>Otro pasivos</w:t>
            </w:r>
            <w:proofErr w:type="gramEnd"/>
            <w:r w:rsidRPr="00E258E3">
              <w:rPr>
                <w:rFonts w:ascii="Arial Narrow" w:eastAsia="Times New Roman" w:hAnsi="Arial Narrow" w:cs="Calibri"/>
                <w:color w:val="000000"/>
                <w:sz w:val="20"/>
                <w:szCs w:val="20"/>
                <w:lang w:eastAsia="es-CO"/>
              </w:rPr>
              <w:t>$</w:t>
            </w:r>
          </w:p>
          <w:p w14:paraId="70E7EACB"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Aportes Sociales</w:t>
            </w:r>
          </w:p>
          <w:p w14:paraId="70E7EACC"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Reservas, fondos y superávit</w:t>
            </w:r>
          </w:p>
          <w:p w14:paraId="70E7EACD" w14:textId="77777777" w:rsidR="00D527AC"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Resultados acumulados</w:t>
            </w:r>
          </w:p>
        </w:tc>
      </w:tr>
      <w:tr w:rsidR="000B7B01" w:rsidRPr="00E258E3" w14:paraId="70E7EAD2" w14:textId="77777777" w:rsidTr="00241880">
        <w:trPr>
          <w:trHeight w:val="300"/>
        </w:trPr>
        <w:tc>
          <w:tcPr>
            <w:tcW w:w="562" w:type="dxa"/>
            <w:shd w:val="clear" w:color="auto" w:fill="auto"/>
            <w:noWrap/>
            <w:hideMark/>
          </w:tcPr>
          <w:p w14:paraId="70E7EAC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C51</w:t>
            </w:r>
          </w:p>
        </w:tc>
        <w:tc>
          <w:tcPr>
            <w:tcW w:w="2127" w:type="dxa"/>
          </w:tcPr>
          <w:p w14:paraId="70E7EAD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los cambios en los objetivos, políticas y procesos de la entidad para gestionar el capital y lo que la entidad gestiona como capital</w:t>
            </w:r>
          </w:p>
        </w:tc>
        <w:tc>
          <w:tcPr>
            <w:tcW w:w="8363" w:type="dxa"/>
            <w:shd w:val="clear" w:color="auto" w:fill="auto"/>
            <w:noWrap/>
            <w:hideMark/>
          </w:tcPr>
          <w:p w14:paraId="70E7EAD1" w14:textId="7F57B26A"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r w:rsidR="000B7B01" w:rsidRPr="00E258E3">
              <w:rPr>
                <w:rFonts w:ascii="Arial Narrow" w:eastAsia="Times New Roman" w:hAnsi="Arial Narrow" w:cs="Calibri"/>
                <w:color w:val="000000"/>
                <w:sz w:val="20"/>
                <w:szCs w:val="20"/>
                <w:lang w:eastAsia="es-CO"/>
              </w:rPr>
              <w:t> </w:t>
            </w:r>
          </w:p>
        </w:tc>
      </w:tr>
      <w:tr w:rsidR="000B7B01" w:rsidRPr="00E258E3" w14:paraId="70E7EAD6" w14:textId="77777777" w:rsidTr="00241880">
        <w:trPr>
          <w:trHeight w:val="300"/>
        </w:trPr>
        <w:tc>
          <w:tcPr>
            <w:tcW w:w="562" w:type="dxa"/>
            <w:shd w:val="clear" w:color="auto" w:fill="auto"/>
            <w:noWrap/>
            <w:hideMark/>
          </w:tcPr>
          <w:p w14:paraId="70E7EAD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C52</w:t>
            </w:r>
          </w:p>
        </w:tc>
        <w:tc>
          <w:tcPr>
            <w:tcW w:w="2127" w:type="dxa"/>
          </w:tcPr>
          <w:p w14:paraId="70E7EAD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sobre si la entidad cumplió con los requerimientos de capital impuestos externamente</w:t>
            </w:r>
          </w:p>
        </w:tc>
        <w:tc>
          <w:tcPr>
            <w:tcW w:w="8363" w:type="dxa"/>
            <w:shd w:val="clear" w:color="auto" w:fill="auto"/>
            <w:noWrap/>
            <w:hideMark/>
          </w:tcPr>
          <w:p w14:paraId="70E7EAD5" w14:textId="5BC68D0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 entidad tiene una </w:t>
            </w:r>
            <w:r w:rsidR="00E97E89" w:rsidRPr="00E258E3">
              <w:rPr>
                <w:rFonts w:ascii="Arial Narrow" w:eastAsia="Times New Roman" w:hAnsi="Arial Narrow" w:cs="Calibri"/>
                <w:color w:val="000000"/>
                <w:sz w:val="20"/>
                <w:szCs w:val="20"/>
                <w:lang w:eastAsia="es-CO"/>
              </w:rPr>
              <w:t>relación</w:t>
            </w:r>
            <w:r w:rsidRPr="00E258E3">
              <w:rPr>
                <w:rFonts w:ascii="Arial Narrow" w:eastAsia="Times New Roman" w:hAnsi="Arial Narrow" w:cs="Calibri"/>
                <w:color w:val="000000"/>
                <w:sz w:val="20"/>
                <w:szCs w:val="20"/>
                <w:lang w:eastAsia="es-CO"/>
              </w:rPr>
              <w:t xml:space="preserve"> de solvencia muy superior al 9% </w:t>
            </w:r>
            <w:r w:rsidR="006200B9" w:rsidRPr="00E258E3">
              <w:rPr>
                <w:rFonts w:ascii="Arial Narrow" w:eastAsia="Times New Roman" w:hAnsi="Arial Narrow" w:cs="Calibri"/>
                <w:color w:val="000000"/>
                <w:sz w:val="20"/>
                <w:szCs w:val="20"/>
                <w:lang w:eastAsia="es-CO"/>
              </w:rPr>
              <w:t>mínimo</w:t>
            </w:r>
            <w:r w:rsidRPr="00E258E3">
              <w:rPr>
                <w:rFonts w:ascii="Arial Narrow" w:eastAsia="Times New Roman" w:hAnsi="Arial Narrow" w:cs="Calibri"/>
                <w:color w:val="000000"/>
                <w:sz w:val="20"/>
                <w:szCs w:val="20"/>
                <w:lang w:eastAsia="es-CO"/>
              </w:rPr>
              <w:t xml:space="preserve"> exigido y cumple de manera permanente con el 10% de los </w:t>
            </w:r>
            <w:r w:rsidR="00E97E89" w:rsidRPr="00E258E3">
              <w:rPr>
                <w:rFonts w:ascii="Arial Narrow" w:eastAsia="Times New Roman" w:hAnsi="Arial Narrow" w:cs="Calibri"/>
                <w:color w:val="000000"/>
                <w:sz w:val="20"/>
                <w:szCs w:val="20"/>
                <w:lang w:eastAsia="es-CO"/>
              </w:rPr>
              <w:t>depósitos</w:t>
            </w:r>
            <w:r w:rsidRPr="00E258E3">
              <w:rPr>
                <w:rFonts w:ascii="Arial Narrow" w:eastAsia="Times New Roman" w:hAnsi="Arial Narrow" w:cs="Calibri"/>
                <w:color w:val="000000"/>
                <w:sz w:val="20"/>
                <w:szCs w:val="20"/>
                <w:lang w:eastAsia="es-CO"/>
              </w:rPr>
              <w:t xml:space="preserve"> constituido como fondo de liquidez destinando el 100% de los recursos captados de aportes ahorros y obligaciones financieras a la creación de activos financieros de alta calidad liquidez y rentabilidad</w:t>
            </w:r>
          </w:p>
        </w:tc>
      </w:tr>
      <w:tr w:rsidR="000B7B01" w:rsidRPr="00E258E3" w14:paraId="70E7EADA" w14:textId="77777777" w:rsidTr="00241880">
        <w:trPr>
          <w:trHeight w:val="300"/>
        </w:trPr>
        <w:tc>
          <w:tcPr>
            <w:tcW w:w="562" w:type="dxa"/>
            <w:shd w:val="clear" w:color="auto" w:fill="auto"/>
            <w:noWrap/>
            <w:hideMark/>
          </w:tcPr>
          <w:p w14:paraId="70E7EAD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C53</w:t>
            </w:r>
          </w:p>
        </w:tc>
        <w:tc>
          <w:tcPr>
            <w:tcW w:w="2127" w:type="dxa"/>
          </w:tcPr>
          <w:p w14:paraId="70E7EAD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sobre las consecuencias de no cumplir con los requerimientos de capital impuestos externamente</w:t>
            </w:r>
          </w:p>
        </w:tc>
        <w:tc>
          <w:tcPr>
            <w:tcW w:w="8363" w:type="dxa"/>
            <w:shd w:val="clear" w:color="auto" w:fill="auto"/>
            <w:noWrap/>
            <w:hideMark/>
          </w:tcPr>
          <w:p w14:paraId="70E7EAD9"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MULTAS por parte de los entes de control y retiro del seguro de </w:t>
            </w:r>
            <w:proofErr w:type="spellStart"/>
            <w:r w:rsidRPr="00E258E3">
              <w:rPr>
                <w:rFonts w:ascii="Arial Narrow" w:eastAsia="Times New Roman" w:hAnsi="Arial Narrow" w:cs="Calibri"/>
                <w:color w:val="000000"/>
                <w:sz w:val="20"/>
                <w:szCs w:val="20"/>
                <w:lang w:eastAsia="es-CO"/>
              </w:rPr>
              <w:t>deposito</w:t>
            </w:r>
            <w:proofErr w:type="spellEnd"/>
            <w:r w:rsidRPr="00E258E3">
              <w:rPr>
                <w:rFonts w:ascii="Arial Narrow" w:eastAsia="Times New Roman" w:hAnsi="Arial Narrow" w:cs="Calibri"/>
                <w:color w:val="000000"/>
                <w:sz w:val="20"/>
                <w:szCs w:val="20"/>
                <w:lang w:eastAsia="es-CO"/>
              </w:rPr>
              <w:t xml:space="preserve"> del FOGACOOP con la consecuente cancelación de la actividad financiera y la obligatoriedad de desmontar la actividad financiera es decir devolver las captaciones</w:t>
            </w:r>
          </w:p>
        </w:tc>
      </w:tr>
      <w:tr w:rsidR="000B7B01" w:rsidRPr="00E258E3" w14:paraId="70E7EAE2" w14:textId="77777777" w:rsidTr="00241880">
        <w:trPr>
          <w:trHeight w:val="300"/>
        </w:trPr>
        <w:tc>
          <w:tcPr>
            <w:tcW w:w="562" w:type="dxa"/>
            <w:shd w:val="clear" w:color="auto" w:fill="auto"/>
            <w:noWrap/>
            <w:hideMark/>
          </w:tcPr>
          <w:p w14:paraId="70E7EAD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C54</w:t>
            </w:r>
          </w:p>
        </w:tc>
        <w:tc>
          <w:tcPr>
            <w:tcW w:w="2127" w:type="dxa"/>
          </w:tcPr>
          <w:p w14:paraId="70E7EAD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naturaleza de los </w:t>
            </w:r>
            <w:r w:rsidRPr="00E258E3">
              <w:rPr>
                <w:rFonts w:ascii="Arial Narrow" w:hAnsi="Arial Narrow" w:cs="Calibri"/>
                <w:color w:val="FF0000"/>
                <w:sz w:val="20"/>
                <w:szCs w:val="20"/>
              </w:rPr>
              <w:t xml:space="preserve">activos distintos al efectivo </w:t>
            </w:r>
            <w:r w:rsidRPr="00E258E3">
              <w:rPr>
                <w:rFonts w:ascii="Arial Narrow" w:hAnsi="Arial Narrow" w:cs="Calibri"/>
                <w:color w:val="000000"/>
                <w:sz w:val="20"/>
                <w:szCs w:val="20"/>
              </w:rPr>
              <w:t>mantenidos para distribuir a los propietarios declarados antes de la autorización de los estados financieros para su publicación</w:t>
            </w:r>
          </w:p>
        </w:tc>
        <w:tc>
          <w:tcPr>
            <w:tcW w:w="8363" w:type="dxa"/>
            <w:shd w:val="clear" w:color="auto" w:fill="auto"/>
            <w:noWrap/>
            <w:hideMark/>
          </w:tcPr>
          <w:p w14:paraId="70E7EAD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Inversiones del fondo de liquidez </w:t>
            </w:r>
          </w:p>
          <w:p w14:paraId="70E7EAD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cartera de </w:t>
            </w:r>
            <w:r w:rsidR="00E97E89" w:rsidRPr="00E258E3">
              <w:rPr>
                <w:rFonts w:ascii="Arial Narrow" w:eastAsia="Times New Roman" w:hAnsi="Arial Narrow" w:cs="Calibri"/>
                <w:color w:val="000000"/>
                <w:sz w:val="20"/>
                <w:szCs w:val="20"/>
                <w:lang w:eastAsia="es-CO"/>
              </w:rPr>
              <w:t>créditos</w:t>
            </w:r>
          </w:p>
          <w:p w14:paraId="70E7EAD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cuentas por cobrar</w:t>
            </w:r>
          </w:p>
          <w:p w14:paraId="70E7EAE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propiedad planta y equipo</w:t>
            </w:r>
          </w:p>
          <w:p w14:paraId="70E7EAE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intangibles</w:t>
            </w:r>
          </w:p>
        </w:tc>
      </w:tr>
      <w:tr w:rsidR="000B7B01" w:rsidRPr="00E258E3" w14:paraId="70E7EAE6" w14:textId="77777777" w:rsidTr="00241880">
        <w:trPr>
          <w:trHeight w:val="300"/>
        </w:trPr>
        <w:tc>
          <w:tcPr>
            <w:tcW w:w="562" w:type="dxa"/>
            <w:shd w:val="clear" w:color="auto" w:fill="auto"/>
            <w:noWrap/>
            <w:hideMark/>
          </w:tcPr>
          <w:p w14:paraId="70E7EAE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C55</w:t>
            </w:r>
          </w:p>
        </w:tc>
        <w:tc>
          <w:tcPr>
            <w:tcW w:w="2127" w:type="dxa"/>
          </w:tcPr>
          <w:p w14:paraId="70E7EAE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los métodos utilizados para medir el valor razonable de activos distintos al efectivo declarados para distribuir a los propietarios antes de autorizar los estados financieros para su emisión </w:t>
            </w:r>
          </w:p>
        </w:tc>
        <w:tc>
          <w:tcPr>
            <w:tcW w:w="8363" w:type="dxa"/>
            <w:shd w:val="clear" w:color="auto" w:fill="auto"/>
            <w:noWrap/>
            <w:hideMark/>
          </w:tcPr>
          <w:p w14:paraId="70E7EAE5" w14:textId="6318838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D527AC" w:rsidRPr="00E258E3">
              <w:rPr>
                <w:rFonts w:ascii="Arial Narrow" w:eastAsia="Times New Roman" w:hAnsi="Arial Narrow" w:cs="Calibri"/>
                <w:color w:val="000000"/>
                <w:sz w:val="20"/>
                <w:szCs w:val="20"/>
                <w:lang w:eastAsia="es-CO"/>
              </w:rPr>
              <w:t>N</w:t>
            </w:r>
            <w:r w:rsidRPr="00E258E3">
              <w:rPr>
                <w:rFonts w:ascii="Arial Narrow" w:eastAsia="Times New Roman" w:hAnsi="Arial Narrow" w:cs="Calibri"/>
                <w:color w:val="000000"/>
                <w:sz w:val="20"/>
                <w:szCs w:val="20"/>
                <w:lang w:eastAsia="es-CO"/>
              </w:rPr>
              <w:t xml:space="preserve">o existen activos para medir a valor razonable pero si se tuvieran acciones se medirían con el precio cotizado de la bolsa de valores y si se tuvieran propiedades de </w:t>
            </w:r>
            <w:r w:rsidR="006200B9" w:rsidRPr="00E258E3">
              <w:rPr>
                <w:rFonts w:ascii="Arial Narrow" w:eastAsia="Times New Roman" w:hAnsi="Arial Narrow" w:cs="Calibri"/>
                <w:color w:val="000000"/>
                <w:sz w:val="20"/>
                <w:szCs w:val="20"/>
                <w:lang w:eastAsia="es-CO"/>
              </w:rPr>
              <w:t>inversión</w:t>
            </w:r>
            <w:r w:rsidRPr="00E258E3">
              <w:rPr>
                <w:rFonts w:ascii="Arial Narrow" w:eastAsia="Times New Roman" w:hAnsi="Arial Narrow" w:cs="Calibri"/>
                <w:color w:val="000000"/>
                <w:sz w:val="20"/>
                <w:szCs w:val="20"/>
                <w:lang w:eastAsia="es-CO"/>
              </w:rPr>
              <w:t xml:space="preserve"> actualmente se actualizarían con el </w:t>
            </w:r>
            <w:proofErr w:type="spellStart"/>
            <w:r w:rsidRPr="00E258E3">
              <w:rPr>
                <w:rFonts w:ascii="Arial Narrow" w:eastAsia="Times New Roman" w:hAnsi="Arial Narrow" w:cs="Calibri"/>
                <w:color w:val="000000"/>
                <w:sz w:val="20"/>
                <w:szCs w:val="20"/>
                <w:lang w:eastAsia="es-CO"/>
              </w:rPr>
              <w:t>avaluo</w:t>
            </w:r>
            <w:proofErr w:type="spellEnd"/>
            <w:r w:rsidRPr="00E258E3">
              <w:rPr>
                <w:rFonts w:ascii="Arial Narrow" w:eastAsia="Times New Roman" w:hAnsi="Arial Narrow" w:cs="Calibri"/>
                <w:color w:val="000000"/>
                <w:sz w:val="20"/>
                <w:szCs w:val="20"/>
                <w:lang w:eastAsia="es-CO"/>
              </w:rPr>
              <w:t xml:space="preserve"> de la LONJA</w:t>
            </w:r>
          </w:p>
        </w:tc>
      </w:tr>
      <w:tr w:rsidR="000B7B01" w:rsidRPr="00E258E3" w14:paraId="70E7EAEA" w14:textId="77777777" w:rsidTr="00241880">
        <w:trPr>
          <w:trHeight w:val="300"/>
        </w:trPr>
        <w:tc>
          <w:tcPr>
            <w:tcW w:w="562" w:type="dxa"/>
            <w:shd w:val="clear" w:color="auto" w:fill="auto"/>
            <w:noWrap/>
            <w:hideMark/>
          </w:tcPr>
          <w:p w14:paraId="70E7EAE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C56</w:t>
            </w:r>
          </w:p>
        </w:tc>
        <w:tc>
          <w:tcPr>
            <w:tcW w:w="2127" w:type="dxa"/>
          </w:tcPr>
          <w:p w14:paraId="70E7EAE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calendario y razones para la reclasificación entre pasivos financieros y patrimonio</w:t>
            </w:r>
          </w:p>
        </w:tc>
        <w:tc>
          <w:tcPr>
            <w:tcW w:w="8363" w:type="dxa"/>
            <w:shd w:val="clear" w:color="auto" w:fill="auto"/>
            <w:noWrap/>
            <w:hideMark/>
          </w:tcPr>
          <w:p w14:paraId="70E7EAE9" w14:textId="0CDFE62F"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Actualmente existe en el capital social una porción con derecho a rescate que se presenta en el patrimonio por la salvedad establecida en el </w:t>
            </w:r>
            <w:r w:rsidR="00D527AC" w:rsidRPr="00E258E3">
              <w:rPr>
                <w:rFonts w:ascii="Arial Narrow" w:eastAsia="Times New Roman" w:hAnsi="Arial Narrow" w:cs="Calibri"/>
                <w:color w:val="000000"/>
                <w:sz w:val="20"/>
                <w:szCs w:val="20"/>
                <w:lang w:eastAsia="es-CO"/>
              </w:rPr>
              <w:t>artículo</w:t>
            </w:r>
            <w:r w:rsidRPr="00E258E3">
              <w:rPr>
                <w:rFonts w:ascii="Arial Narrow" w:eastAsia="Times New Roman" w:hAnsi="Arial Narrow" w:cs="Calibri"/>
                <w:color w:val="000000"/>
                <w:sz w:val="20"/>
                <w:szCs w:val="20"/>
                <w:lang w:eastAsia="es-CO"/>
              </w:rPr>
              <w:t xml:space="preserve"> 3 del decreto </w:t>
            </w:r>
            <w:r w:rsidR="006200B9">
              <w:rPr>
                <w:rFonts w:ascii="Arial Narrow" w:eastAsia="Times New Roman" w:hAnsi="Arial Narrow" w:cs="Calibri"/>
                <w:color w:val="000000"/>
                <w:sz w:val="20"/>
                <w:szCs w:val="20"/>
                <w:lang w:eastAsia="es-CO"/>
              </w:rPr>
              <w:t>2496 de 2015</w:t>
            </w:r>
            <w:r w:rsidRPr="00E258E3">
              <w:rPr>
                <w:rFonts w:ascii="Arial Narrow" w:eastAsia="Times New Roman" w:hAnsi="Arial Narrow" w:cs="Calibri"/>
                <w:color w:val="000000"/>
                <w:sz w:val="20"/>
                <w:szCs w:val="20"/>
                <w:lang w:eastAsia="es-CO"/>
              </w:rPr>
              <w:t xml:space="preserve"> que de reformarse implicaría su traslado al pasivo hecho sobre el cual no se tiene conocimiento de que vaya a suceder prontamente.</w:t>
            </w:r>
          </w:p>
        </w:tc>
      </w:tr>
      <w:tr w:rsidR="000B7B01" w:rsidRPr="00E258E3" w14:paraId="70E7EAEE" w14:textId="77777777" w:rsidTr="00241880">
        <w:trPr>
          <w:trHeight w:val="300"/>
        </w:trPr>
        <w:tc>
          <w:tcPr>
            <w:tcW w:w="562" w:type="dxa"/>
            <w:shd w:val="clear" w:color="auto" w:fill="auto"/>
            <w:noWrap/>
            <w:hideMark/>
          </w:tcPr>
          <w:p w14:paraId="70E7EAE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C57</w:t>
            </w:r>
          </w:p>
        </w:tc>
        <w:tc>
          <w:tcPr>
            <w:tcW w:w="2127" w:type="dxa"/>
          </w:tcPr>
          <w:p w14:paraId="70E7EAE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operaciones de compra y venta de cartera</w:t>
            </w:r>
          </w:p>
        </w:tc>
        <w:tc>
          <w:tcPr>
            <w:tcW w:w="8363" w:type="dxa"/>
            <w:shd w:val="clear" w:color="auto" w:fill="auto"/>
            <w:noWrap/>
            <w:hideMark/>
          </w:tcPr>
          <w:p w14:paraId="70E7EAED" w14:textId="77777777" w:rsidR="000B7B01"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L</w:t>
            </w:r>
            <w:r w:rsidR="000B7B01" w:rsidRPr="00E258E3">
              <w:rPr>
                <w:rFonts w:ascii="Arial Narrow" w:eastAsia="Times New Roman" w:hAnsi="Arial Narrow" w:cs="Calibri"/>
                <w:color w:val="000000"/>
                <w:sz w:val="20"/>
                <w:szCs w:val="20"/>
                <w:lang w:eastAsia="es-CO"/>
              </w:rPr>
              <w:t>a entidad no realiza este tipo de operaciones</w:t>
            </w:r>
          </w:p>
        </w:tc>
      </w:tr>
      <w:tr w:rsidR="000B7B01" w:rsidRPr="00E258E3" w14:paraId="70E7EAF2" w14:textId="77777777" w:rsidTr="00241880">
        <w:trPr>
          <w:trHeight w:val="300"/>
        </w:trPr>
        <w:tc>
          <w:tcPr>
            <w:tcW w:w="562" w:type="dxa"/>
            <w:shd w:val="clear" w:color="auto" w:fill="auto"/>
            <w:noWrap/>
            <w:hideMark/>
          </w:tcPr>
          <w:p w14:paraId="70E7EAE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C58</w:t>
            </w:r>
          </w:p>
        </w:tc>
        <w:tc>
          <w:tcPr>
            <w:tcW w:w="2127" w:type="dxa"/>
          </w:tcPr>
          <w:p w14:paraId="70E7EAF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operaciones de compra y venta de cartera</w:t>
            </w:r>
          </w:p>
        </w:tc>
        <w:tc>
          <w:tcPr>
            <w:tcW w:w="8363" w:type="dxa"/>
            <w:shd w:val="clear" w:color="auto" w:fill="auto"/>
            <w:noWrap/>
            <w:hideMark/>
          </w:tcPr>
          <w:p w14:paraId="70E7EAF1" w14:textId="77777777" w:rsidR="000B7B01" w:rsidRPr="00E258E3" w:rsidRDefault="00D527AC"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L</w:t>
            </w:r>
            <w:r w:rsidR="000B7B01" w:rsidRPr="00E258E3">
              <w:rPr>
                <w:rFonts w:ascii="Arial Narrow" w:eastAsia="Times New Roman" w:hAnsi="Arial Narrow" w:cs="Calibri"/>
                <w:color w:val="000000"/>
                <w:sz w:val="20"/>
                <w:szCs w:val="20"/>
                <w:lang w:eastAsia="es-CO"/>
              </w:rPr>
              <w:t>a entidad no realiza este tipo de operaciones</w:t>
            </w:r>
          </w:p>
        </w:tc>
      </w:tr>
      <w:tr w:rsidR="000B7B01" w:rsidRPr="00E258E3" w14:paraId="70E7EB13" w14:textId="77777777" w:rsidTr="00241880">
        <w:trPr>
          <w:trHeight w:val="300"/>
        </w:trPr>
        <w:tc>
          <w:tcPr>
            <w:tcW w:w="562" w:type="dxa"/>
            <w:shd w:val="clear" w:color="auto" w:fill="auto"/>
            <w:noWrap/>
            <w:hideMark/>
          </w:tcPr>
          <w:p w14:paraId="70E7EAF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C59</w:t>
            </w:r>
          </w:p>
        </w:tc>
        <w:tc>
          <w:tcPr>
            <w:tcW w:w="2127" w:type="dxa"/>
          </w:tcPr>
          <w:p w14:paraId="70E7EAF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cambios en políticas contables, estimaciones contables y errores</w:t>
            </w:r>
          </w:p>
        </w:tc>
        <w:tc>
          <w:tcPr>
            <w:tcW w:w="8363" w:type="dxa"/>
            <w:shd w:val="clear" w:color="auto" w:fill="auto"/>
            <w:noWrap/>
          </w:tcPr>
          <w:p w14:paraId="70E7EB12" w14:textId="0A85D3E9"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17" w14:textId="77777777" w:rsidTr="00241880">
        <w:trPr>
          <w:trHeight w:val="300"/>
        </w:trPr>
        <w:tc>
          <w:tcPr>
            <w:tcW w:w="562" w:type="dxa"/>
            <w:shd w:val="clear" w:color="auto" w:fill="auto"/>
            <w:noWrap/>
            <w:hideMark/>
          </w:tcPr>
          <w:p w14:paraId="70E7EB1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C60</w:t>
            </w:r>
          </w:p>
        </w:tc>
        <w:tc>
          <w:tcPr>
            <w:tcW w:w="2127" w:type="dxa"/>
          </w:tcPr>
          <w:p w14:paraId="70E7EB1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aplicación inicial de normas o interpretaciones</w:t>
            </w:r>
          </w:p>
        </w:tc>
        <w:tc>
          <w:tcPr>
            <w:tcW w:w="8363" w:type="dxa"/>
            <w:shd w:val="clear" w:color="auto" w:fill="auto"/>
            <w:noWrap/>
            <w:hideMark/>
          </w:tcPr>
          <w:p w14:paraId="70E7EB16" w14:textId="53C8134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La entidad adopto NIIF para PYMES por primera vez a partir del 01 de enero de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fecha en la cual se hizo uso de la </w:t>
            </w:r>
            <w:r w:rsidR="00D527AC" w:rsidRPr="00E258E3">
              <w:rPr>
                <w:rFonts w:ascii="Arial Narrow" w:eastAsia="Times New Roman" w:hAnsi="Arial Narrow" w:cs="Calibri"/>
                <w:color w:val="000000"/>
                <w:sz w:val="20"/>
                <w:szCs w:val="20"/>
                <w:lang w:eastAsia="es-CO"/>
              </w:rPr>
              <w:t>exención</w:t>
            </w:r>
            <w:r w:rsidRPr="00E258E3">
              <w:rPr>
                <w:rFonts w:ascii="Arial Narrow" w:eastAsia="Times New Roman" w:hAnsi="Arial Narrow" w:cs="Calibri"/>
                <w:color w:val="000000"/>
                <w:sz w:val="20"/>
                <w:szCs w:val="20"/>
                <w:lang w:eastAsia="es-CO"/>
              </w:rPr>
              <w:t xml:space="preserve"> voluntaria valor razonable como costo atribuido en los inmuebles de su propiedad </w:t>
            </w:r>
            <w:r w:rsidR="006200B9" w:rsidRPr="00E258E3">
              <w:rPr>
                <w:rFonts w:ascii="Arial Narrow" w:eastAsia="Times New Roman" w:hAnsi="Arial Narrow" w:cs="Calibri"/>
                <w:color w:val="000000"/>
                <w:sz w:val="20"/>
                <w:szCs w:val="20"/>
                <w:lang w:eastAsia="es-CO"/>
              </w:rPr>
              <w:t>únicamente</w:t>
            </w:r>
            <w:r w:rsidRPr="00E258E3">
              <w:rPr>
                <w:rFonts w:ascii="Arial Narrow" w:eastAsia="Times New Roman" w:hAnsi="Arial Narrow" w:cs="Calibri"/>
                <w:color w:val="000000"/>
                <w:sz w:val="20"/>
                <w:szCs w:val="20"/>
                <w:lang w:eastAsia="es-CO"/>
              </w:rPr>
              <w:t>.</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En el efectivo y equivalente se </w:t>
            </w:r>
            <w:r w:rsidR="00D527AC" w:rsidRPr="00E258E3">
              <w:rPr>
                <w:rFonts w:ascii="Arial Narrow" w:eastAsia="Times New Roman" w:hAnsi="Arial Narrow" w:cs="Calibri"/>
                <w:color w:val="000000"/>
                <w:sz w:val="20"/>
                <w:szCs w:val="20"/>
                <w:lang w:eastAsia="es-CO"/>
              </w:rPr>
              <w:t>incluyen</w:t>
            </w:r>
            <w:r w:rsidRPr="00E258E3">
              <w:rPr>
                <w:rFonts w:ascii="Arial Narrow" w:eastAsia="Times New Roman" w:hAnsi="Arial Narrow" w:cs="Calibri"/>
                <w:color w:val="000000"/>
                <w:sz w:val="20"/>
                <w:szCs w:val="20"/>
                <w:lang w:eastAsia="es-CO"/>
              </w:rPr>
              <w:t xml:space="preserve"> ahora las fiducias e inversiones de deuda a menos de 90 días de plazo para su vencimiento.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En las demás políticas no se presentan cambios relevantes.</w:t>
            </w:r>
          </w:p>
        </w:tc>
      </w:tr>
      <w:tr w:rsidR="000B7B01" w:rsidRPr="00E258E3" w14:paraId="70E7EB1B" w14:textId="77777777" w:rsidTr="00241880">
        <w:trPr>
          <w:trHeight w:val="300"/>
        </w:trPr>
        <w:tc>
          <w:tcPr>
            <w:tcW w:w="562" w:type="dxa"/>
            <w:shd w:val="clear" w:color="auto" w:fill="auto"/>
            <w:noWrap/>
            <w:hideMark/>
          </w:tcPr>
          <w:p w14:paraId="70E7EB1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C61</w:t>
            </w:r>
          </w:p>
        </w:tc>
        <w:tc>
          <w:tcPr>
            <w:tcW w:w="2127" w:type="dxa"/>
          </w:tcPr>
          <w:p w14:paraId="70E7EB19"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aplicación inicial de normas o interpretaciones [partidas de los estados financieros]</w:t>
            </w:r>
          </w:p>
        </w:tc>
        <w:tc>
          <w:tcPr>
            <w:tcW w:w="8363" w:type="dxa"/>
            <w:shd w:val="clear" w:color="auto" w:fill="auto"/>
            <w:noWrap/>
            <w:hideMark/>
          </w:tcPr>
          <w:p w14:paraId="70E7EB1A" w14:textId="189BE09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La entidad adopto NIIF para PYMES por primera vez a partir del 01 de enero de </w:t>
            </w:r>
            <w:r w:rsidR="00241880">
              <w:rPr>
                <w:rFonts w:ascii="Arial Narrow" w:eastAsia="Times New Roman" w:hAnsi="Arial Narrow" w:cs="Calibri"/>
                <w:color w:val="000000"/>
                <w:sz w:val="20"/>
                <w:szCs w:val="20"/>
                <w:lang w:eastAsia="es-CO"/>
              </w:rPr>
              <w:t>2021</w:t>
            </w:r>
            <w:r w:rsidRPr="00E258E3">
              <w:rPr>
                <w:rFonts w:ascii="Arial Narrow" w:eastAsia="Times New Roman" w:hAnsi="Arial Narrow" w:cs="Calibri"/>
                <w:color w:val="000000"/>
                <w:sz w:val="20"/>
                <w:szCs w:val="20"/>
                <w:lang w:eastAsia="es-CO"/>
              </w:rPr>
              <w:t xml:space="preserve"> fecha en la cual se hizo uso de la </w:t>
            </w:r>
            <w:r w:rsidR="00D527AC" w:rsidRPr="00E258E3">
              <w:rPr>
                <w:rFonts w:ascii="Arial Narrow" w:eastAsia="Times New Roman" w:hAnsi="Arial Narrow" w:cs="Calibri"/>
                <w:color w:val="000000"/>
                <w:sz w:val="20"/>
                <w:szCs w:val="20"/>
                <w:lang w:eastAsia="es-CO"/>
              </w:rPr>
              <w:t>exención</w:t>
            </w:r>
            <w:r w:rsidRPr="00E258E3">
              <w:rPr>
                <w:rFonts w:ascii="Arial Narrow" w:eastAsia="Times New Roman" w:hAnsi="Arial Narrow" w:cs="Calibri"/>
                <w:color w:val="000000"/>
                <w:sz w:val="20"/>
                <w:szCs w:val="20"/>
                <w:lang w:eastAsia="es-CO"/>
              </w:rPr>
              <w:t xml:space="preserve"> voluntaria valor razonable como costo atribuido en los inmuebles de su propiedad unicamente.</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En el efectivo y equivalente se </w:t>
            </w:r>
            <w:r w:rsidR="00D527AC" w:rsidRPr="00E258E3">
              <w:rPr>
                <w:rFonts w:ascii="Arial Narrow" w:eastAsia="Times New Roman" w:hAnsi="Arial Narrow" w:cs="Calibri"/>
                <w:color w:val="000000"/>
                <w:sz w:val="20"/>
                <w:szCs w:val="20"/>
                <w:lang w:eastAsia="es-CO"/>
              </w:rPr>
              <w:t>incluyen</w:t>
            </w:r>
            <w:r w:rsidRPr="00E258E3">
              <w:rPr>
                <w:rFonts w:ascii="Arial Narrow" w:eastAsia="Times New Roman" w:hAnsi="Arial Narrow" w:cs="Calibri"/>
                <w:color w:val="000000"/>
                <w:sz w:val="20"/>
                <w:szCs w:val="20"/>
                <w:lang w:eastAsia="es-CO"/>
              </w:rPr>
              <w:t xml:space="preserve"> ahora las fiducias e inversiones de deuda a menos de 90 días de plazo para su vencimiento.</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En las demás políticas no se presentan cambios relevantes.</w:t>
            </w:r>
          </w:p>
        </w:tc>
      </w:tr>
      <w:tr w:rsidR="000B7B01" w:rsidRPr="00E258E3" w14:paraId="70E7EB1F" w14:textId="77777777" w:rsidTr="00241880">
        <w:trPr>
          <w:trHeight w:val="300"/>
        </w:trPr>
        <w:tc>
          <w:tcPr>
            <w:tcW w:w="562" w:type="dxa"/>
            <w:shd w:val="clear" w:color="auto" w:fill="auto"/>
            <w:noWrap/>
            <w:hideMark/>
          </w:tcPr>
          <w:p w14:paraId="70E7EB1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C62</w:t>
            </w:r>
          </w:p>
        </w:tc>
        <w:tc>
          <w:tcPr>
            <w:tcW w:w="2127" w:type="dxa"/>
          </w:tcPr>
          <w:p w14:paraId="70E7EB1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Título de aplicación inicial de las NIF</w:t>
            </w:r>
          </w:p>
        </w:tc>
        <w:tc>
          <w:tcPr>
            <w:tcW w:w="8363" w:type="dxa"/>
            <w:shd w:val="clear" w:color="auto" w:fill="auto"/>
            <w:noWrap/>
            <w:hideMark/>
          </w:tcPr>
          <w:p w14:paraId="70E7EB1E" w14:textId="5657379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NIIF PARA PYMES </w:t>
            </w:r>
            <w:r w:rsidR="00DE5C8E" w:rsidRPr="00E258E3">
              <w:rPr>
                <w:rFonts w:ascii="Arial Narrow" w:eastAsia="Times New Roman" w:hAnsi="Arial Narrow" w:cs="Calibri"/>
                <w:color w:val="000000"/>
                <w:sz w:val="20"/>
                <w:szCs w:val="20"/>
                <w:lang w:eastAsia="es-CO"/>
              </w:rPr>
              <w:t>Versión</w:t>
            </w:r>
            <w:r w:rsidRPr="00E258E3">
              <w:rPr>
                <w:rFonts w:ascii="Arial Narrow" w:eastAsia="Times New Roman" w:hAnsi="Arial Narrow" w:cs="Calibri"/>
                <w:color w:val="000000"/>
                <w:sz w:val="20"/>
                <w:szCs w:val="20"/>
                <w:lang w:eastAsia="es-CO"/>
              </w:rPr>
              <w:t xml:space="preserve"> 2009 y modificaciones </w:t>
            </w:r>
            <w:r w:rsidR="00241880">
              <w:rPr>
                <w:rFonts w:ascii="Arial Narrow" w:eastAsia="Times New Roman" w:hAnsi="Arial Narrow" w:cs="Calibri"/>
                <w:color w:val="000000"/>
                <w:sz w:val="20"/>
                <w:szCs w:val="20"/>
                <w:lang w:eastAsia="es-CO"/>
              </w:rPr>
              <w:t>2020</w:t>
            </w:r>
            <w:r w:rsidRPr="00E258E3">
              <w:rPr>
                <w:rFonts w:ascii="Arial Narrow" w:eastAsia="Times New Roman" w:hAnsi="Arial Narrow" w:cs="Calibri"/>
                <w:color w:val="000000"/>
                <w:sz w:val="20"/>
                <w:szCs w:val="20"/>
                <w:lang w:eastAsia="es-CO"/>
              </w:rPr>
              <w:t xml:space="preserve"> contenidas en anexos de decretos 2420 y 2496 de diciembre de </w:t>
            </w:r>
            <w:r w:rsidR="00E258E3" w:rsidRPr="00E258E3">
              <w:rPr>
                <w:rFonts w:ascii="Arial Narrow" w:eastAsia="Times New Roman" w:hAnsi="Arial Narrow" w:cs="Calibri"/>
                <w:color w:val="000000"/>
                <w:sz w:val="20"/>
                <w:szCs w:val="20"/>
                <w:lang w:eastAsia="es-CO"/>
              </w:rPr>
              <w:t>201</w:t>
            </w:r>
            <w:r w:rsidR="006200B9">
              <w:rPr>
                <w:rFonts w:ascii="Arial Narrow" w:eastAsia="Times New Roman" w:hAnsi="Arial Narrow" w:cs="Calibri"/>
                <w:color w:val="000000"/>
                <w:sz w:val="20"/>
                <w:szCs w:val="20"/>
                <w:lang w:eastAsia="es-CO"/>
              </w:rPr>
              <w:t>5</w:t>
            </w:r>
          </w:p>
        </w:tc>
      </w:tr>
      <w:tr w:rsidR="000B7B01" w:rsidRPr="00E258E3" w14:paraId="70E7EB23" w14:textId="77777777" w:rsidTr="00241880">
        <w:trPr>
          <w:trHeight w:val="300"/>
        </w:trPr>
        <w:tc>
          <w:tcPr>
            <w:tcW w:w="562" w:type="dxa"/>
            <w:shd w:val="clear" w:color="auto" w:fill="auto"/>
            <w:noWrap/>
            <w:hideMark/>
          </w:tcPr>
          <w:p w14:paraId="70E7EB20"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C63</w:t>
            </w:r>
          </w:p>
        </w:tc>
        <w:tc>
          <w:tcPr>
            <w:tcW w:w="2127" w:type="dxa"/>
          </w:tcPr>
          <w:p w14:paraId="70E7EB21"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si el cambio en la política contable se realiza de acuerdo con las disposiciones transitorias de las NIIF aplicadas inicialmente</w:t>
            </w:r>
          </w:p>
        </w:tc>
        <w:tc>
          <w:tcPr>
            <w:tcW w:w="8363" w:type="dxa"/>
            <w:shd w:val="clear" w:color="auto" w:fill="auto"/>
            <w:noWrap/>
            <w:hideMark/>
          </w:tcPr>
          <w:p w14:paraId="70E7EB2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No existen cambios significativos en las politicas contables con ocasión de la adopción de las NIIF </w:t>
            </w:r>
          </w:p>
        </w:tc>
      </w:tr>
      <w:tr w:rsidR="000B7B01" w:rsidRPr="00E258E3" w14:paraId="70E7EB27" w14:textId="77777777" w:rsidTr="00241880">
        <w:trPr>
          <w:trHeight w:val="300"/>
        </w:trPr>
        <w:tc>
          <w:tcPr>
            <w:tcW w:w="562" w:type="dxa"/>
            <w:shd w:val="clear" w:color="auto" w:fill="auto"/>
            <w:noWrap/>
            <w:hideMark/>
          </w:tcPr>
          <w:p w14:paraId="70E7EB2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C64</w:t>
            </w:r>
          </w:p>
        </w:tc>
        <w:tc>
          <w:tcPr>
            <w:tcW w:w="2127" w:type="dxa"/>
          </w:tcPr>
          <w:p w14:paraId="70E7EB2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cambio en política contable</w:t>
            </w:r>
          </w:p>
        </w:tc>
        <w:tc>
          <w:tcPr>
            <w:tcW w:w="8363" w:type="dxa"/>
            <w:shd w:val="clear" w:color="auto" w:fill="auto"/>
            <w:noWrap/>
            <w:hideMark/>
          </w:tcPr>
          <w:p w14:paraId="70E7EB26" w14:textId="47AA861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2B" w14:textId="77777777" w:rsidTr="00241880">
        <w:trPr>
          <w:trHeight w:val="300"/>
        </w:trPr>
        <w:tc>
          <w:tcPr>
            <w:tcW w:w="562" w:type="dxa"/>
            <w:shd w:val="clear" w:color="auto" w:fill="auto"/>
            <w:noWrap/>
            <w:hideMark/>
          </w:tcPr>
          <w:p w14:paraId="70E7EB28"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C65</w:t>
            </w:r>
          </w:p>
        </w:tc>
        <w:tc>
          <w:tcPr>
            <w:tcW w:w="2127" w:type="dxa"/>
          </w:tcPr>
          <w:p w14:paraId="70E7EB29" w14:textId="00AF67E1"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disposiciones transitorias de las NIF aplicadas inicialmente</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2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Medición de Deterioro de la Cartera de acuerdo con normas prudenciales de la Supersolidaria y presentacion de la </w:t>
            </w:r>
            <w:r w:rsidR="00DE5C8E" w:rsidRPr="00E258E3">
              <w:rPr>
                <w:rFonts w:ascii="Arial Narrow" w:eastAsia="Times New Roman" w:hAnsi="Arial Narrow" w:cs="Calibri"/>
                <w:color w:val="000000"/>
                <w:sz w:val="20"/>
                <w:szCs w:val="20"/>
                <w:lang w:eastAsia="es-CO"/>
              </w:rPr>
              <w:t>porción</w:t>
            </w:r>
            <w:r w:rsidRPr="00E258E3">
              <w:rPr>
                <w:rFonts w:ascii="Arial Narrow" w:eastAsia="Times New Roman" w:hAnsi="Arial Narrow" w:cs="Calibri"/>
                <w:color w:val="000000"/>
                <w:sz w:val="20"/>
                <w:szCs w:val="20"/>
                <w:lang w:eastAsia="es-CO"/>
              </w:rPr>
              <w:t xml:space="preserve"> del capital social con derecho a rescate en el patrimonio</w:t>
            </w:r>
          </w:p>
        </w:tc>
      </w:tr>
      <w:tr w:rsidR="000B7B01" w:rsidRPr="00E258E3" w14:paraId="70E7EB30" w14:textId="77777777" w:rsidTr="00241880">
        <w:trPr>
          <w:trHeight w:val="300"/>
        </w:trPr>
        <w:tc>
          <w:tcPr>
            <w:tcW w:w="562" w:type="dxa"/>
            <w:shd w:val="clear" w:color="auto" w:fill="auto"/>
            <w:noWrap/>
            <w:hideMark/>
          </w:tcPr>
          <w:p w14:paraId="70E7EB2C"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C66</w:t>
            </w:r>
          </w:p>
        </w:tc>
        <w:tc>
          <w:tcPr>
            <w:tcW w:w="2127" w:type="dxa"/>
          </w:tcPr>
          <w:p w14:paraId="70E7EB2D"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las disposiciones transitorias </w:t>
            </w:r>
            <w:r w:rsidRPr="00E258E3">
              <w:rPr>
                <w:rFonts w:ascii="Arial Narrow" w:hAnsi="Arial Narrow" w:cs="Calibri"/>
                <w:color w:val="000000"/>
                <w:sz w:val="20"/>
                <w:szCs w:val="20"/>
              </w:rPr>
              <w:lastRenderedPageBreak/>
              <w:t>de las NIF aplicadas inicialmente que pueden tener efecto sobre periodos futuros</w:t>
            </w:r>
          </w:p>
        </w:tc>
        <w:tc>
          <w:tcPr>
            <w:tcW w:w="8363" w:type="dxa"/>
            <w:shd w:val="clear" w:color="auto" w:fill="auto"/>
            <w:noWrap/>
            <w:hideMark/>
          </w:tcPr>
          <w:p w14:paraId="70E7EB2E" w14:textId="19F8B767" w:rsidR="000B7B01"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xml:space="preserve">Medición de Deterioro de la Cartera de acuerdo con normas prudenciales de la Supersolidaria </w:t>
            </w:r>
            <w:r w:rsidR="006200B9" w:rsidRPr="00E258E3">
              <w:rPr>
                <w:rFonts w:ascii="Arial Narrow" w:eastAsia="Times New Roman" w:hAnsi="Arial Narrow" w:cs="Calibri"/>
                <w:color w:val="000000"/>
                <w:sz w:val="20"/>
                <w:szCs w:val="20"/>
                <w:lang w:eastAsia="es-CO"/>
              </w:rPr>
              <w:t>implicaría</w:t>
            </w:r>
            <w:r w:rsidRPr="00E258E3">
              <w:rPr>
                <w:rFonts w:ascii="Arial Narrow" w:eastAsia="Times New Roman" w:hAnsi="Arial Narrow" w:cs="Calibri"/>
                <w:color w:val="000000"/>
                <w:sz w:val="20"/>
                <w:szCs w:val="20"/>
                <w:lang w:eastAsia="es-CO"/>
              </w:rPr>
              <w:t xml:space="preserve"> revertir la </w:t>
            </w:r>
            <w:r w:rsidR="006D109B" w:rsidRPr="00E258E3">
              <w:rPr>
                <w:rFonts w:ascii="Arial Narrow" w:eastAsia="Times New Roman" w:hAnsi="Arial Narrow" w:cs="Calibri"/>
                <w:color w:val="000000"/>
                <w:sz w:val="20"/>
                <w:szCs w:val="20"/>
                <w:lang w:eastAsia="es-CO"/>
              </w:rPr>
              <w:t>provisión</w:t>
            </w:r>
            <w:r w:rsidRPr="00E258E3">
              <w:rPr>
                <w:rFonts w:ascii="Arial Narrow" w:eastAsia="Times New Roman" w:hAnsi="Arial Narrow" w:cs="Calibri"/>
                <w:color w:val="000000"/>
                <w:sz w:val="20"/>
                <w:szCs w:val="20"/>
                <w:lang w:eastAsia="es-CO"/>
              </w:rPr>
              <w:t xml:space="preserve"> general</w:t>
            </w:r>
          </w:p>
          <w:p w14:paraId="75A0A023" w14:textId="77777777" w:rsidR="006200B9" w:rsidRPr="00E258E3" w:rsidRDefault="006200B9" w:rsidP="00E258E3">
            <w:pPr>
              <w:spacing w:after="0" w:line="240" w:lineRule="auto"/>
              <w:jc w:val="both"/>
              <w:rPr>
                <w:rFonts w:ascii="Arial Narrow" w:eastAsia="Times New Roman" w:hAnsi="Arial Narrow" w:cs="Calibri"/>
                <w:color w:val="000000"/>
                <w:sz w:val="20"/>
                <w:szCs w:val="20"/>
                <w:lang w:eastAsia="es-CO"/>
              </w:rPr>
            </w:pPr>
          </w:p>
          <w:p w14:paraId="70E7EB2F" w14:textId="77777777"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presentación</w:t>
            </w:r>
            <w:r w:rsidR="000B7B01" w:rsidRPr="00E258E3">
              <w:rPr>
                <w:rFonts w:ascii="Arial Narrow" w:eastAsia="Times New Roman" w:hAnsi="Arial Narrow" w:cs="Calibri"/>
                <w:color w:val="000000"/>
                <w:sz w:val="20"/>
                <w:szCs w:val="20"/>
                <w:lang w:eastAsia="es-CO"/>
              </w:rPr>
              <w:t xml:space="preserve"> de la </w:t>
            </w:r>
            <w:r w:rsidRPr="00E258E3">
              <w:rPr>
                <w:rFonts w:ascii="Arial Narrow" w:eastAsia="Times New Roman" w:hAnsi="Arial Narrow" w:cs="Calibri"/>
                <w:color w:val="000000"/>
                <w:sz w:val="20"/>
                <w:szCs w:val="20"/>
                <w:lang w:eastAsia="es-CO"/>
              </w:rPr>
              <w:t>porción</w:t>
            </w:r>
            <w:r w:rsidR="000B7B01" w:rsidRPr="00E258E3">
              <w:rPr>
                <w:rFonts w:ascii="Arial Narrow" w:eastAsia="Times New Roman" w:hAnsi="Arial Narrow" w:cs="Calibri"/>
                <w:color w:val="000000"/>
                <w:sz w:val="20"/>
                <w:szCs w:val="20"/>
                <w:lang w:eastAsia="es-CO"/>
              </w:rPr>
              <w:t xml:space="preserve"> del capital social con derecho a rescate en el patrimonio que debería ser reclasificada al pasivo</w:t>
            </w:r>
          </w:p>
        </w:tc>
      </w:tr>
      <w:tr w:rsidR="000B7B01" w:rsidRPr="00E258E3" w14:paraId="70E7EB34" w14:textId="77777777" w:rsidTr="00241880">
        <w:trPr>
          <w:trHeight w:val="300"/>
        </w:trPr>
        <w:tc>
          <w:tcPr>
            <w:tcW w:w="562" w:type="dxa"/>
            <w:shd w:val="clear" w:color="auto" w:fill="auto"/>
            <w:noWrap/>
            <w:hideMark/>
          </w:tcPr>
          <w:p w14:paraId="70E7EB3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C67</w:t>
            </w:r>
          </w:p>
        </w:tc>
        <w:tc>
          <w:tcPr>
            <w:tcW w:w="2127" w:type="dxa"/>
          </w:tcPr>
          <w:p w14:paraId="70E7EB32" w14:textId="3E71C65B"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 voluntario en política contable</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33" w14:textId="0F8684A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38" w14:textId="77777777" w:rsidTr="00241880">
        <w:trPr>
          <w:trHeight w:val="300"/>
        </w:trPr>
        <w:tc>
          <w:tcPr>
            <w:tcW w:w="562" w:type="dxa"/>
            <w:shd w:val="clear" w:color="auto" w:fill="auto"/>
            <w:noWrap/>
            <w:hideMark/>
          </w:tcPr>
          <w:p w14:paraId="70E7EB3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C68</w:t>
            </w:r>
          </w:p>
        </w:tc>
        <w:tc>
          <w:tcPr>
            <w:tcW w:w="2127" w:type="dxa"/>
          </w:tcPr>
          <w:p w14:paraId="70E7EB3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cambio voluntario en política contable [partidas de los estados financieros] </w:t>
            </w:r>
          </w:p>
        </w:tc>
        <w:tc>
          <w:tcPr>
            <w:tcW w:w="8363" w:type="dxa"/>
            <w:shd w:val="clear" w:color="auto" w:fill="auto"/>
            <w:noWrap/>
            <w:hideMark/>
          </w:tcPr>
          <w:p w14:paraId="70E7EB37" w14:textId="757E671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3C" w14:textId="77777777" w:rsidTr="00241880">
        <w:trPr>
          <w:trHeight w:val="300"/>
        </w:trPr>
        <w:tc>
          <w:tcPr>
            <w:tcW w:w="562" w:type="dxa"/>
            <w:shd w:val="clear" w:color="auto" w:fill="auto"/>
            <w:noWrap/>
            <w:hideMark/>
          </w:tcPr>
          <w:p w14:paraId="70E7EB3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C69</w:t>
            </w:r>
          </w:p>
        </w:tc>
        <w:tc>
          <w:tcPr>
            <w:tcW w:w="2127" w:type="dxa"/>
          </w:tcPr>
          <w:p w14:paraId="70E7EB3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cambios voluntarios en políticas contables</w:t>
            </w:r>
          </w:p>
        </w:tc>
        <w:tc>
          <w:tcPr>
            <w:tcW w:w="8363" w:type="dxa"/>
            <w:shd w:val="clear" w:color="auto" w:fill="auto"/>
            <w:noWrap/>
            <w:hideMark/>
          </w:tcPr>
          <w:p w14:paraId="70E7EB3B" w14:textId="4D9EF9B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40" w14:textId="77777777" w:rsidTr="00241880">
        <w:trPr>
          <w:trHeight w:val="300"/>
        </w:trPr>
        <w:tc>
          <w:tcPr>
            <w:tcW w:w="562" w:type="dxa"/>
            <w:shd w:val="clear" w:color="auto" w:fill="auto"/>
            <w:noWrap/>
            <w:hideMark/>
          </w:tcPr>
          <w:p w14:paraId="70E7EB3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C70</w:t>
            </w:r>
          </w:p>
        </w:tc>
        <w:tc>
          <w:tcPr>
            <w:tcW w:w="2127" w:type="dxa"/>
          </w:tcPr>
          <w:p w14:paraId="70E7EB3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las razones por las que la aplicación de políticas contables nuevas suministra información más relevante y fiable</w:t>
            </w:r>
          </w:p>
        </w:tc>
        <w:tc>
          <w:tcPr>
            <w:tcW w:w="8363" w:type="dxa"/>
            <w:shd w:val="clear" w:color="auto" w:fill="auto"/>
            <w:noWrap/>
            <w:hideMark/>
          </w:tcPr>
          <w:p w14:paraId="70E7EB3F" w14:textId="6B5A08C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44" w14:textId="77777777" w:rsidTr="00241880">
        <w:trPr>
          <w:trHeight w:val="300"/>
        </w:trPr>
        <w:tc>
          <w:tcPr>
            <w:tcW w:w="562" w:type="dxa"/>
            <w:shd w:val="clear" w:color="auto" w:fill="auto"/>
            <w:noWrap/>
            <w:hideMark/>
          </w:tcPr>
          <w:p w14:paraId="70E7EB4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C71</w:t>
            </w:r>
          </w:p>
        </w:tc>
        <w:tc>
          <w:tcPr>
            <w:tcW w:w="2127" w:type="dxa"/>
          </w:tcPr>
          <w:p w14:paraId="70E7EB42" w14:textId="6FB970E3"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las normas nuevas o interpretaciones </w:t>
            </w:r>
            <w:r w:rsidR="006200B9">
              <w:rPr>
                <w:rFonts w:ascii="Arial Narrow" w:hAnsi="Arial Narrow" w:cs="Calibri"/>
                <w:color w:val="000000"/>
                <w:sz w:val="20"/>
                <w:szCs w:val="20"/>
              </w:rPr>
              <w:t>no aplicables</w:t>
            </w:r>
          </w:p>
        </w:tc>
        <w:tc>
          <w:tcPr>
            <w:tcW w:w="8363" w:type="dxa"/>
            <w:shd w:val="clear" w:color="auto" w:fill="auto"/>
            <w:noWrap/>
            <w:hideMark/>
          </w:tcPr>
          <w:p w14:paraId="70E7EB43" w14:textId="2CBC763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48" w14:textId="77777777" w:rsidTr="00241880">
        <w:trPr>
          <w:trHeight w:val="300"/>
        </w:trPr>
        <w:tc>
          <w:tcPr>
            <w:tcW w:w="562" w:type="dxa"/>
            <w:shd w:val="clear" w:color="auto" w:fill="auto"/>
            <w:noWrap/>
            <w:hideMark/>
          </w:tcPr>
          <w:p w14:paraId="70E7EB4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C72</w:t>
            </w:r>
          </w:p>
        </w:tc>
        <w:tc>
          <w:tcPr>
            <w:tcW w:w="2127" w:type="dxa"/>
          </w:tcPr>
          <w:p w14:paraId="70E7EB4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el impacto esperado de la aplicación inicial de nuevas normas o interpretaciones </w:t>
            </w:r>
          </w:p>
        </w:tc>
        <w:tc>
          <w:tcPr>
            <w:tcW w:w="8363" w:type="dxa"/>
            <w:shd w:val="clear" w:color="auto" w:fill="auto"/>
            <w:noWrap/>
            <w:hideMark/>
          </w:tcPr>
          <w:p w14:paraId="70E7EB47" w14:textId="680A351F"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4C" w14:textId="77777777" w:rsidTr="00241880">
        <w:trPr>
          <w:trHeight w:val="300"/>
        </w:trPr>
        <w:tc>
          <w:tcPr>
            <w:tcW w:w="562" w:type="dxa"/>
            <w:shd w:val="clear" w:color="auto" w:fill="auto"/>
            <w:noWrap/>
            <w:hideMark/>
          </w:tcPr>
          <w:p w14:paraId="70E7EB4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C73</w:t>
            </w:r>
          </w:p>
        </w:tc>
        <w:tc>
          <w:tcPr>
            <w:tcW w:w="2127" w:type="dxa"/>
          </w:tcPr>
          <w:p w14:paraId="70E7EB4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el impacto esperado de la aplicación inicial de nuevas normas o interpretaciones [partidas de los estados financieros]</w:t>
            </w:r>
          </w:p>
        </w:tc>
        <w:tc>
          <w:tcPr>
            <w:tcW w:w="8363" w:type="dxa"/>
            <w:shd w:val="clear" w:color="auto" w:fill="auto"/>
            <w:noWrap/>
            <w:hideMark/>
          </w:tcPr>
          <w:p w14:paraId="70E7EB4B" w14:textId="01C1FC6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6200B9">
              <w:rPr>
                <w:rFonts w:ascii="Arial Narrow" w:eastAsia="Times New Roman" w:hAnsi="Arial Narrow" w:cs="Calibri"/>
                <w:color w:val="000000"/>
                <w:sz w:val="20"/>
                <w:szCs w:val="20"/>
                <w:lang w:eastAsia="es-CO"/>
              </w:rPr>
              <w:t>NO APLICA</w:t>
            </w:r>
          </w:p>
        </w:tc>
      </w:tr>
      <w:tr w:rsidR="000B7B01" w:rsidRPr="00E258E3" w14:paraId="70E7EB50" w14:textId="77777777" w:rsidTr="00241880">
        <w:trPr>
          <w:trHeight w:val="300"/>
        </w:trPr>
        <w:tc>
          <w:tcPr>
            <w:tcW w:w="562" w:type="dxa"/>
            <w:shd w:val="clear" w:color="auto" w:fill="auto"/>
            <w:noWrap/>
            <w:hideMark/>
          </w:tcPr>
          <w:p w14:paraId="70E7EB4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C74</w:t>
            </w:r>
          </w:p>
        </w:tc>
        <w:tc>
          <w:tcPr>
            <w:tcW w:w="2127" w:type="dxa"/>
          </w:tcPr>
          <w:p w14:paraId="70E7EB4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Título de NIIF nuevas</w:t>
            </w:r>
          </w:p>
        </w:tc>
        <w:tc>
          <w:tcPr>
            <w:tcW w:w="8363" w:type="dxa"/>
            <w:shd w:val="clear" w:color="auto" w:fill="auto"/>
            <w:noWrap/>
            <w:hideMark/>
          </w:tcPr>
          <w:p w14:paraId="70E7EB4F" w14:textId="6FCA16F3"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54" w14:textId="77777777" w:rsidTr="00241880">
        <w:trPr>
          <w:trHeight w:val="300"/>
        </w:trPr>
        <w:tc>
          <w:tcPr>
            <w:tcW w:w="562" w:type="dxa"/>
            <w:shd w:val="clear" w:color="auto" w:fill="auto"/>
            <w:noWrap/>
            <w:hideMark/>
          </w:tcPr>
          <w:p w14:paraId="70E7EB5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C75</w:t>
            </w:r>
          </w:p>
        </w:tc>
        <w:tc>
          <w:tcPr>
            <w:tcW w:w="2127" w:type="dxa"/>
          </w:tcPr>
          <w:p w14:paraId="70E7EB52" w14:textId="21995829"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un cambio inminente en una política contable</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53" w14:textId="076F48A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58" w14:textId="77777777" w:rsidTr="00241880">
        <w:trPr>
          <w:trHeight w:val="300"/>
        </w:trPr>
        <w:tc>
          <w:tcPr>
            <w:tcW w:w="562" w:type="dxa"/>
            <w:shd w:val="clear" w:color="auto" w:fill="auto"/>
            <w:noWrap/>
            <w:hideMark/>
          </w:tcPr>
          <w:p w14:paraId="70E7EB5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C76</w:t>
            </w:r>
          </w:p>
        </w:tc>
        <w:tc>
          <w:tcPr>
            <w:tcW w:w="2127" w:type="dxa"/>
          </w:tcPr>
          <w:p w14:paraId="70E7EB5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Discusión sobre el impacto que se espera que tenga la aplicación inicial de una NIIF nueva en los estados financieros</w:t>
            </w:r>
          </w:p>
        </w:tc>
        <w:tc>
          <w:tcPr>
            <w:tcW w:w="8363" w:type="dxa"/>
            <w:shd w:val="clear" w:color="auto" w:fill="auto"/>
            <w:noWrap/>
            <w:hideMark/>
          </w:tcPr>
          <w:p w14:paraId="70E7EB57" w14:textId="4799FAB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5C" w14:textId="77777777" w:rsidTr="00241880">
        <w:trPr>
          <w:trHeight w:val="300"/>
        </w:trPr>
        <w:tc>
          <w:tcPr>
            <w:tcW w:w="562" w:type="dxa"/>
            <w:shd w:val="clear" w:color="auto" w:fill="auto"/>
            <w:noWrap/>
            <w:hideMark/>
          </w:tcPr>
          <w:p w14:paraId="70E7EB5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C77</w:t>
            </w:r>
          </w:p>
        </w:tc>
        <w:tc>
          <w:tcPr>
            <w:tcW w:w="2127" w:type="dxa"/>
          </w:tcPr>
          <w:p w14:paraId="70E7EB5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hecho de que el impacto de la aplicación inicial de una NIIF nueva no se conoce o no es razonablemente estimable</w:t>
            </w:r>
          </w:p>
        </w:tc>
        <w:tc>
          <w:tcPr>
            <w:tcW w:w="8363" w:type="dxa"/>
            <w:shd w:val="clear" w:color="auto" w:fill="auto"/>
            <w:noWrap/>
            <w:hideMark/>
          </w:tcPr>
          <w:p w14:paraId="70E7EB5B" w14:textId="7B4EC8A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0" w14:textId="77777777" w:rsidTr="00241880">
        <w:trPr>
          <w:trHeight w:val="300"/>
        </w:trPr>
        <w:tc>
          <w:tcPr>
            <w:tcW w:w="562" w:type="dxa"/>
            <w:shd w:val="clear" w:color="auto" w:fill="auto"/>
            <w:noWrap/>
            <w:hideMark/>
          </w:tcPr>
          <w:p w14:paraId="70E7EB5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C78</w:t>
            </w:r>
          </w:p>
        </w:tc>
        <w:tc>
          <w:tcPr>
            <w:tcW w:w="2127" w:type="dxa"/>
          </w:tcPr>
          <w:p w14:paraId="70E7EB5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la razón por la que es impracticable determinar importes de ajustes relacionados con cambios en políticas contables </w:t>
            </w:r>
          </w:p>
        </w:tc>
        <w:tc>
          <w:tcPr>
            <w:tcW w:w="8363" w:type="dxa"/>
            <w:shd w:val="clear" w:color="auto" w:fill="auto"/>
            <w:noWrap/>
            <w:hideMark/>
          </w:tcPr>
          <w:p w14:paraId="70E7EB5F" w14:textId="3F512BF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4" w14:textId="77777777" w:rsidTr="00241880">
        <w:trPr>
          <w:trHeight w:val="300"/>
        </w:trPr>
        <w:tc>
          <w:tcPr>
            <w:tcW w:w="562" w:type="dxa"/>
            <w:shd w:val="clear" w:color="auto" w:fill="auto"/>
            <w:noWrap/>
            <w:hideMark/>
          </w:tcPr>
          <w:p w14:paraId="70E7EB6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C79</w:t>
            </w:r>
          </w:p>
        </w:tc>
        <w:tc>
          <w:tcPr>
            <w:tcW w:w="2127" w:type="dxa"/>
          </w:tcPr>
          <w:p w14:paraId="70E7EB62" w14:textId="0094ADD2"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cambios en las estimaciones contables</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63" w14:textId="0A45A57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8" w14:textId="77777777" w:rsidTr="00241880">
        <w:trPr>
          <w:trHeight w:val="300"/>
        </w:trPr>
        <w:tc>
          <w:tcPr>
            <w:tcW w:w="562" w:type="dxa"/>
            <w:shd w:val="clear" w:color="auto" w:fill="auto"/>
            <w:noWrap/>
            <w:hideMark/>
          </w:tcPr>
          <w:p w14:paraId="70E7EB6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C80</w:t>
            </w:r>
          </w:p>
        </w:tc>
        <w:tc>
          <w:tcPr>
            <w:tcW w:w="2127" w:type="dxa"/>
          </w:tcPr>
          <w:p w14:paraId="70E7EB6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cambios en las estimaciones contables [partidas de los estados financieros]</w:t>
            </w:r>
          </w:p>
        </w:tc>
        <w:tc>
          <w:tcPr>
            <w:tcW w:w="8363" w:type="dxa"/>
            <w:shd w:val="clear" w:color="auto" w:fill="auto"/>
            <w:noWrap/>
            <w:hideMark/>
          </w:tcPr>
          <w:p w14:paraId="70E7EB67" w14:textId="36FA32CD"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6C" w14:textId="77777777" w:rsidTr="00241880">
        <w:trPr>
          <w:trHeight w:val="300"/>
        </w:trPr>
        <w:tc>
          <w:tcPr>
            <w:tcW w:w="562" w:type="dxa"/>
            <w:shd w:val="clear" w:color="auto" w:fill="auto"/>
            <w:noWrap/>
            <w:hideMark/>
          </w:tcPr>
          <w:p w14:paraId="70E7EB6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C81</w:t>
            </w:r>
          </w:p>
        </w:tc>
        <w:tc>
          <w:tcPr>
            <w:tcW w:w="2127" w:type="dxa"/>
          </w:tcPr>
          <w:p w14:paraId="70E7EB6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cambio en estimación contable</w:t>
            </w:r>
          </w:p>
        </w:tc>
        <w:tc>
          <w:tcPr>
            <w:tcW w:w="8363" w:type="dxa"/>
            <w:shd w:val="clear" w:color="auto" w:fill="auto"/>
            <w:noWrap/>
            <w:hideMark/>
          </w:tcPr>
          <w:p w14:paraId="70E7EB6B" w14:textId="1F5ECCF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0" w14:textId="77777777" w:rsidTr="00241880">
        <w:trPr>
          <w:trHeight w:val="300"/>
        </w:trPr>
        <w:tc>
          <w:tcPr>
            <w:tcW w:w="562" w:type="dxa"/>
            <w:shd w:val="clear" w:color="auto" w:fill="auto"/>
            <w:noWrap/>
            <w:hideMark/>
          </w:tcPr>
          <w:p w14:paraId="70E7EB6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C82</w:t>
            </w:r>
          </w:p>
        </w:tc>
        <w:tc>
          <w:tcPr>
            <w:tcW w:w="2127" w:type="dxa"/>
          </w:tcPr>
          <w:p w14:paraId="70E7EB6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del hecho de que el importe del cambio en una estimación contable es impracticable</w:t>
            </w:r>
          </w:p>
        </w:tc>
        <w:tc>
          <w:tcPr>
            <w:tcW w:w="8363" w:type="dxa"/>
            <w:shd w:val="clear" w:color="auto" w:fill="auto"/>
            <w:noWrap/>
            <w:hideMark/>
          </w:tcPr>
          <w:p w14:paraId="70E7EB6F" w14:textId="3B9E3C9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4" w14:textId="77777777" w:rsidTr="00241880">
        <w:trPr>
          <w:trHeight w:val="300"/>
        </w:trPr>
        <w:tc>
          <w:tcPr>
            <w:tcW w:w="562" w:type="dxa"/>
            <w:shd w:val="clear" w:color="auto" w:fill="auto"/>
            <w:noWrap/>
            <w:hideMark/>
          </w:tcPr>
          <w:p w14:paraId="70E7EB7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C83</w:t>
            </w:r>
          </w:p>
        </w:tc>
        <w:tc>
          <w:tcPr>
            <w:tcW w:w="2127" w:type="dxa"/>
          </w:tcPr>
          <w:p w14:paraId="70E7EB7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errores contables de periodos anteriores</w:t>
            </w:r>
          </w:p>
        </w:tc>
        <w:tc>
          <w:tcPr>
            <w:tcW w:w="8363" w:type="dxa"/>
            <w:shd w:val="clear" w:color="auto" w:fill="auto"/>
            <w:noWrap/>
            <w:hideMark/>
          </w:tcPr>
          <w:p w14:paraId="70E7EB73" w14:textId="0741314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8" w14:textId="77777777" w:rsidTr="00241880">
        <w:trPr>
          <w:trHeight w:val="300"/>
        </w:trPr>
        <w:tc>
          <w:tcPr>
            <w:tcW w:w="562" w:type="dxa"/>
            <w:shd w:val="clear" w:color="auto" w:fill="auto"/>
            <w:noWrap/>
            <w:hideMark/>
          </w:tcPr>
          <w:p w14:paraId="70E7EB7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C84</w:t>
            </w:r>
          </w:p>
        </w:tc>
        <w:tc>
          <w:tcPr>
            <w:tcW w:w="2127" w:type="dxa"/>
          </w:tcPr>
          <w:p w14:paraId="70E7EB7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razón por la que es impracticable determinar importes por correcciones relacionadas con errores de periodos anteriores</w:t>
            </w:r>
          </w:p>
        </w:tc>
        <w:tc>
          <w:tcPr>
            <w:tcW w:w="8363" w:type="dxa"/>
            <w:shd w:val="clear" w:color="auto" w:fill="auto"/>
            <w:noWrap/>
            <w:hideMark/>
          </w:tcPr>
          <w:p w14:paraId="70E7EB77" w14:textId="369111D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7C" w14:textId="77777777" w:rsidTr="00241880">
        <w:trPr>
          <w:trHeight w:val="300"/>
        </w:trPr>
        <w:tc>
          <w:tcPr>
            <w:tcW w:w="562" w:type="dxa"/>
            <w:shd w:val="clear" w:color="auto" w:fill="auto"/>
            <w:noWrap/>
            <w:hideMark/>
          </w:tcPr>
          <w:p w14:paraId="70E7EB7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C85</w:t>
            </w:r>
          </w:p>
        </w:tc>
        <w:tc>
          <w:tcPr>
            <w:tcW w:w="2127" w:type="dxa"/>
          </w:tcPr>
          <w:p w14:paraId="70E7EB7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hechos ocurridos después del periodo sobre el que se informa</w:t>
            </w:r>
          </w:p>
        </w:tc>
        <w:tc>
          <w:tcPr>
            <w:tcW w:w="8363" w:type="dxa"/>
            <w:shd w:val="clear" w:color="auto" w:fill="auto"/>
            <w:noWrap/>
            <w:hideMark/>
          </w:tcPr>
          <w:p w14:paraId="70E7EB7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 No se han presentado o no se conocen hecho ocurridos </w:t>
            </w:r>
            <w:r w:rsidR="00DE5C8E" w:rsidRPr="00E258E3">
              <w:rPr>
                <w:rFonts w:ascii="Arial Narrow" w:eastAsia="Times New Roman" w:hAnsi="Arial Narrow" w:cs="Calibri"/>
                <w:color w:val="000000"/>
                <w:sz w:val="20"/>
                <w:szCs w:val="20"/>
                <w:lang w:eastAsia="es-CO"/>
              </w:rPr>
              <w:t>después</w:t>
            </w:r>
            <w:r w:rsidRPr="00E258E3">
              <w:rPr>
                <w:rFonts w:ascii="Arial Narrow" w:eastAsia="Times New Roman" w:hAnsi="Arial Narrow" w:cs="Calibri"/>
                <w:color w:val="000000"/>
                <w:sz w:val="20"/>
                <w:szCs w:val="20"/>
                <w:lang w:eastAsia="es-CO"/>
              </w:rPr>
              <w:t xml:space="preserve"> del cierre del periodo sobre el que se informa que puedan tener un impacto importante en los estados financieros de la entidad.</w:t>
            </w:r>
          </w:p>
        </w:tc>
      </w:tr>
      <w:tr w:rsidR="000B7B01" w:rsidRPr="00E258E3" w14:paraId="70E7EB80" w14:textId="77777777" w:rsidTr="00241880">
        <w:trPr>
          <w:trHeight w:val="300"/>
        </w:trPr>
        <w:tc>
          <w:tcPr>
            <w:tcW w:w="562" w:type="dxa"/>
            <w:shd w:val="clear" w:color="auto" w:fill="auto"/>
            <w:noWrap/>
            <w:hideMark/>
          </w:tcPr>
          <w:p w14:paraId="70E7EB7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C86</w:t>
            </w:r>
          </w:p>
        </w:tc>
        <w:tc>
          <w:tcPr>
            <w:tcW w:w="2127" w:type="dxa"/>
          </w:tcPr>
          <w:p w14:paraId="70E7EB7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órgano de autorización</w:t>
            </w:r>
          </w:p>
        </w:tc>
        <w:tc>
          <w:tcPr>
            <w:tcW w:w="8363" w:type="dxa"/>
            <w:shd w:val="clear" w:color="auto" w:fill="auto"/>
            <w:noWrap/>
            <w:hideMark/>
          </w:tcPr>
          <w:p w14:paraId="70E7EB7F" w14:textId="52F8B14A"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Asamblea</w:t>
            </w:r>
            <w:r w:rsidR="00E258E3" w:rsidRPr="00E258E3">
              <w:rPr>
                <w:rFonts w:ascii="Arial Narrow" w:eastAsia="Times New Roman" w:hAnsi="Arial Narrow" w:cs="Calibri"/>
                <w:color w:val="000000"/>
                <w:sz w:val="20"/>
                <w:szCs w:val="20"/>
                <w:lang w:eastAsia="es-CO"/>
              </w:rPr>
              <w:t xml:space="preserve"> </w:t>
            </w:r>
          </w:p>
        </w:tc>
      </w:tr>
      <w:tr w:rsidR="000B7B01" w:rsidRPr="00E258E3" w14:paraId="70E7EB84" w14:textId="77777777" w:rsidTr="00241880">
        <w:trPr>
          <w:trHeight w:val="300"/>
        </w:trPr>
        <w:tc>
          <w:tcPr>
            <w:tcW w:w="562" w:type="dxa"/>
            <w:shd w:val="clear" w:color="auto" w:fill="auto"/>
            <w:noWrap/>
            <w:hideMark/>
          </w:tcPr>
          <w:p w14:paraId="70E7EB8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C87</w:t>
            </w:r>
          </w:p>
        </w:tc>
        <w:tc>
          <w:tcPr>
            <w:tcW w:w="2127" w:type="dxa"/>
          </w:tcPr>
          <w:p w14:paraId="70E7EB8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hecho de que los propietarios de la entidad u otros tengan poder para modificar los estados financieros tras la publicación</w:t>
            </w:r>
          </w:p>
        </w:tc>
        <w:tc>
          <w:tcPr>
            <w:tcW w:w="8363" w:type="dxa"/>
            <w:shd w:val="clear" w:color="auto" w:fill="auto"/>
            <w:noWrap/>
            <w:hideMark/>
          </w:tcPr>
          <w:p w14:paraId="70E7EB8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ES LA MAXIMA AUTORIDAD PERMANENTE de la entidad y responsable de la definición de las politicas contables.</w:t>
            </w:r>
          </w:p>
        </w:tc>
      </w:tr>
      <w:tr w:rsidR="000B7B01" w:rsidRPr="00E258E3" w14:paraId="70E7EB88" w14:textId="77777777" w:rsidTr="00241880">
        <w:trPr>
          <w:trHeight w:val="300"/>
        </w:trPr>
        <w:tc>
          <w:tcPr>
            <w:tcW w:w="562" w:type="dxa"/>
            <w:shd w:val="clear" w:color="auto" w:fill="auto"/>
            <w:noWrap/>
            <w:hideMark/>
          </w:tcPr>
          <w:p w14:paraId="70E7EB8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C88</w:t>
            </w:r>
          </w:p>
        </w:tc>
        <w:tc>
          <w:tcPr>
            <w:tcW w:w="2127" w:type="dxa"/>
          </w:tcPr>
          <w:p w14:paraId="70E7EB86" w14:textId="52DD2C2D"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hechos ocurridos después del periodo sobre el que se informa que no implican ajuste</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87" w14:textId="20BC089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8C" w14:textId="77777777" w:rsidTr="00241880">
        <w:trPr>
          <w:trHeight w:val="300"/>
        </w:trPr>
        <w:tc>
          <w:tcPr>
            <w:tcW w:w="562" w:type="dxa"/>
            <w:shd w:val="clear" w:color="auto" w:fill="auto"/>
            <w:noWrap/>
            <w:hideMark/>
          </w:tcPr>
          <w:p w14:paraId="70E7EB8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C89</w:t>
            </w:r>
          </w:p>
        </w:tc>
        <w:tc>
          <w:tcPr>
            <w:tcW w:w="2127" w:type="dxa"/>
          </w:tcPr>
          <w:p w14:paraId="70E7EB8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hechos ocurridos después del periodo sobre el que se informa que no implican ajuste [partidas de los estados financieros]</w:t>
            </w:r>
          </w:p>
        </w:tc>
        <w:tc>
          <w:tcPr>
            <w:tcW w:w="8363" w:type="dxa"/>
            <w:shd w:val="clear" w:color="auto" w:fill="auto"/>
            <w:noWrap/>
            <w:hideMark/>
          </w:tcPr>
          <w:p w14:paraId="70E7EB8B" w14:textId="247B012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90" w14:textId="77777777" w:rsidTr="00241880">
        <w:trPr>
          <w:trHeight w:val="300"/>
        </w:trPr>
        <w:tc>
          <w:tcPr>
            <w:tcW w:w="562" w:type="dxa"/>
            <w:shd w:val="clear" w:color="auto" w:fill="auto"/>
            <w:noWrap/>
            <w:hideMark/>
          </w:tcPr>
          <w:p w14:paraId="70E7EB8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C90</w:t>
            </w:r>
          </w:p>
        </w:tc>
        <w:tc>
          <w:tcPr>
            <w:tcW w:w="2127" w:type="dxa"/>
          </w:tcPr>
          <w:p w14:paraId="70E7EB8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hechos ocurridos después del periodo sobre el que se informa que no implican ajuste</w:t>
            </w:r>
          </w:p>
        </w:tc>
        <w:tc>
          <w:tcPr>
            <w:tcW w:w="8363" w:type="dxa"/>
            <w:shd w:val="clear" w:color="auto" w:fill="auto"/>
            <w:noWrap/>
            <w:hideMark/>
          </w:tcPr>
          <w:p w14:paraId="70E7EB8F" w14:textId="3E964C1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94" w14:textId="77777777" w:rsidTr="00241880">
        <w:trPr>
          <w:trHeight w:val="300"/>
        </w:trPr>
        <w:tc>
          <w:tcPr>
            <w:tcW w:w="562" w:type="dxa"/>
            <w:shd w:val="clear" w:color="auto" w:fill="auto"/>
            <w:noWrap/>
            <w:hideMark/>
          </w:tcPr>
          <w:p w14:paraId="70E7EB9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C91</w:t>
            </w:r>
          </w:p>
        </w:tc>
        <w:tc>
          <w:tcPr>
            <w:tcW w:w="2127" w:type="dxa"/>
          </w:tcPr>
          <w:p w14:paraId="70E7EB9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financiero de hechos ocurridos después del periodo sobre el que se informa que no implican ajuste</w:t>
            </w:r>
          </w:p>
        </w:tc>
        <w:tc>
          <w:tcPr>
            <w:tcW w:w="8363" w:type="dxa"/>
            <w:shd w:val="clear" w:color="auto" w:fill="auto"/>
            <w:noWrap/>
            <w:hideMark/>
          </w:tcPr>
          <w:p w14:paraId="70E7EB93" w14:textId="34219C34"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98" w14:textId="77777777" w:rsidTr="00241880">
        <w:trPr>
          <w:trHeight w:val="300"/>
        </w:trPr>
        <w:tc>
          <w:tcPr>
            <w:tcW w:w="562" w:type="dxa"/>
            <w:shd w:val="clear" w:color="auto" w:fill="auto"/>
            <w:noWrap/>
            <w:hideMark/>
          </w:tcPr>
          <w:p w14:paraId="70E7EB9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C92</w:t>
            </w:r>
          </w:p>
        </w:tc>
        <w:tc>
          <w:tcPr>
            <w:tcW w:w="2127" w:type="dxa"/>
          </w:tcPr>
          <w:p w14:paraId="70E7EB9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partes relacionadas</w:t>
            </w:r>
          </w:p>
        </w:tc>
        <w:tc>
          <w:tcPr>
            <w:tcW w:w="8363" w:type="dxa"/>
            <w:shd w:val="clear" w:color="auto" w:fill="auto"/>
            <w:noWrap/>
            <w:hideMark/>
          </w:tcPr>
          <w:p w14:paraId="70E7EB97" w14:textId="330010B5"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T</w:t>
            </w:r>
            <w:r w:rsidR="000B7B01" w:rsidRPr="00E258E3">
              <w:rPr>
                <w:rFonts w:ascii="Arial Narrow" w:eastAsia="Times New Roman" w:hAnsi="Arial Narrow" w:cs="Calibri"/>
                <w:color w:val="000000"/>
                <w:sz w:val="20"/>
                <w:szCs w:val="20"/>
                <w:lang w:eastAsia="es-CO"/>
              </w:rPr>
              <w:t>odas las transacciones sea que tengan precio o no realizadas con las personas</w:t>
            </w:r>
            <w:r w:rsidR="00E258E3" w:rsidRPr="00E258E3">
              <w:rPr>
                <w:rFonts w:ascii="Arial Narrow" w:eastAsia="Times New Roman" w:hAnsi="Arial Narrow" w:cs="Calibri"/>
                <w:color w:val="000000"/>
                <w:sz w:val="20"/>
                <w:szCs w:val="20"/>
                <w:lang w:eastAsia="es-CO"/>
              </w:rPr>
              <w:t xml:space="preserve"> </w:t>
            </w:r>
            <w:r w:rsidR="000B7B01" w:rsidRPr="00E258E3">
              <w:rPr>
                <w:rFonts w:ascii="Arial Narrow" w:eastAsia="Times New Roman" w:hAnsi="Arial Narrow" w:cs="Calibri"/>
                <w:color w:val="000000"/>
                <w:sz w:val="20"/>
                <w:szCs w:val="20"/>
                <w:lang w:eastAsia="es-CO"/>
              </w:rPr>
              <w:t xml:space="preserve">que tienen el control o la influencia significativa sobre las </w:t>
            </w:r>
            <w:r w:rsidR="006903A2" w:rsidRPr="00E258E3">
              <w:rPr>
                <w:rFonts w:ascii="Arial Narrow" w:eastAsia="Times New Roman" w:hAnsi="Arial Narrow" w:cs="Calibri"/>
                <w:color w:val="000000"/>
                <w:sz w:val="20"/>
                <w:szCs w:val="20"/>
                <w:lang w:eastAsia="es-CO"/>
              </w:rPr>
              <w:t>políticas</w:t>
            </w:r>
            <w:r w:rsidR="000B7B01" w:rsidRPr="00E258E3">
              <w:rPr>
                <w:rFonts w:ascii="Arial Narrow" w:eastAsia="Times New Roman" w:hAnsi="Arial Narrow" w:cs="Calibri"/>
                <w:color w:val="000000"/>
                <w:sz w:val="20"/>
                <w:szCs w:val="20"/>
                <w:lang w:eastAsia="es-CO"/>
              </w:rPr>
              <w:t xml:space="preserve"> de la entidad y sus operaciones </w:t>
            </w:r>
            <w:r w:rsidR="006200B9" w:rsidRPr="00E258E3">
              <w:rPr>
                <w:rFonts w:ascii="Arial Narrow" w:eastAsia="Times New Roman" w:hAnsi="Arial Narrow" w:cs="Calibri"/>
                <w:color w:val="000000"/>
                <w:sz w:val="20"/>
                <w:szCs w:val="20"/>
                <w:lang w:eastAsia="es-CO"/>
              </w:rPr>
              <w:t>así</w:t>
            </w:r>
            <w:r w:rsidR="000B7B01" w:rsidRPr="00E258E3">
              <w:rPr>
                <w:rFonts w:ascii="Arial Narrow" w:eastAsia="Times New Roman" w:hAnsi="Arial Narrow" w:cs="Calibri"/>
                <w:color w:val="000000"/>
                <w:sz w:val="20"/>
                <w:szCs w:val="20"/>
                <w:lang w:eastAsia="es-CO"/>
              </w:rPr>
              <w:t xml:space="preserve"> como con sus familiares o empresas controladas por estos.</w:t>
            </w:r>
          </w:p>
        </w:tc>
      </w:tr>
      <w:tr w:rsidR="000B7B01" w:rsidRPr="00E258E3" w14:paraId="70E7EB9C" w14:textId="77777777" w:rsidTr="00241880">
        <w:trPr>
          <w:trHeight w:val="300"/>
        </w:trPr>
        <w:tc>
          <w:tcPr>
            <w:tcW w:w="562" w:type="dxa"/>
            <w:shd w:val="clear" w:color="auto" w:fill="auto"/>
            <w:noWrap/>
            <w:hideMark/>
          </w:tcPr>
          <w:p w14:paraId="70E7EB9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C93</w:t>
            </w:r>
          </w:p>
        </w:tc>
        <w:tc>
          <w:tcPr>
            <w:tcW w:w="2127" w:type="dxa"/>
          </w:tcPr>
          <w:p w14:paraId="70E7EB9A" w14:textId="0FC7318E"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entidad controladora</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9B" w14:textId="207F566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A0" w14:textId="77777777" w:rsidTr="00241880">
        <w:trPr>
          <w:trHeight w:val="300"/>
        </w:trPr>
        <w:tc>
          <w:tcPr>
            <w:tcW w:w="562" w:type="dxa"/>
            <w:shd w:val="clear" w:color="auto" w:fill="auto"/>
            <w:noWrap/>
            <w:hideMark/>
          </w:tcPr>
          <w:p w14:paraId="70E7EB9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C94</w:t>
            </w:r>
          </w:p>
        </w:tc>
        <w:tc>
          <w:tcPr>
            <w:tcW w:w="2127" w:type="dxa"/>
          </w:tcPr>
          <w:p w14:paraId="70E7EB9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 la controladora última del grupo</w:t>
            </w:r>
          </w:p>
        </w:tc>
        <w:tc>
          <w:tcPr>
            <w:tcW w:w="8363" w:type="dxa"/>
            <w:shd w:val="clear" w:color="auto" w:fill="auto"/>
            <w:noWrap/>
            <w:hideMark/>
          </w:tcPr>
          <w:p w14:paraId="70E7EB9F" w14:textId="73B27DD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A4" w14:textId="77777777" w:rsidTr="00241880">
        <w:trPr>
          <w:trHeight w:val="300"/>
        </w:trPr>
        <w:tc>
          <w:tcPr>
            <w:tcW w:w="562" w:type="dxa"/>
            <w:shd w:val="clear" w:color="auto" w:fill="auto"/>
            <w:noWrap/>
            <w:hideMark/>
          </w:tcPr>
          <w:p w14:paraId="70E7EBA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C95</w:t>
            </w:r>
          </w:p>
        </w:tc>
        <w:tc>
          <w:tcPr>
            <w:tcW w:w="2127" w:type="dxa"/>
          </w:tcPr>
          <w:p w14:paraId="70E7EBA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El nombre de la controladora intermedia más próxima que elabora estados financieros disponibles públicamente</w:t>
            </w:r>
          </w:p>
        </w:tc>
        <w:tc>
          <w:tcPr>
            <w:tcW w:w="8363" w:type="dxa"/>
            <w:shd w:val="clear" w:color="auto" w:fill="auto"/>
            <w:noWrap/>
            <w:hideMark/>
          </w:tcPr>
          <w:p w14:paraId="70E7EBA3" w14:textId="1BF96A1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A8" w14:textId="77777777" w:rsidTr="00241880">
        <w:trPr>
          <w:trHeight w:val="300"/>
        </w:trPr>
        <w:tc>
          <w:tcPr>
            <w:tcW w:w="562" w:type="dxa"/>
            <w:shd w:val="clear" w:color="auto" w:fill="auto"/>
            <w:noWrap/>
            <w:hideMark/>
          </w:tcPr>
          <w:p w14:paraId="70E7EBA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C96</w:t>
            </w:r>
          </w:p>
        </w:tc>
        <w:tc>
          <w:tcPr>
            <w:tcW w:w="2127" w:type="dxa"/>
          </w:tcPr>
          <w:p w14:paraId="70E7EBA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relación entre controladoras y subsidiarias</w:t>
            </w:r>
          </w:p>
        </w:tc>
        <w:tc>
          <w:tcPr>
            <w:tcW w:w="8363" w:type="dxa"/>
            <w:shd w:val="clear" w:color="auto" w:fill="auto"/>
            <w:noWrap/>
            <w:hideMark/>
          </w:tcPr>
          <w:p w14:paraId="70E7EBA7" w14:textId="6CD6657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B3" w14:textId="77777777" w:rsidTr="00241880">
        <w:trPr>
          <w:trHeight w:val="300"/>
        </w:trPr>
        <w:tc>
          <w:tcPr>
            <w:tcW w:w="562" w:type="dxa"/>
            <w:shd w:val="clear" w:color="auto" w:fill="auto"/>
            <w:noWrap/>
            <w:hideMark/>
          </w:tcPr>
          <w:p w14:paraId="70E7EBA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C97</w:t>
            </w:r>
          </w:p>
        </w:tc>
        <w:tc>
          <w:tcPr>
            <w:tcW w:w="2127" w:type="dxa"/>
          </w:tcPr>
          <w:p w14:paraId="70E7EBAA" w14:textId="043BB3FA"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transacciones entre partes relacionadas</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AB"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w:t>
            </w:r>
            <w:r w:rsidR="000B7B01" w:rsidRPr="00E258E3">
              <w:rPr>
                <w:rFonts w:ascii="Arial Narrow" w:eastAsia="Times New Roman" w:hAnsi="Arial Narrow" w:cs="Calibri"/>
                <w:color w:val="000000"/>
                <w:sz w:val="20"/>
                <w:szCs w:val="20"/>
                <w:lang w:eastAsia="es-CO"/>
              </w:rPr>
              <w:t xml:space="preserve">mportes iniciales </w:t>
            </w:r>
          </w:p>
          <w:p w14:paraId="70E7EBAC"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saldos</w:t>
            </w:r>
          </w:p>
          <w:p w14:paraId="70E7EBAD"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estado actual</w:t>
            </w:r>
          </w:p>
          <w:p w14:paraId="70E7EBAE"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deterioro</w:t>
            </w:r>
          </w:p>
          <w:p w14:paraId="70E7EBA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castigos</w:t>
            </w:r>
          </w:p>
          <w:p w14:paraId="70E7EBB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ingresos</w:t>
            </w:r>
          </w:p>
          <w:p w14:paraId="70E7EBB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gastos</w:t>
            </w:r>
          </w:p>
          <w:p w14:paraId="70E7EBB2"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garantías</w:t>
            </w:r>
          </w:p>
        </w:tc>
      </w:tr>
      <w:tr w:rsidR="000B7B01" w:rsidRPr="00E258E3" w14:paraId="70E7EBBA" w14:textId="77777777" w:rsidTr="00241880">
        <w:trPr>
          <w:trHeight w:val="300"/>
        </w:trPr>
        <w:tc>
          <w:tcPr>
            <w:tcW w:w="562" w:type="dxa"/>
            <w:shd w:val="clear" w:color="auto" w:fill="auto"/>
            <w:noWrap/>
            <w:hideMark/>
          </w:tcPr>
          <w:p w14:paraId="70E7EBB4"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C98</w:t>
            </w:r>
          </w:p>
        </w:tc>
        <w:tc>
          <w:tcPr>
            <w:tcW w:w="2127" w:type="dxa"/>
          </w:tcPr>
          <w:p w14:paraId="70E7EBB5"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transacciones entre partes relacionadas [partidas de los estados financieros]</w:t>
            </w:r>
          </w:p>
        </w:tc>
        <w:tc>
          <w:tcPr>
            <w:tcW w:w="8363" w:type="dxa"/>
            <w:shd w:val="clear" w:color="auto" w:fill="auto"/>
            <w:noWrap/>
            <w:hideMark/>
          </w:tcPr>
          <w:p w14:paraId="70E7EBB6"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Pagos efectuados a la Gerencia como un todo</w:t>
            </w:r>
          </w:p>
          <w:p w14:paraId="70E7EBB7" w14:textId="6EBDBAE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naturaleza de la </w:t>
            </w:r>
            <w:r w:rsidR="006200B9" w:rsidRPr="00E258E3">
              <w:rPr>
                <w:rFonts w:ascii="Arial Narrow" w:eastAsia="Times New Roman" w:hAnsi="Arial Narrow" w:cs="Calibri"/>
                <w:color w:val="000000"/>
                <w:sz w:val="20"/>
                <w:szCs w:val="20"/>
                <w:lang w:eastAsia="es-CO"/>
              </w:rPr>
              <w:t>transacción</w:t>
            </w:r>
            <w:r w:rsidRPr="00E258E3">
              <w:rPr>
                <w:rFonts w:ascii="Arial Narrow" w:eastAsia="Times New Roman" w:hAnsi="Arial Narrow" w:cs="Calibri"/>
                <w:color w:val="000000"/>
                <w:sz w:val="20"/>
                <w:szCs w:val="20"/>
                <w:lang w:eastAsia="es-CO"/>
              </w:rPr>
              <w:t xml:space="preserve"> importes y condiciones en general:</w:t>
            </w:r>
            <w:r w:rsidR="00E258E3" w:rsidRPr="00E258E3">
              <w:rPr>
                <w:rFonts w:ascii="Arial Narrow" w:eastAsia="Times New Roman" w:hAnsi="Arial Narrow" w:cs="Calibri"/>
                <w:color w:val="000000"/>
                <w:sz w:val="20"/>
                <w:szCs w:val="20"/>
                <w:lang w:eastAsia="es-CO"/>
              </w:rPr>
              <w:t xml:space="preserve"> </w:t>
            </w:r>
            <w:r w:rsidRPr="00E258E3">
              <w:rPr>
                <w:rFonts w:ascii="Arial Narrow" w:eastAsia="Times New Roman" w:hAnsi="Arial Narrow" w:cs="Calibri"/>
                <w:color w:val="000000"/>
                <w:sz w:val="20"/>
                <w:szCs w:val="20"/>
                <w:lang w:eastAsia="es-CO"/>
              </w:rPr>
              <w:t xml:space="preserve">tasas / plazos / </w:t>
            </w:r>
            <w:proofErr w:type="spellStart"/>
            <w:r w:rsidRPr="00E258E3">
              <w:rPr>
                <w:rFonts w:ascii="Arial Narrow" w:eastAsia="Times New Roman" w:hAnsi="Arial Narrow" w:cs="Calibri"/>
                <w:color w:val="000000"/>
                <w:sz w:val="20"/>
                <w:szCs w:val="20"/>
                <w:lang w:eastAsia="es-CO"/>
              </w:rPr>
              <w:t>garantias</w:t>
            </w:r>
            <w:proofErr w:type="spellEnd"/>
            <w:r w:rsidRPr="00E258E3">
              <w:rPr>
                <w:rFonts w:ascii="Arial Narrow" w:eastAsia="Times New Roman" w:hAnsi="Arial Narrow" w:cs="Calibri"/>
                <w:color w:val="000000"/>
                <w:sz w:val="20"/>
                <w:szCs w:val="20"/>
                <w:lang w:eastAsia="es-CO"/>
              </w:rPr>
              <w:t xml:space="preserve"> / precios</w:t>
            </w:r>
          </w:p>
          <w:p w14:paraId="70E7EBB8" w14:textId="732E1970"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órgano</w:t>
            </w:r>
            <w:r w:rsidR="000B7B01" w:rsidRPr="00E258E3">
              <w:rPr>
                <w:rFonts w:ascii="Arial Narrow" w:eastAsia="Times New Roman" w:hAnsi="Arial Narrow" w:cs="Calibri"/>
                <w:color w:val="000000"/>
                <w:sz w:val="20"/>
                <w:szCs w:val="20"/>
                <w:lang w:eastAsia="es-CO"/>
              </w:rPr>
              <w:t xml:space="preserve"> de </w:t>
            </w:r>
            <w:r w:rsidRPr="00E258E3">
              <w:rPr>
                <w:rFonts w:ascii="Arial Narrow" w:eastAsia="Times New Roman" w:hAnsi="Arial Narrow" w:cs="Calibri"/>
                <w:color w:val="000000"/>
                <w:sz w:val="20"/>
                <w:szCs w:val="20"/>
                <w:lang w:eastAsia="es-CO"/>
              </w:rPr>
              <w:t>autorización</w:t>
            </w:r>
          </w:p>
          <w:p w14:paraId="70E7EBB9" w14:textId="007C7863"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Puede efectuarse si es verificable y cierto que todas las transacciones se efectuaron en las mismas condiciones en que se efectuaron o </w:t>
            </w:r>
            <w:r w:rsidR="006200B9" w:rsidRPr="00E258E3">
              <w:rPr>
                <w:rFonts w:ascii="Arial Narrow" w:eastAsia="Times New Roman" w:hAnsi="Arial Narrow" w:cs="Calibri"/>
                <w:color w:val="000000"/>
                <w:sz w:val="20"/>
                <w:szCs w:val="20"/>
                <w:lang w:eastAsia="es-CO"/>
              </w:rPr>
              <w:t>efectuarían</w:t>
            </w:r>
            <w:r w:rsidRPr="00E258E3">
              <w:rPr>
                <w:rFonts w:ascii="Arial Narrow" w:eastAsia="Times New Roman" w:hAnsi="Arial Narrow" w:cs="Calibri"/>
                <w:color w:val="000000"/>
                <w:sz w:val="20"/>
                <w:szCs w:val="20"/>
                <w:lang w:eastAsia="es-CO"/>
              </w:rPr>
              <w:t xml:space="preserve"> similares operaciones con terceros y asociados que no tienen el control de la entidad</w:t>
            </w:r>
          </w:p>
        </w:tc>
      </w:tr>
      <w:tr w:rsidR="000B7B01" w:rsidRPr="00E258E3" w14:paraId="70E7EBC5" w14:textId="77777777" w:rsidTr="00241880">
        <w:trPr>
          <w:trHeight w:val="300"/>
        </w:trPr>
        <w:tc>
          <w:tcPr>
            <w:tcW w:w="562" w:type="dxa"/>
            <w:shd w:val="clear" w:color="auto" w:fill="auto"/>
            <w:noWrap/>
            <w:hideMark/>
          </w:tcPr>
          <w:p w14:paraId="70E7EBB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C99</w:t>
            </w:r>
          </w:p>
        </w:tc>
        <w:tc>
          <w:tcPr>
            <w:tcW w:w="2127" w:type="dxa"/>
          </w:tcPr>
          <w:p w14:paraId="70E7EBB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transacciones con partes relacionadas</w:t>
            </w:r>
          </w:p>
        </w:tc>
        <w:tc>
          <w:tcPr>
            <w:tcW w:w="8363" w:type="dxa"/>
            <w:shd w:val="clear" w:color="auto" w:fill="auto"/>
            <w:noWrap/>
            <w:hideMark/>
          </w:tcPr>
          <w:p w14:paraId="70E7EBBD"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w:t>
            </w:r>
            <w:r w:rsidR="000B7B01" w:rsidRPr="00E258E3">
              <w:rPr>
                <w:rFonts w:ascii="Arial Narrow" w:eastAsia="Times New Roman" w:hAnsi="Arial Narrow" w:cs="Calibri"/>
                <w:color w:val="000000"/>
                <w:sz w:val="20"/>
                <w:szCs w:val="20"/>
                <w:lang w:eastAsia="es-CO"/>
              </w:rPr>
              <w:t>artera de creditos</w:t>
            </w:r>
          </w:p>
          <w:p w14:paraId="70E7EBBE" w14:textId="5A000FA0" w:rsidR="000B7B01" w:rsidRPr="00E258E3" w:rsidRDefault="006200B9"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depósitos</w:t>
            </w:r>
          </w:p>
          <w:p w14:paraId="70E7EBBF"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cuentas por cobrar</w:t>
            </w:r>
          </w:p>
          <w:p w14:paraId="70E7EBC0"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cuentas por pagar</w:t>
            </w:r>
          </w:p>
          <w:p w14:paraId="70E7EBC1"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ingresos por intereses de la cartera</w:t>
            </w:r>
          </w:p>
          <w:p w14:paraId="70E7EBC2"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gastos por beneficios a empleados honorarios transporte y similares</w:t>
            </w:r>
          </w:p>
          <w:p w14:paraId="70E7EBC3"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costos por intereses de </w:t>
            </w:r>
            <w:r w:rsidR="006903A2" w:rsidRPr="00E258E3">
              <w:rPr>
                <w:rFonts w:ascii="Arial Narrow" w:eastAsia="Times New Roman" w:hAnsi="Arial Narrow" w:cs="Calibri"/>
                <w:color w:val="000000"/>
                <w:sz w:val="20"/>
                <w:szCs w:val="20"/>
                <w:lang w:eastAsia="es-CO"/>
              </w:rPr>
              <w:t>depósitos</w:t>
            </w:r>
          </w:p>
          <w:p w14:paraId="70E7EBC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perdidas por deterioro de cartera o castigos de cartera y </w:t>
            </w:r>
            <w:proofErr w:type="spellStart"/>
            <w:r w:rsidRPr="00E258E3">
              <w:rPr>
                <w:rFonts w:ascii="Arial Narrow" w:eastAsia="Times New Roman" w:hAnsi="Arial Narrow" w:cs="Calibri"/>
                <w:color w:val="000000"/>
                <w:sz w:val="20"/>
                <w:szCs w:val="20"/>
                <w:lang w:eastAsia="es-CO"/>
              </w:rPr>
              <w:t>cxc</w:t>
            </w:r>
            <w:proofErr w:type="spellEnd"/>
          </w:p>
        </w:tc>
      </w:tr>
      <w:tr w:rsidR="000B7B01" w:rsidRPr="00E258E3" w14:paraId="70E7EBCC" w14:textId="77777777" w:rsidTr="00241880">
        <w:trPr>
          <w:trHeight w:val="300"/>
        </w:trPr>
        <w:tc>
          <w:tcPr>
            <w:tcW w:w="562" w:type="dxa"/>
            <w:shd w:val="clear" w:color="auto" w:fill="auto"/>
            <w:noWrap/>
            <w:hideMark/>
          </w:tcPr>
          <w:p w14:paraId="70E7EBC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C100</w:t>
            </w:r>
          </w:p>
        </w:tc>
        <w:tc>
          <w:tcPr>
            <w:tcW w:w="2127" w:type="dxa"/>
          </w:tcPr>
          <w:p w14:paraId="70E7EBC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la relación entre partes relacionadas</w:t>
            </w:r>
          </w:p>
        </w:tc>
        <w:tc>
          <w:tcPr>
            <w:tcW w:w="8363" w:type="dxa"/>
            <w:shd w:val="clear" w:color="auto" w:fill="auto"/>
            <w:noWrap/>
            <w:hideMark/>
          </w:tcPr>
          <w:p w14:paraId="70E7EBC8"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w:t>
            </w:r>
            <w:r w:rsidR="000B7B01" w:rsidRPr="00E258E3">
              <w:rPr>
                <w:rFonts w:ascii="Arial Narrow" w:eastAsia="Times New Roman" w:hAnsi="Arial Narrow" w:cs="Calibri"/>
                <w:color w:val="000000"/>
                <w:sz w:val="20"/>
                <w:szCs w:val="20"/>
                <w:lang w:eastAsia="es-CO"/>
              </w:rPr>
              <w:t>erente</w:t>
            </w:r>
          </w:p>
          <w:p w14:paraId="70E7EBC9" w14:textId="5D84974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Consejo de </w:t>
            </w:r>
            <w:r w:rsidR="006200B9" w:rsidRPr="00E258E3">
              <w:rPr>
                <w:rFonts w:ascii="Arial Narrow" w:eastAsia="Times New Roman" w:hAnsi="Arial Narrow" w:cs="Calibri"/>
                <w:color w:val="000000"/>
                <w:sz w:val="20"/>
                <w:szCs w:val="20"/>
                <w:lang w:eastAsia="es-CO"/>
              </w:rPr>
              <w:t>Administración</w:t>
            </w:r>
            <w:r w:rsidR="006200B9">
              <w:rPr>
                <w:rFonts w:ascii="Arial Narrow" w:eastAsia="Times New Roman" w:hAnsi="Arial Narrow" w:cs="Calibri"/>
                <w:color w:val="000000"/>
                <w:sz w:val="20"/>
                <w:szCs w:val="20"/>
                <w:lang w:eastAsia="es-CO"/>
              </w:rPr>
              <w:t xml:space="preserve"> y Junta de Vigilancia</w:t>
            </w:r>
          </w:p>
          <w:p w14:paraId="70E7EBCA"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xml:space="preserve">familiares hasta 4 grado de consanguinidad tercero de afinidad y </w:t>
            </w:r>
            <w:proofErr w:type="spellStart"/>
            <w:r w:rsidRPr="00E258E3">
              <w:rPr>
                <w:rFonts w:ascii="Arial Narrow" w:eastAsia="Times New Roman" w:hAnsi="Arial Narrow" w:cs="Calibri"/>
                <w:color w:val="000000"/>
                <w:sz w:val="20"/>
                <w:szCs w:val="20"/>
                <w:lang w:eastAsia="es-CO"/>
              </w:rPr>
              <w:t>unico</w:t>
            </w:r>
            <w:proofErr w:type="spellEnd"/>
            <w:r w:rsidRPr="00E258E3">
              <w:rPr>
                <w:rFonts w:ascii="Arial Narrow" w:eastAsia="Times New Roman" w:hAnsi="Arial Narrow" w:cs="Calibri"/>
                <w:color w:val="000000"/>
                <w:sz w:val="20"/>
                <w:szCs w:val="20"/>
                <w:lang w:eastAsia="es-CO"/>
              </w:rPr>
              <w:t xml:space="preserve"> civil</w:t>
            </w:r>
          </w:p>
          <w:p w14:paraId="70E7EBCB"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empresas donde los anteriores tengan control o influencia significativa </w:t>
            </w:r>
          </w:p>
        </w:tc>
      </w:tr>
      <w:tr w:rsidR="000B7B01" w:rsidRPr="00E258E3" w14:paraId="70E7EBD0" w14:textId="77777777" w:rsidTr="00241880">
        <w:trPr>
          <w:trHeight w:val="300"/>
        </w:trPr>
        <w:tc>
          <w:tcPr>
            <w:tcW w:w="562" w:type="dxa"/>
            <w:shd w:val="clear" w:color="auto" w:fill="auto"/>
            <w:noWrap/>
            <w:hideMark/>
          </w:tcPr>
          <w:p w14:paraId="70E7EBC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C101</w:t>
            </w:r>
          </w:p>
        </w:tc>
        <w:tc>
          <w:tcPr>
            <w:tcW w:w="2127" w:type="dxa"/>
          </w:tcPr>
          <w:p w14:paraId="70E7EBC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los términos y condiciones de saldos existentes por transacciones entre partes relacionadas</w:t>
            </w:r>
          </w:p>
        </w:tc>
        <w:tc>
          <w:tcPr>
            <w:tcW w:w="8363" w:type="dxa"/>
            <w:shd w:val="clear" w:color="auto" w:fill="auto"/>
            <w:noWrap/>
            <w:hideMark/>
          </w:tcPr>
          <w:p w14:paraId="70E7EBCF" w14:textId="77777777" w:rsidR="000B7B01" w:rsidRPr="00E258E3" w:rsidRDefault="006903A2"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L</w:t>
            </w:r>
            <w:r w:rsidR="000B7B01" w:rsidRPr="00E258E3">
              <w:rPr>
                <w:rFonts w:ascii="Arial Narrow" w:eastAsia="Times New Roman" w:hAnsi="Arial Narrow" w:cs="Calibri"/>
                <w:color w:val="000000"/>
                <w:sz w:val="20"/>
                <w:szCs w:val="20"/>
                <w:lang w:eastAsia="es-CO"/>
              </w:rPr>
              <w:t>as mismas establecidas para el general de los asociados para operaciones de la misma naturaleza</w:t>
            </w:r>
          </w:p>
        </w:tc>
      </w:tr>
      <w:tr w:rsidR="000B7B01" w:rsidRPr="00E258E3" w14:paraId="70E7EBD4" w14:textId="77777777" w:rsidTr="00241880">
        <w:trPr>
          <w:trHeight w:val="300"/>
        </w:trPr>
        <w:tc>
          <w:tcPr>
            <w:tcW w:w="562" w:type="dxa"/>
            <w:shd w:val="clear" w:color="auto" w:fill="auto"/>
            <w:noWrap/>
            <w:hideMark/>
          </w:tcPr>
          <w:p w14:paraId="70E7EBD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C102</w:t>
            </w:r>
          </w:p>
        </w:tc>
        <w:tc>
          <w:tcPr>
            <w:tcW w:w="2127" w:type="dxa"/>
          </w:tcPr>
          <w:p w14:paraId="70E7EBD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los detalles de garantías otorgadas o recibidas de saldos pendientes para transacciones con partes relacionadas </w:t>
            </w:r>
            <w:r w:rsidRPr="00E258E3">
              <w:rPr>
                <w:rFonts w:ascii="Arial Narrow" w:hAnsi="Arial Narrow" w:cs="Calibri"/>
                <w:color w:val="000000"/>
                <w:sz w:val="20"/>
                <w:szCs w:val="20"/>
              </w:rPr>
              <w:br/>
              <w:t xml:space="preserve">Explicación de los detalles de garantías otorgadas o recibidas de saldos pendientes para transacciones con partes relacionadas </w:t>
            </w:r>
          </w:p>
        </w:tc>
        <w:tc>
          <w:tcPr>
            <w:tcW w:w="8363" w:type="dxa"/>
            <w:shd w:val="clear" w:color="auto" w:fill="auto"/>
            <w:noWrap/>
            <w:hideMark/>
          </w:tcPr>
          <w:p w14:paraId="70E7EBD3" w14:textId="77777777"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Garantías</w:t>
            </w:r>
            <w:r w:rsidR="000B7B01" w:rsidRPr="00E258E3">
              <w:rPr>
                <w:rFonts w:ascii="Arial Narrow" w:eastAsia="Times New Roman" w:hAnsi="Arial Narrow" w:cs="Calibri"/>
                <w:color w:val="000000"/>
                <w:sz w:val="20"/>
                <w:szCs w:val="20"/>
                <w:lang w:eastAsia="es-CO"/>
              </w:rPr>
              <w:t xml:space="preserve"> personales o admisibles </w:t>
            </w:r>
            <w:r w:rsidR="006903A2" w:rsidRPr="00E258E3">
              <w:rPr>
                <w:rFonts w:ascii="Arial Narrow" w:eastAsia="Times New Roman" w:hAnsi="Arial Narrow" w:cs="Calibri"/>
                <w:color w:val="000000"/>
                <w:sz w:val="20"/>
                <w:szCs w:val="20"/>
                <w:lang w:eastAsia="es-CO"/>
              </w:rPr>
              <w:t>según</w:t>
            </w:r>
            <w:r w:rsidR="000B7B01" w:rsidRPr="00E258E3">
              <w:rPr>
                <w:rFonts w:ascii="Arial Narrow" w:eastAsia="Times New Roman" w:hAnsi="Arial Narrow" w:cs="Calibri"/>
                <w:color w:val="000000"/>
                <w:sz w:val="20"/>
                <w:szCs w:val="20"/>
                <w:lang w:eastAsia="es-CO"/>
              </w:rPr>
              <w:t xml:space="preserve"> lo determinado por los estatutos y reglamentos para todos los asociados sin privilegios o excepciones de ninguna naturaleza</w:t>
            </w:r>
          </w:p>
        </w:tc>
      </w:tr>
      <w:tr w:rsidR="000B7B01" w:rsidRPr="00E258E3" w14:paraId="70E7EBD8" w14:textId="77777777" w:rsidTr="00241880">
        <w:trPr>
          <w:trHeight w:val="300"/>
        </w:trPr>
        <w:tc>
          <w:tcPr>
            <w:tcW w:w="562" w:type="dxa"/>
            <w:shd w:val="clear" w:color="auto" w:fill="auto"/>
            <w:noWrap/>
            <w:hideMark/>
          </w:tcPr>
          <w:p w14:paraId="70E7EBD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C103</w:t>
            </w:r>
          </w:p>
        </w:tc>
        <w:tc>
          <w:tcPr>
            <w:tcW w:w="2127" w:type="dxa"/>
          </w:tcPr>
          <w:p w14:paraId="70E7EBD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importes incurridos por la entidad para la provisión de servicios de personal clave de la </w:t>
            </w:r>
            <w:r w:rsidRPr="00E258E3">
              <w:rPr>
                <w:rFonts w:ascii="Arial Narrow" w:hAnsi="Arial Narrow" w:cs="Calibri"/>
                <w:color w:val="000000"/>
                <w:sz w:val="20"/>
                <w:szCs w:val="20"/>
              </w:rPr>
              <w:lastRenderedPageBreak/>
              <w:t xml:space="preserve">gerencia </w:t>
            </w:r>
            <w:r w:rsidRPr="00E258E3">
              <w:rPr>
                <w:rFonts w:ascii="Arial Narrow" w:hAnsi="Arial Narrow" w:cs="Calibri"/>
                <w:color w:val="FF0000"/>
                <w:sz w:val="20"/>
                <w:szCs w:val="20"/>
              </w:rPr>
              <w:t>que se presten por una entidad de gestión separada</w:t>
            </w:r>
          </w:p>
        </w:tc>
        <w:tc>
          <w:tcPr>
            <w:tcW w:w="8363" w:type="dxa"/>
            <w:shd w:val="clear" w:color="auto" w:fill="auto"/>
            <w:noWrap/>
            <w:hideMark/>
          </w:tcPr>
          <w:p w14:paraId="70E7EBD7" w14:textId="26F97B68"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lastRenderedPageBreak/>
              <w:t>NO APLICA</w:t>
            </w:r>
            <w:r w:rsidR="000B7B01" w:rsidRPr="00E258E3">
              <w:rPr>
                <w:rFonts w:ascii="Arial Narrow" w:eastAsia="Times New Roman" w:hAnsi="Arial Narrow" w:cs="Calibri"/>
                <w:color w:val="000000"/>
                <w:sz w:val="20"/>
                <w:szCs w:val="20"/>
                <w:lang w:eastAsia="es-CO"/>
              </w:rPr>
              <w:t> </w:t>
            </w:r>
          </w:p>
        </w:tc>
      </w:tr>
      <w:tr w:rsidR="000B7B01" w:rsidRPr="00E258E3" w14:paraId="70E7EBDC" w14:textId="77777777" w:rsidTr="00241880">
        <w:trPr>
          <w:trHeight w:val="300"/>
        </w:trPr>
        <w:tc>
          <w:tcPr>
            <w:tcW w:w="562" w:type="dxa"/>
            <w:shd w:val="clear" w:color="auto" w:fill="auto"/>
            <w:noWrap/>
            <w:hideMark/>
          </w:tcPr>
          <w:p w14:paraId="70E7EBD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C104</w:t>
            </w:r>
          </w:p>
        </w:tc>
        <w:tc>
          <w:tcPr>
            <w:tcW w:w="2127" w:type="dxa"/>
          </w:tcPr>
          <w:p w14:paraId="70E7EBD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importes incurridos por la entidad para la provisión de servicios de personal clave de la gerencia que se presten por una entidad de gestión separada [partidas de los estados financieros] </w:t>
            </w:r>
          </w:p>
        </w:tc>
        <w:tc>
          <w:tcPr>
            <w:tcW w:w="8363" w:type="dxa"/>
            <w:shd w:val="clear" w:color="auto" w:fill="auto"/>
            <w:noWrap/>
            <w:hideMark/>
          </w:tcPr>
          <w:p w14:paraId="70E7EBDB" w14:textId="394DA65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E0" w14:textId="77777777" w:rsidTr="00241880">
        <w:trPr>
          <w:trHeight w:val="300"/>
        </w:trPr>
        <w:tc>
          <w:tcPr>
            <w:tcW w:w="562" w:type="dxa"/>
            <w:shd w:val="clear" w:color="auto" w:fill="auto"/>
            <w:noWrap/>
            <w:hideMark/>
          </w:tcPr>
          <w:p w14:paraId="70E7EBD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C105</w:t>
            </w:r>
          </w:p>
        </w:tc>
        <w:tc>
          <w:tcPr>
            <w:tcW w:w="2127" w:type="dxa"/>
          </w:tcPr>
          <w:p w14:paraId="70E7EBD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las transacciones con partes relacionadas se realizaron en condiciones equivalentes a las que predominan en transacción realizadas en condiciones de independencia mutua</w:t>
            </w:r>
          </w:p>
        </w:tc>
        <w:tc>
          <w:tcPr>
            <w:tcW w:w="8363" w:type="dxa"/>
            <w:shd w:val="clear" w:color="auto" w:fill="auto"/>
            <w:noWrap/>
            <w:hideMark/>
          </w:tcPr>
          <w:p w14:paraId="70E7EBDF" w14:textId="5118D485" w:rsidR="000B7B01" w:rsidRPr="00E258E3" w:rsidRDefault="00DE5C8E"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T</w:t>
            </w:r>
            <w:r w:rsidR="000B7B01" w:rsidRPr="00E258E3">
              <w:rPr>
                <w:rFonts w:ascii="Arial Narrow" w:eastAsia="Times New Roman" w:hAnsi="Arial Narrow" w:cs="Calibri"/>
                <w:color w:val="000000"/>
                <w:sz w:val="20"/>
                <w:szCs w:val="20"/>
                <w:lang w:eastAsia="es-CO"/>
              </w:rPr>
              <w:t xml:space="preserve">odas las operaciones de </w:t>
            </w:r>
            <w:r w:rsidR="006903A2" w:rsidRPr="00E258E3">
              <w:rPr>
                <w:rFonts w:ascii="Arial Narrow" w:eastAsia="Times New Roman" w:hAnsi="Arial Narrow" w:cs="Calibri"/>
                <w:color w:val="000000"/>
                <w:sz w:val="20"/>
                <w:szCs w:val="20"/>
                <w:lang w:eastAsia="es-CO"/>
              </w:rPr>
              <w:t>crédito</w:t>
            </w:r>
            <w:r w:rsidR="000B7B01" w:rsidRPr="00E258E3">
              <w:rPr>
                <w:rFonts w:ascii="Arial Narrow" w:eastAsia="Times New Roman" w:hAnsi="Arial Narrow" w:cs="Calibri"/>
                <w:color w:val="000000"/>
                <w:sz w:val="20"/>
                <w:szCs w:val="20"/>
                <w:lang w:eastAsia="es-CO"/>
              </w:rPr>
              <w:t xml:space="preserve"> y </w:t>
            </w:r>
            <w:r w:rsidR="006903A2" w:rsidRPr="00E258E3">
              <w:rPr>
                <w:rFonts w:ascii="Arial Narrow" w:eastAsia="Times New Roman" w:hAnsi="Arial Narrow" w:cs="Calibri"/>
                <w:color w:val="000000"/>
                <w:sz w:val="20"/>
                <w:szCs w:val="20"/>
                <w:lang w:eastAsia="es-CO"/>
              </w:rPr>
              <w:t>captación</w:t>
            </w:r>
            <w:r w:rsidR="000B7B01" w:rsidRPr="00E258E3">
              <w:rPr>
                <w:rFonts w:ascii="Arial Narrow" w:eastAsia="Times New Roman" w:hAnsi="Arial Narrow" w:cs="Calibri"/>
                <w:color w:val="000000"/>
                <w:sz w:val="20"/>
                <w:szCs w:val="20"/>
                <w:lang w:eastAsia="es-CO"/>
              </w:rPr>
              <w:t xml:space="preserve"> con el gerente y los miembros de Consejo de Administración</w:t>
            </w:r>
            <w:r w:rsidR="00803A09">
              <w:rPr>
                <w:rFonts w:ascii="Arial Narrow" w:eastAsia="Times New Roman" w:hAnsi="Arial Narrow" w:cs="Calibri"/>
                <w:color w:val="000000"/>
                <w:sz w:val="20"/>
                <w:szCs w:val="20"/>
                <w:lang w:eastAsia="es-CO"/>
              </w:rPr>
              <w:t>, Junta de Vigilancia</w:t>
            </w:r>
            <w:r w:rsidR="000B7B01" w:rsidRPr="00E258E3">
              <w:rPr>
                <w:rFonts w:ascii="Arial Narrow" w:eastAsia="Times New Roman" w:hAnsi="Arial Narrow" w:cs="Calibri"/>
                <w:color w:val="000000"/>
                <w:sz w:val="20"/>
                <w:szCs w:val="20"/>
                <w:lang w:eastAsia="es-CO"/>
              </w:rPr>
              <w:t xml:space="preserve"> y los familiares o empresas de estos fueron realizadas en las mismas condiciones que se efectuaron o efectuarían con asociados y terceros en condiciones de </w:t>
            </w:r>
            <w:r w:rsidR="006903A2" w:rsidRPr="00E258E3">
              <w:rPr>
                <w:rFonts w:ascii="Arial Narrow" w:eastAsia="Times New Roman" w:hAnsi="Arial Narrow" w:cs="Calibri"/>
                <w:color w:val="000000"/>
                <w:sz w:val="20"/>
                <w:szCs w:val="20"/>
                <w:lang w:eastAsia="es-CO"/>
              </w:rPr>
              <w:t>independencia</w:t>
            </w:r>
            <w:r w:rsidR="000B7B01" w:rsidRPr="00E258E3">
              <w:rPr>
                <w:rFonts w:ascii="Arial Narrow" w:eastAsia="Times New Roman" w:hAnsi="Arial Narrow" w:cs="Calibri"/>
                <w:color w:val="000000"/>
                <w:sz w:val="20"/>
                <w:szCs w:val="20"/>
                <w:lang w:eastAsia="es-CO"/>
              </w:rPr>
              <w:t xml:space="preserve"> mutua</w:t>
            </w:r>
            <w:r w:rsidR="00EE5E57">
              <w:rPr>
                <w:rFonts w:ascii="Arial Narrow" w:eastAsia="Times New Roman" w:hAnsi="Arial Narrow" w:cs="Calibri"/>
                <w:color w:val="000000"/>
                <w:sz w:val="20"/>
                <w:szCs w:val="20"/>
                <w:lang w:eastAsia="es-CO"/>
              </w:rPr>
              <w:t>.</w:t>
            </w:r>
          </w:p>
        </w:tc>
      </w:tr>
      <w:tr w:rsidR="000B7B01" w:rsidRPr="00E258E3" w14:paraId="70E7EBE4" w14:textId="77777777" w:rsidTr="00241880">
        <w:trPr>
          <w:trHeight w:val="300"/>
        </w:trPr>
        <w:tc>
          <w:tcPr>
            <w:tcW w:w="562" w:type="dxa"/>
            <w:shd w:val="clear" w:color="auto" w:fill="auto"/>
            <w:noWrap/>
            <w:hideMark/>
          </w:tcPr>
          <w:p w14:paraId="70E7EBE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C106</w:t>
            </w:r>
          </w:p>
        </w:tc>
        <w:tc>
          <w:tcPr>
            <w:tcW w:w="2127" w:type="dxa"/>
          </w:tcPr>
          <w:p w14:paraId="70E7EBE2"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si la entidad aplica la exención del NIC24.25</w:t>
            </w:r>
          </w:p>
        </w:tc>
        <w:tc>
          <w:tcPr>
            <w:tcW w:w="8363" w:type="dxa"/>
            <w:shd w:val="clear" w:color="auto" w:fill="auto"/>
            <w:noWrap/>
            <w:hideMark/>
          </w:tcPr>
          <w:p w14:paraId="70E7EBE3" w14:textId="6D25E28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E8" w14:textId="77777777" w:rsidTr="00241880">
        <w:trPr>
          <w:trHeight w:val="300"/>
        </w:trPr>
        <w:tc>
          <w:tcPr>
            <w:tcW w:w="562" w:type="dxa"/>
            <w:shd w:val="clear" w:color="auto" w:fill="auto"/>
            <w:noWrap/>
            <w:hideMark/>
          </w:tcPr>
          <w:p w14:paraId="70E7EBE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C107</w:t>
            </w:r>
          </w:p>
        </w:tc>
        <w:tc>
          <w:tcPr>
            <w:tcW w:w="2127" w:type="dxa"/>
          </w:tcPr>
          <w:p w14:paraId="70E7EBE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Nombre del gobierno y naturaleza de la relación con el gobierno</w:t>
            </w:r>
          </w:p>
        </w:tc>
        <w:tc>
          <w:tcPr>
            <w:tcW w:w="8363" w:type="dxa"/>
            <w:shd w:val="clear" w:color="auto" w:fill="auto"/>
            <w:noWrap/>
            <w:hideMark/>
          </w:tcPr>
          <w:p w14:paraId="70E7EBE7" w14:textId="2BF0B5B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EC" w14:textId="77777777" w:rsidTr="00241880">
        <w:trPr>
          <w:trHeight w:val="300"/>
        </w:trPr>
        <w:tc>
          <w:tcPr>
            <w:tcW w:w="562" w:type="dxa"/>
            <w:shd w:val="clear" w:color="auto" w:fill="auto"/>
            <w:noWrap/>
            <w:hideMark/>
          </w:tcPr>
          <w:p w14:paraId="70E7EBE9"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C108</w:t>
            </w:r>
          </w:p>
        </w:tc>
        <w:tc>
          <w:tcPr>
            <w:tcW w:w="2127" w:type="dxa"/>
          </w:tcPr>
          <w:p w14:paraId="70E7EBEA"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 naturaleza e importe de transacciones significativas</w:t>
            </w:r>
          </w:p>
        </w:tc>
        <w:tc>
          <w:tcPr>
            <w:tcW w:w="8363" w:type="dxa"/>
            <w:shd w:val="clear" w:color="auto" w:fill="auto"/>
            <w:noWrap/>
            <w:hideMark/>
          </w:tcPr>
          <w:p w14:paraId="70E7EBEB" w14:textId="576FAB55" w:rsidR="000B7B01" w:rsidRPr="00E258E3" w:rsidRDefault="009A56BC"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BF0" w14:textId="77777777" w:rsidTr="00241880">
        <w:trPr>
          <w:trHeight w:val="300"/>
        </w:trPr>
        <w:tc>
          <w:tcPr>
            <w:tcW w:w="562" w:type="dxa"/>
            <w:shd w:val="clear" w:color="auto" w:fill="auto"/>
            <w:noWrap/>
            <w:hideMark/>
          </w:tcPr>
          <w:p w14:paraId="70E7EBED"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C109</w:t>
            </w:r>
          </w:p>
        </w:tc>
        <w:tc>
          <w:tcPr>
            <w:tcW w:w="2127" w:type="dxa"/>
          </w:tcPr>
          <w:p w14:paraId="70E7EBEE"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otras transacciones que son conjuntamente significativas</w:t>
            </w:r>
          </w:p>
        </w:tc>
        <w:tc>
          <w:tcPr>
            <w:tcW w:w="8363" w:type="dxa"/>
            <w:shd w:val="clear" w:color="auto" w:fill="auto"/>
            <w:noWrap/>
            <w:hideMark/>
          </w:tcPr>
          <w:p w14:paraId="70E7EBEF" w14:textId="6F7B64CB"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BF4" w14:textId="77777777" w:rsidTr="00241880">
        <w:trPr>
          <w:trHeight w:val="300"/>
        </w:trPr>
        <w:tc>
          <w:tcPr>
            <w:tcW w:w="562" w:type="dxa"/>
            <w:shd w:val="clear" w:color="auto" w:fill="auto"/>
            <w:noWrap/>
            <w:hideMark/>
          </w:tcPr>
          <w:p w14:paraId="70E7EBF1"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C110</w:t>
            </w:r>
          </w:p>
        </w:tc>
        <w:tc>
          <w:tcPr>
            <w:tcW w:w="2127" w:type="dxa"/>
          </w:tcPr>
          <w:p w14:paraId="70E7EBF2" w14:textId="27E239F5"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la adopción por primera vez de las NIF</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BF3" w14:textId="092EB11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r w:rsidR="00E258E3" w:rsidRPr="00E258E3">
              <w:rPr>
                <w:rFonts w:ascii="Arial Narrow" w:eastAsia="Times New Roman" w:hAnsi="Arial Narrow" w:cs="Calibri"/>
                <w:color w:val="000000"/>
                <w:sz w:val="20"/>
                <w:szCs w:val="20"/>
                <w:lang w:eastAsia="es-CO"/>
              </w:rPr>
              <w:t xml:space="preserve"> </w:t>
            </w:r>
          </w:p>
        </w:tc>
      </w:tr>
      <w:tr w:rsidR="000B7B01" w:rsidRPr="00E258E3" w14:paraId="70E7EC15" w14:textId="77777777" w:rsidTr="00241880">
        <w:trPr>
          <w:trHeight w:val="300"/>
        </w:trPr>
        <w:tc>
          <w:tcPr>
            <w:tcW w:w="562" w:type="dxa"/>
            <w:shd w:val="clear" w:color="auto" w:fill="auto"/>
            <w:noWrap/>
            <w:hideMark/>
          </w:tcPr>
          <w:p w14:paraId="70E7EBF5"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C111</w:t>
            </w:r>
          </w:p>
        </w:tc>
        <w:tc>
          <w:tcPr>
            <w:tcW w:w="2127" w:type="dxa"/>
          </w:tcPr>
          <w:p w14:paraId="70E7EBF6"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naturaleza de los ajustes principales que harían a los resúmenes históricos o a la información comparativa presentada de acuerdo con PCGA anteriores cumplir con las NIF</w:t>
            </w:r>
          </w:p>
        </w:tc>
        <w:tc>
          <w:tcPr>
            <w:tcW w:w="8363" w:type="dxa"/>
            <w:shd w:val="clear" w:color="auto" w:fill="auto"/>
            <w:noWrap/>
            <w:hideMark/>
          </w:tcPr>
          <w:p w14:paraId="70E7EC13" w14:textId="2E8A9F0D" w:rsidR="006903A2" w:rsidRPr="00803A09" w:rsidRDefault="00803A09" w:rsidP="00803A09">
            <w:pPr>
              <w:spacing w:after="0" w:line="240" w:lineRule="auto"/>
              <w:jc w:val="both"/>
              <w:rPr>
                <w:rFonts w:ascii="Arial Narrow" w:hAnsi="Arial Narrow"/>
                <w:sz w:val="20"/>
                <w:szCs w:val="20"/>
              </w:rPr>
            </w:pPr>
            <w:r>
              <w:rPr>
                <w:rFonts w:ascii="Arial Narrow" w:hAnsi="Arial Narrow"/>
                <w:sz w:val="20"/>
                <w:szCs w:val="20"/>
              </w:rPr>
              <w:t>NO APLICA</w:t>
            </w:r>
          </w:p>
          <w:p w14:paraId="70E7EC14" w14:textId="77777777"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p>
        </w:tc>
      </w:tr>
      <w:tr w:rsidR="000B7B01" w:rsidRPr="00E258E3" w14:paraId="70E7EC19" w14:textId="77777777" w:rsidTr="00241880">
        <w:trPr>
          <w:trHeight w:val="300"/>
        </w:trPr>
        <w:tc>
          <w:tcPr>
            <w:tcW w:w="562" w:type="dxa"/>
            <w:shd w:val="clear" w:color="auto" w:fill="auto"/>
            <w:noWrap/>
            <w:hideMark/>
          </w:tcPr>
          <w:p w14:paraId="70E7EC16"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C112</w:t>
            </w:r>
          </w:p>
        </w:tc>
        <w:tc>
          <w:tcPr>
            <w:tcW w:w="2127" w:type="dxa"/>
          </w:tcPr>
          <w:p w14:paraId="70E7EC17"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información comparativa preparada de conformidad con PCGA anteriores </w:t>
            </w:r>
          </w:p>
        </w:tc>
        <w:tc>
          <w:tcPr>
            <w:tcW w:w="8363" w:type="dxa"/>
            <w:shd w:val="clear" w:color="auto" w:fill="auto"/>
            <w:noWrap/>
            <w:hideMark/>
          </w:tcPr>
          <w:p w14:paraId="70E7EC18" w14:textId="67618B1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1D" w14:textId="77777777" w:rsidTr="00241880">
        <w:trPr>
          <w:trHeight w:val="300"/>
        </w:trPr>
        <w:tc>
          <w:tcPr>
            <w:tcW w:w="562" w:type="dxa"/>
            <w:shd w:val="clear" w:color="auto" w:fill="auto"/>
            <w:noWrap/>
            <w:hideMark/>
          </w:tcPr>
          <w:p w14:paraId="70E7EC1A"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C113</w:t>
            </w:r>
          </w:p>
        </w:tc>
        <w:tc>
          <w:tcPr>
            <w:tcW w:w="2127" w:type="dxa"/>
          </w:tcPr>
          <w:p w14:paraId="70E7EC1B"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información comparativa preparada de conformidad con PCGA anteriores [partidas de los estados financieros]</w:t>
            </w:r>
          </w:p>
        </w:tc>
        <w:tc>
          <w:tcPr>
            <w:tcW w:w="8363" w:type="dxa"/>
            <w:shd w:val="clear" w:color="auto" w:fill="auto"/>
            <w:noWrap/>
            <w:hideMark/>
          </w:tcPr>
          <w:p w14:paraId="70E7EC1C" w14:textId="68B86898"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2" w14:textId="77777777" w:rsidTr="00241880">
        <w:trPr>
          <w:trHeight w:val="300"/>
        </w:trPr>
        <w:tc>
          <w:tcPr>
            <w:tcW w:w="562" w:type="dxa"/>
            <w:shd w:val="clear" w:color="auto" w:fill="auto"/>
            <w:noWrap/>
            <w:hideMark/>
          </w:tcPr>
          <w:p w14:paraId="70E7EC1E"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C114</w:t>
            </w:r>
          </w:p>
        </w:tc>
        <w:tc>
          <w:tcPr>
            <w:tcW w:w="2127" w:type="dxa"/>
          </w:tcPr>
          <w:p w14:paraId="70E7EC1F"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de la transición la situación financiera informada</w:t>
            </w:r>
          </w:p>
        </w:tc>
        <w:tc>
          <w:tcPr>
            <w:tcW w:w="8363" w:type="dxa"/>
            <w:shd w:val="clear" w:color="auto" w:fill="auto"/>
            <w:noWrap/>
            <w:hideMark/>
          </w:tcPr>
          <w:p w14:paraId="70E7EC21" w14:textId="1B6FBBDF" w:rsidR="000B7B01" w:rsidRPr="00E258E3" w:rsidRDefault="000B7B01" w:rsidP="00803A09">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6" w14:textId="77777777" w:rsidTr="00241880">
        <w:trPr>
          <w:trHeight w:val="300"/>
        </w:trPr>
        <w:tc>
          <w:tcPr>
            <w:tcW w:w="562" w:type="dxa"/>
            <w:shd w:val="clear" w:color="auto" w:fill="auto"/>
            <w:noWrap/>
            <w:hideMark/>
          </w:tcPr>
          <w:p w14:paraId="70E7EC2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C115</w:t>
            </w:r>
          </w:p>
        </w:tc>
        <w:tc>
          <w:tcPr>
            <w:tcW w:w="2127" w:type="dxa"/>
          </w:tcPr>
          <w:p w14:paraId="70E7EC2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de la transición en el rendimiento financiero informado</w:t>
            </w:r>
          </w:p>
        </w:tc>
        <w:tc>
          <w:tcPr>
            <w:tcW w:w="8363" w:type="dxa"/>
            <w:shd w:val="clear" w:color="auto" w:fill="auto"/>
            <w:noWrap/>
            <w:hideMark/>
          </w:tcPr>
          <w:p w14:paraId="70E7EC25" w14:textId="7FCDDD8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A" w14:textId="77777777" w:rsidTr="00241880">
        <w:trPr>
          <w:trHeight w:val="300"/>
        </w:trPr>
        <w:tc>
          <w:tcPr>
            <w:tcW w:w="562" w:type="dxa"/>
            <w:shd w:val="clear" w:color="auto" w:fill="auto"/>
            <w:noWrap/>
            <w:hideMark/>
          </w:tcPr>
          <w:p w14:paraId="70E7EC2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C116</w:t>
            </w:r>
          </w:p>
        </w:tc>
        <w:tc>
          <w:tcPr>
            <w:tcW w:w="2127" w:type="dxa"/>
          </w:tcPr>
          <w:p w14:paraId="70E7EC2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efecto de la transición en los flujos de efectivo informados</w:t>
            </w:r>
          </w:p>
        </w:tc>
        <w:tc>
          <w:tcPr>
            <w:tcW w:w="8363" w:type="dxa"/>
            <w:shd w:val="clear" w:color="auto" w:fill="auto"/>
            <w:noWrap/>
            <w:hideMark/>
          </w:tcPr>
          <w:p w14:paraId="70E7EC29" w14:textId="129B63A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2E" w14:textId="77777777" w:rsidTr="00241880">
        <w:trPr>
          <w:trHeight w:val="300"/>
        </w:trPr>
        <w:tc>
          <w:tcPr>
            <w:tcW w:w="562" w:type="dxa"/>
            <w:shd w:val="clear" w:color="auto" w:fill="auto"/>
            <w:noWrap/>
            <w:hideMark/>
          </w:tcPr>
          <w:p w14:paraId="70E7EC2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C117</w:t>
            </w:r>
          </w:p>
        </w:tc>
        <w:tc>
          <w:tcPr>
            <w:tcW w:w="2127" w:type="dxa"/>
          </w:tcPr>
          <w:p w14:paraId="70E7EC2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razón por la cual la entidad dejó de aplicar las NIF</w:t>
            </w:r>
          </w:p>
        </w:tc>
        <w:tc>
          <w:tcPr>
            <w:tcW w:w="8363" w:type="dxa"/>
            <w:shd w:val="clear" w:color="auto" w:fill="auto"/>
            <w:noWrap/>
            <w:hideMark/>
          </w:tcPr>
          <w:p w14:paraId="70E7EC2D" w14:textId="277AAB71"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2" w14:textId="77777777" w:rsidTr="00241880">
        <w:trPr>
          <w:trHeight w:val="300"/>
        </w:trPr>
        <w:tc>
          <w:tcPr>
            <w:tcW w:w="562" w:type="dxa"/>
            <w:shd w:val="clear" w:color="auto" w:fill="auto"/>
            <w:noWrap/>
            <w:hideMark/>
          </w:tcPr>
          <w:p w14:paraId="70E7EC2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C118</w:t>
            </w:r>
          </w:p>
        </w:tc>
        <w:tc>
          <w:tcPr>
            <w:tcW w:w="2127" w:type="dxa"/>
          </w:tcPr>
          <w:p w14:paraId="70E7EC3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de la razón por la cual la entidad está reasumiendo la aplicación de las NIF </w:t>
            </w:r>
          </w:p>
        </w:tc>
        <w:tc>
          <w:tcPr>
            <w:tcW w:w="8363" w:type="dxa"/>
            <w:shd w:val="clear" w:color="auto" w:fill="auto"/>
            <w:noWrap/>
            <w:hideMark/>
          </w:tcPr>
          <w:p w14:paraId="70E7EC31" w14:textId="024909A5"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6" w14:textId="77777777" w:rsidTr="00241880">
        <w:trPr>
          <w:trHeight w:val="300"/>
        </w:trPr>
        <w:tc>
          <w:tcPr>
            <w:tcW w:w="562" w:type="dxa"/>
            <w:shd w:val="clear" w:color="auto" w:fill="auto"/>
            <w:noWrap/>
            <w:hideMark/>
          </w:tcPr>
          <w:p w14:paraId="70E7EC3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C119</w:t>
            </w:r>
          </w:p>
        </w:tc>
        <w:tc>
          <w:tcPr>
            <w:tcW w:w="2127" w:type="dxa"/>
          </w:tcPr>
          <w:p w14:paraId="70E7EC3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las razones por las que una entidad decidió aplicar las NIF como si nunca hubiera dejado de aplicarlas</w:t>
            </w:r>
          </w:p>
        </w:tc>
        <w:tc>
          <w:tcPr>
            <w:tcW w:w="8363" w:type="dxa"/>
            <w:shd w:val="clear" w:color="auto" w:fill="auto"/>
            <w:noWrap/>
            <w:hideMark/>
          </w:tcPr>
          <w:p w14:paraId="70E7EC35" w14:textId="75E02D8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A" w14:textId="77777777" w:rsidTr="00241880">
        <w:trPr>
          <w:trHeight w:val="300"/>
        </w:trPr>
        <w:tc>
          <w:tcPr>
            <w:tcW w:w="562" w:type="dxa"/>
            <w:shd w:val="clear" w:color="auto" w:fill="auto"/>
            <w:noWrap/>
            <w:hideMark/>
          </w:tcPr>
          <w:p w14:paraId="70E7EC3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C120</w:t>
            </w:r>
          </w:p>
        </w:tc>
        <w:tc>
          <w:tcPr>
            <w:tcW w:w="2127" w:type="dxa"/>
          </w:tcPr>
          <w:p w14:paraId="70E7EC38" w14:textId="503B406B"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del hecho de que no se presentan estados financieros de periodos anteriores</w:t>
            </w:r>
            <w:r w:rsidR="00E258E3" w:rsidRPr="00E258E3">
              <w:rPr>
                <w:rFonts w:ascii="Arial Narrow" w:hAnsi="Arial Narrow" w:cs="Calibri"/>
                <w:color w:val="000000"/>
                <w:sz w:val="20"/>
                <w:szCs w:val="20"/>
              </w:rPr>
              <w:t xml:space="preserve"> </w:t>
            </w:r>
          </w:p>
        </w:tc>
        <w:tc>
          <w:tcPr>
            <w:tcW w:w="8363" w:type="dxa"/>
            <w:shd w:val="clear" w:color="auto" w:fill="auto"/>
            <w:noWrap/>
            <w:hideMark/>
          </w:tcPr>
          <w:p w14:paraId="70E7EC39" w14:textId="7D568C3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3E" w14:textId="77777777" w:rsidTr="00241880">
        <w:trPr>
          <w:trHeight w:val="300"/>
        </w:trPr>
        <w:tc>
          <w:tcPr>
            <w:tcW w:w="562" w:type="dxa"/>
            <w:shd w:val="clear" w:color="auto" w:fill="auto"/>
            <w:noWrap/>
            <w:hideMark/>
          </w:tcPr>
          <w:p w14:paraId="70E7EC3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C121</w:t>
            </w:r>
          </w:p>
        </w:tc>
        <w:tc>
          <w:tcPr>
            <w:tcW w:w="2127" w:type="dxa"/>
          </w:tcPr>
          <w:p w14:paraId="70E7EC3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Explicación de las referencias cruzadas de información a revelar sobre estados financieros intermedios de una entidad que adopta por primera vez las NIF</w:t>
            </w:r>
          </w:p>
        </w:tc>
        <w:tc>
          <w:tcPr>
            <w:tcW w:w="8363" w:type="dxa"/>
            <w:shd w:val="clear" w:color="auto" w:fill="auto"/>
            <w:noWrap/>
            <w:hideMark/>
          </w:tcPr>
          <w:p w14:paraId="70E7EC3D" w14:textId="6AB43D96"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2" w14:textId="77777777" w:rsidTr="00241880">
        <w:trPr>
          <w:trHeight w:val="300"/>
        </w:trPr>
        <w:tc>
          <w:tcPr>
            <w:tcW w:w="562" w:type="dxa"/>
            <w:shd w:val="clear" w:color="auto" w:fill="auto"/>
            <w:noWrap/>
            <w:hideMark/>
          </w:tcPr>
          <w:p w14:paraId="70E7EC3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C122</w:t>
            </w:r>
          </w:p>
        </w:tc>
        <w:tc>
          <w:tcPr>
            <w:tcW w:w="2127" w:type="dxa"/>
          </w:tcPr>
          <w:p w14:paraId="70E7EC4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financieros designados nuevamente</w:t>
            </w:r>
          </w:p>
        </w:tc>
        <w:tc>
          <w:tcPr>
            <w:tcW w:w="8363" w:type="dxa"/>
            <w:shd w:val="clear" w:color="auto" w:fill="auto"/>
            <w:noWrap/>
            <w:hideMark/>
          </w:tcPr>
          <w:p w14:paraId="70E7EC41" w14:textId="1726B02A"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6" w14:textId="77777777" w:rsidTr="00241880">
        <w:trPr>
          <w:trHeight w:val="300"/>
        </w:trPr>
        <w:tc>
          <w:tcPr>
            <w:tcW w:w="562" w:type="dxa"/>
            <w:shd w:val="clear" w:color="auto" w:fill="auto"/>
            <w:noWrap/>
            <w:hideMark/>
          </w:tcPr>
          <w:p w14:paraId="70E7EC4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C123</w:t>
            </w:r>
          </w:p>
        </w:tc>
        <w:tc>
          <w:tcPr>
            <w:tcW w:w="2127" w:type="dxa"/>
          </w:tcPr>
          <w:p w14:paraId="70E7EC4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activos y pasivos financieros designados nuevamente [partidas de los estados financieros]</w:t>
            </w:r>
          </w:p>
        </w:tc>
        <w:tc>
          <w:tcPr>
            <w:tcW w:w="8363" w:type="dxa"/>
            <w:shd w:val="clear" w:color="auto" w:fill="auto"/>
            <w:noWrap/>
            <w:hideMark/>
          </w:tcPr>
          <w:p w14:paraId="70E7EC45" w14:textId="540D063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A" w14:textId="77777777" w:rsidTr="00241880">
        <w:trPr>
          <w:trHeight w:val="300"/>
        </w:trPr>
        <w:tc>
          <w:tcPr>
            <w:tcW w:w="562" w:type="dxa"/>
            <w:shd w:val="clear" w:color="auto" w:fill="auto"/>
            <w:noWrap/>
            <w:hideMark/>
          </w:tcPr>
          <w:p w14:paraId="70E7EC4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C124</w:t>
            </w:r>
          </w:p>
        </w:tc>
        <w:tc>
          <w:tcPr>
            <w:tcW w:w="2127" w:type="dxa"/>
          </w:tcPr>
          <w:p w14:paraId="70E7EC4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pasivos financieros designados nuevamente</w:t>
            </w:r>
          </w:p>
        </w:tc>
        <w:tc>
          <w:tcPr>
            <w:tcW w:w="8363" w:type="dxa"/>
            <w:shd w:val="clear" w:color="auto" w:fill="auto"/>
            <w:noWrap/>
            <w:hideMark/>
          </w:tcPr>
          <w:p w14:paraId="70E7EC49" w14:textId="006FAD0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4E" w14:textId="77777777" w:rsidTr="00241880">
        <w:trPr>
          <w:trHeight w:val="300"/>
        </w:trPr>
        <w:tc>
          <w:tcPr>
            <w:tcW w:w="562" w:type="dxa"/>
            <w:shd w:val="clear" w:color="auto" w:fill="auto"/>
            <w:noWrap/>
            <w:hideMark/>
          </w:tcPr>
          <w:p w14:paraId="70E7EC4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C125</w:t>
            </w:r>
          </w:p>
        </w:tc>
        <w:tc>
          <w:tcPr>
            <w:tcW w:w="2127" w:type="dxa"/>
          </w:tcPr>
          <w:p w14:paraId="70E7EC4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Información a revelar sobre los valores razonables de partidas utilizados como costo atribuido [partidas de los estados financieros] </w:t>
            </w:r>
          </w:p>
        </w:tc>
        <w:tc>
          <w:tcPr>
            <w:tcW w:w="8363" w:type="dxa"/>
            <w:shd w:val="clear" w:color="auto" w:fill="auto"/>
            <w:noWrap/>
            <w:hideMark/>
          </w:tcPr>
          <w:p w14:paraId="70E7EC4D" w14:textId="2E73A940"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803A09">
              <w:rPr>
                <w:rFonts w:ascii="Arial Narrow" w:eastAsia="Times New Roman" w:hAnsi="Arial Narrow" w:cs="Calibri"/>
                <w:color w:val="000000"/>
                <w:sz w:val="20"/>
                <w:szCs w:val="20"/>
                <w:lang w:eastAsia="es-CO"/>
              </w:rPr>
              <w:t>NO APLICA</w:t>
            </w:r>
          </w:p>
        </w:tc>
      </w:tr>
      <w:tr w:rsidR="000B7B01" w:rsidRPr="00E258E3" w14:paraId="70E7EC52" w14:textId="77777777" w:rsidTr="00241880">
        <w:trPr>
          <w:trHeight w:val="300"/>
        </w:trPr>
        <w:tc>
          <w:tcPr>
            <w:tcW w:w="562" w:type="dxa"/>
            <w:shd w:val="clear" w:color="auto" w:fill="auto"/>
            <w:noWrap/>
            <w:hideMark/>
          </w:tcPr>
          <w:p w14:paraId="70E7EC4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C126</w:t>
            </w:r>
          </w:p>
        </w:tc>
        <w:tc>
          <w:tcPr>
            <w:tcW w:w="2127" w:type="dxa"/>
          </w:tcPr>
          <w:p w14:paraId="70E7EC5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Información a revelar sobre los valores razonables de partidas utilizados como costo atribuido [partidas de los estados financieros]</w:t>
            </w:r>
          </w:p>
        </w:tc>
        <w:tc>
          <w:tcPr>
            <w:tcW w:w="8363" w:type="dxa"/>
            <w:shd w:val="clear" w:color="auto" w:fill="auto"/>
            <w:noWrap/>
            <w:hideMark/>
          </w:tcPr>
          <w:p w14:paraId="70E7EC51" w14:textId="66D594D7" w:rsidR="000B7B01" w:rsidRPr="00E258E3" w:rsidRDefault="00803A09" w:rsidP="00E258E3">
            <w:pPr>
              <w:spacing w:after="0" w:line="240" w:lineRule="auto"/>
              <w:jc w:val="both"/>
              <w:rPr>
                <w:rFonts w:ascii="Arial Narrow" w:eastAsia="Times New Roman" w:hAnsi="Arial Narrow" w:cs="Calibri"/>
                <w:color w:val="000000"/>
                <w:sz w:val="20"/>
                <w:szCs w:val="20"/>
                <w:lang w:eastAsia="es-CO"/>
              </w:rPr>
            </w:pPr>
            <w:r>
              <w:rPr>
                <w:rFonts w:ascii="Arial Narrow" w:eastAsia="Times New Roman" w:hAnsi="Arial Narrow" w:cs="Calibri"/>
                <w:color w:val="000000"/>
                <w:sz w:val="20"/>
                <w:szCs w:val="20"/>
                <w:lang w:eastAsia="es-CO"/>
              </w:rPr>
              <w:t>NO APLICA</w:t>
            </w:r>
          </w:p>
        </w:tc>
      </w:tr>
      <w:tr w:rsidR="000B7B01" w:rsidRPr="00E258E3" w14:paraId="70E7EC56" w14:textId="77777777" w:rsidTr="00241880">
        <w:trPr>
          <w:trHeight w:val="300"/>
        </w:trPr>
        <w:tc>
          <w:tcPr>
            <w:tcW w:w="562" w:type="dxa"/>
            <w:shd w:val="clear" w:color="auto" w:fill="auto"/>
            <w:noWrap/>
            <w:hideMark/>
          </w:tcPr>
          <w:p w14:paraId="70E7EC5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C127</w:t>
            </w:r>
          </w:p>
        </w:tc>
        <w:tc>
          <w:tcPr>
            <w:tcW w:w="2127" w:type="dxa"/>
          </w:tcPr>
          <w:p w14:paraId="70E7EC5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Descripción los hechos y criterios con que se asignaron los importes en libros determinados según los PCGA anteriores si la </w:t>
            </w:r>
            <w:r w:rsidRPr="00E258E3">
              <w:rPr>
                <w:rFonts w:ascii="Arial Narrow" w:hAnsi="Arial Narrow" w:cs="Calibri"/>
                <w:color w:val="000000"/>
                <w:sz w:val="20"/>
                <w:szCs w:val="20"/>
              </w:rPr>
              <w:lastRenderedPageBreak/>
              <w:t>entidad utiliza la exención de la NIF 1.D8A(b)</w:t>
            </w:r>
          </w:p>
        </w:tc>
        <w:tc>
          <w:tcPr>
            <w:tcW w:w="8363" w:type="dxa"/>
            <w:shd w:val="clear" w:color="auto" w:fill="auto"/>
            <w:noWrap/>
            <w:hideMark/>
          </w:tcPr>
          <w:p w14:paraId="70E7EC55" w14:textId="7FFB8DEE"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lastRenderedPageBreak/>
              <w:t> </w:t>
            </w:r>
            <w:r w:rsidR="009A56BC">
              <w:rPr>
                <w:rFonts w:ascii="Arial Narrow" w:eastAsia="Times New Roman" w:hAnsi="Arial Narrow" w:cs="Calibri"/>
                <w:color w:val="000000"/>
                <w:sz w:val="20"/>
                <w:szCs w:val="20"/>
                <w:lang w:eastAsia="es-CO"/>
              </w:rPr>
              <w:t>NO APLICA</w:t>
            </w:r>
          </w:p>
        </w:tc>
      </w:tr>
      <w:tr w:rsidR="000B7B01" w:rsidRPr="00E258E3" w14:paraId="70E7EC5A" w14:textId="77777777" w:rsidTr="00241880">
        <w:trPr>
          <w:trHeight w:val="300"/>
        </w:trPr>
        <w:tc>
          <w:tcPr>
            <w:tcW w:w="562" w:type="dxa"/>
            <w:shd w:val="clear" w:color="auto" w:fill="auto"/>
            <w:noWrap/>
            <w:hideMark/>
          </w:tcPr>
          <w:p w14:paraId="70E7EC57"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C128</w:t>
            </w:r>
          </w:p>
        </w:tc>
        <w:tc>
          <w:tcPr>
            <w:tcW w:w="2127" w:type="dxa"/>
          </w:tcPr>
          <w:p w14:paraId="70E7EC58"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los hechos y criterios con que se determinaron los importes en libros según PCGA anteriores si la entidad utiliza la exención de la NIIF 1.D8B</w:t>
            </w:r>
          </w:p>
        </w:tc>
        <w:tc>
          <w:tcPr>
            <w:tcW w:w="8363" w:type="dxa"/>
            <w:shd w:val="clear" w:color="auto" w:fill="auto"/>
            <w:noWrap/>
            <w:hideMark/>
          </w:tcPr>
          <w:p w14:paraId="70E7EC59" w14:textId="1A54B1D2"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5E" w14:textId="77777777" w:rsidTr="00241880">
        <w:trPr>
          <w:trHeight w:val="2814"/>
        </w:trPr>
        <w:tc>
          <w:tcPr>
            <w:tcW w:w="562" w:type="dxa"/>
            <w:shd w:val="clear" w:color="auto" w:fill="auto"/>
            <w:noWrap/>
            <w:hideMark/>
          </w:tcPr>
          <w:p w14:paraId="70E7EC5B"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C129</w:t>
            </w:r>
          </w:p>
        </w:tc>
        <w:tc>
          <w:tcPr>
            <w:tcW w:w="2127" w:type="dxa"/>
          </w:tcPr>
          <w:p w14:paraId="70E7EC5C"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br/>
              <w:t xml:space="preserve">Explicación de la forma y razón por la que la entidad tuvo, y dejó de tener, una moneda funcional para la que no está disponible un índice general de precios fiable y no existe intercambiabilidad con moneda </w:t>
            </w:r>
          </w:p>
        </w:tc>
        <w:tc>
          <w:tcPr>
            <w:tcW w:w="8363" w:type="dxa"/>
            <w:shd w:val="clear" w:color="auto" w:fill="auto"/>
            <w:noWrap/>
            <w:hideMark/>
          </w:tcPr>
          <w:p w14:paraId="70E7EC5D" w14:textId="4F3615A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r w:rsidR="000B7B01" w:rsidRPr="00E258E3" w14:paraId="70E7EC62" w14:textId="77777777" w:rsidTr="00241880">
        <w:trPr>
          <w:trHeight w:val="300"/>
        </w:trPr>
        <w:tc>
          <w:tcPr>
            <w:tcW w:w="562" w:type="dxa"/>
            <w:shd w:val="clear" w:color="auto" w:fill="auto"/>
            <w:noWrap/>
            <w:hideMark/>
          </w:tcPr>
          <w:p w14:paraId="70E7EC5F"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C130</w:t>
            </w:r>
          </w:p>
        </w:tc>
        <w:tc>
          <w:tcPr>
            <w:tcW w:w="2127" w:type="dxa"/>
          </w:tcPr>
          <w:p w14:paraId="70E7EC60"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 xml:space="preserve">Explicación de la forma y razón por la que la entidad tuvo, y dejó de tener, una </w:t>
            </w:r>
            <w:r w:rsidRPr="00E258E3">
              <w:rPr>
                <w:rFonts w:ascii="Arial Narrow" w:hAnsi="Arial Narrow" w:cs="Calibri"/>
                <w:color w:val="FF0000"/>
                <w:sz w:val="20"/>
                <w:szCs w:val="20"/>
              </w:rPr>
              <w:t xml:space="preserve">moneda funcional </w:t>
            </w:r>
            <w:r w:rsidRPr="00E258E3">
              <w:rPr>
                <w:rFonts w:ascii="Arial Narrow" w:hAnsi="Arial Narrow" w:cs="Calibri"/>
                <w:color w:val="000000"/>
                <w:sz w:val="20"/>
                <w:szCs w:val="20"/>
              </w:rPr>
              <w:t xml:space="preserve">para la que no está disponible un índice general de precios fiable y no existe intercambiabilidad con moneda </w:t>
            </w:r>
          </w:p>
        </w:tc>
        <w:tc>
          <w:tcPr>
            <w:tcW w:w="8363" w:type="dxa"/>
            <w:shd w:val="clear" w:color="auto" w:fill="auto"/>
            <w:noWrap/>
            <w:hideMark/>
          </w:tcPr>
          <w:p w14:paraId="70E7EC61" w14:textId="6F2EC7B9"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r w:rsidRPr="00E258E3">
              <w:rPr>
                <w:rFonts w:ascii="Arial Narrow" w:eastAsia="Times New Roman" w:hAnsi="Arial Narrow" w:cs="Calibri"/>
                <w:color w:val="000000"/>
                <w:sz w:val="20"/>
                <w:szCs w:val="20"/>
                <w:lang w:eastAsia="es-CO"/>
              </w:rPr>
              <w:t xml:space="preserve"> </w:t>
            </w:r>
          </w:p>
        </w:tc>
      </w:tr>
      <w:tr w:rsidR="000B7B01" w:rsidRPr="00E258E3" w14:paraId="70E7EC66" w14:textId="77777777" w:rsidTr="00241880">
        <w:trPr>
          <w:trHeight w:val="300"/>
        </w:trPr>
        <w:tc>
          <w:tcPr>
            <w:tcW w:w="562" w:type="dxa"/>
            <w:shd w:val="clear" w:color="auto" w:fill="auto"/>
            <w:noWrap/>
            <w:hideMark/>
          </w:tcPr>
          <w:p w14:paraId="70E7EC63" w14:textId="77777777" w:rsidR="000B7B01" w:rsidRPr="00E258E3" w:rsidRDefault="000B7B01" w:rsidP="00E258E3">
            <w:pPr>
              <w:spacing w:after="0" w:line="240" w:lineRule="auto"/>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C131</w:t>
            </w:r>
          </w:p>
        </w:tc>
        <w:tc>
          <w:tcPr>
            <w:tcW w:w="2127" w:type="dxa"/>
          </w:tcPr>
          <w:p w14:paraId="70E7EC64" w14:textId="77777777" w:rsidR="000B7B01" w:rsidRPr="00E258E3" w:rsidRDefault="000B7B01" w:rsidP="00E258E3">
            <w:pPr>
              <w:spacing w:after="0" w:line="240" w:lineRule="auto"/>
              <w:rPr>
                <w:rFonts w:ascii="Arial Narrow" w:hAnsi="Arial Narrow" w:cs="Calibri"/>
                <w:color w:val="000000"/>
                <w:sz w:val="20"/>
                <w:szCs w:val="20"/>
              </w:rPr>
            </w:pPr>
            <w:r w:rsidRPr="00E258E3">
              <w:rPr>
                <w:rFonts w:ascii="Arial Narrow" w:hAnsi="Arial Narrow" w:cs="Calibri"/>
                <w:color w:val="000000"/>
                <w:sz w:val="20"/>
                <w:szCs w:val="20"/>
              </w:rPr>
              <w:t>Descripción de la base usada para preparar información comparativa que no cumple con las NIIF 7 y NIIF 9</w:t>
            </w:r>
          </w:p>
        </w:tc>
        <w:tc>
          <w:tcPr>
            <w:tcW w:w="8363" w:type="dxa"/>
            <w:shd w:val="clear" w:color="auto" w:fill="auto"/>
            <w:noWrap/>
            <w:hideMark/>
          </w:tcPr>
          <w:p w14:paraId="70E7EC65" w14:textId="4DE1317C" w:rsidR="000B7B01" w:rsidRPr="00E258E3" w:rsidRDefault="000B7B01" w:rsidP="00E258E3">
            <w:pPr>
              <w:spacing w:after="0" w:line="240" w:lineRule="auto"/>
              <w:jc w:val="both"/>
              <w:rPr>
                <w:rFonts w:ascii="Arial Narrow" w:eastAsia="Times New Roman" w:hAnsi="Arial Narrow" w:cs="Calibri"/>
                <w:color w:val="000000"/>
                <w:sz w:val="20"/>
                <w:szCs w:val="20"/>
                <w:lang w:eastAsia="es-CO"/>
              </w:rPr>
            </w:pPr>
            <w:r w:rsidRPr="00E258E3">
              <w:rPr>
                <w:rFonts w:ascii="Arial Narrow" w:eastAsia="Times New Roman" w:hAnsi="Arial Narrow" w:cs="Calibri"/>
                <w:color w:val="000000"/>
                <w:sz w:val="20"/>
                <w:szCs w:val="20"/>
                <w:lang w:eastAsia="es-CO"/>
              </w:rPr>
              <w:t> </w:t>
            </w:r>
            <w:r w:rsidR="009A56BC">
              <w:rPr>
                <w:rFonts w:ascii="Arial Narrow" w:eastAsia="Times New Roman" w:hAnsi="Arial Narrow" w:cs="Calibri"/>
                <w:color w:val="000000"/>
                <w:sz w:val="20"/>
                <w:szCs w:val="20"/>
                <w:lang w:eastAsia="es-CO"/>
              </w:rPr>
              <w:t>NO APLICA</w:t>
            </w:r>
          </w:p>
        </w:tc>
      </w:tr>
    </w:tbl>
    <w:p w14:paraId="70E7EC67" w14:textId="77777777" w:rsidR="00526F9D" w:rsidRPr="00E258E3" w:rsidRDefault="00526F9D" w:rsidP="00E258E3">
      <w:pPr>
        <w:spacing w:after="0" w:line="240" w:lineRule="auto"/>
        <w:rPr>
          <w:rFonts w:ascii="Arial Narrow" w:hAnsi="Arial Narrow"/>
          <w:sz w:val="20"/>
          <w:szCs w:val="20"/>
        </w:rPr>
      </w:pPr>
    </w:p>
    <w:sectPr w:rsidR="00526F9D" w:rsidRPr="00E258E3" w:rsidSect="00E4106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40470"/>
    <w:multiLevelType w:val="hybridMultilevel"/>
    <w:tmpl w:val="14D825B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20C4722"/>
    <w:multiLevelType w:val="hybridMultilevel"/>
    <w:tmpl w:val="9B8CE71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64359C3"/>
    <w:multiLevelType w:val="hybridMultilevel"/>
    <w:tmpl w:val="498013E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97042E"/>
    <w:multiLevelType w:val="hybridMultilevel"/>
    <w:tmpl w:val="AE92A582"/>
    <w:lvl w:ilvl="0" w:tplc="2CA65E00">
      <w:numFmt w:val="bullet"/>
      <w:lvlText w:val="-"/>
      <w:lvlJc w:val="left"/>
      <w:pPr>
        <w:ind w:left="720" w:hanging="360"/>
      </w:pPr>
      <w:rPr>
        <w:rFonts w:ascii="Calibri" w:eastAsia="Calibri" w:hAnsi="Calibri"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BBA72B5"/>
    <w:multiLevelType w:val="hybridMultilevel"/>
    <w:tmpl w:val="9B8CE71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D6C62F2"/>
    <w:multiLevelType w:val="multilevel"/>
    <w:tmpl w:val="3350109A"/>
    <w:lvl w:ilvl="0">
      <w:start w:val="1"/>
      <w:numFmt w:val="decimal"/>
      <w:lvlText w:val="%1."/>
      <w:lvlJc w:val="left"/>
      <w:pPr>
        <w:ind w:left="720" w:hanging="360"/>
      </w:pPr>
    </w:lvl>
    <w:lvl w:ilvl="1">
      <w:numFmt w:val="bullet"/>
      <w:lvlText w:val="-"/>
      <w:lvlJc w:val="left"/>
      <w:pPr>
        <w:ind w:left="1080" w:hanging="720"/>
      </w:pPr>
      <w:rPr>
        <w:rFonts w:ascii="Calibri" w:eastAsia="Calibri" w:hAnsi="Calibri" w:cs="Calibri" w:hint="default"/>
        <w:b/>
      </w:rPr>
    </w:lvl>
    <w:lvl w:ilvl="2">
      <w:start w:val="1"/>
      <w:numFmt w:val="decimal"/>
      <w:isLgl/>
      <w:lvlText w:val="%1.%2.%3."/>
      <w:lvlJc w:val="left"/>
      <w:pPr>
        <w:ind w:left="1080" w:hanging="720"/>
      </w:pPr>
      <w:rPr>
        <w:b/>
      </w:rPr>
    </w:lvl>
    <w:lvl w:ilvl="3">
      <w:start w:val="1"/>
      <w:numFmt w:val="decimal"/>
      <w:isLgl/>
      <w:lvlText w:val="%1.%2.%3.%4."/>
      <w:lvlJc w:val="left"/>
      <w:pPr>
        <w:ind w:left="1440" w:hanging="1080"/>
      </w:pPr>
      <w:rPr>
        <w:b/>
      </w:rPr>
    </w:lvl>
    <w:lvl w:ilvl="4">
      <w:start w:val="1"/>
      <w:numFmt w:val="decimal"/>
      <w:isLgl/>
      <w:lvlText w:val="%1.%2.%3.%4.%5."/>
      <w:lvlJc w:val="left"/>
      <w:pPr>
        <w:ind w:left="1440" w:hanging="1080"/>
      </w:pPr>
      <w:rPr>
        <w:b/>
      </w:rPr>
    </w:lvl>
    <w:lvl w:ilvl="5">
      <w:start w:val="1"/>
      <w:numFmt w:val="decimal"/>
      <w:isLgl/>
      <w:lvlText w:val="%1.%2.%3.%4.%5.%6."/>
      <w:lvlJc w:val="left"/>
      <w:pPr>
        <w:ind w:left="1800" w:hanging="1440"/>
      </w:pPr>
      <w:rPr>
        <w:b/>
      </w:rPr>
    </w:lvl>
    <w:lvl w:ilvl="6">
      <w:start w:val="1"/>
      <w:numFmt w:val="decimal"/>
      <w:isLgl/>
      <w:lvlText w:val="%1.%2.%3.%4.%5.%6.%7."/>
      <w:lvlJc w:val="left"/>
      <w:pPr>
        <w:ind w:left="1800" w:hanging="1440"/>
      </w:pPr>
      <w:rPr>
        <w:b/>
      </w:rPr>
    </w:lvl>
    <w:lvl w:ilvl="7">
      <w:start w:val="1"/>
      <w:numFmt w:val="decimal"/>
      <w:isLgl/>
      <w:lvlText w:val="%1.%2.%3.%4.%5.%6.%7.%8."/>
      <w:lvlJc w:val="left"/>
      <w:pPr>
        <w:ind w:left="2160" w:hanging="1800"/>
      </w:pPr>
      <w:rPr>
        <w:b/>
      </w:rPr>
    </w:lvl>
    <w:lvl w:ilvl="8">
      <w:start w:val="1"/>
      <w:numFmt w:val="decimal"/>
      <w:isLgl/>
      <w:lvlText w:val="%1.%2.%3.%4.%5.%6.%7.%8.%9."/>
      <w:lvlJc w:val="left"/>
      <w:pPr>
        <w:ind w:left="2160" w:hanging="1800"/>
      </w:pPr>
      <w:rPr>
        <w:b/>
      </w:rPr>
    </w:lvl>
  </w:abstractNum>
  <w:abstractNum w:abstractNumId="6" w15:restartNumberingAfterBreak="0">
    <w:nsid w:val="2319223B"/>
    <w:multiLevelType w:val="hybridMultilevel"/>
    <w:tmpl w:val="D786BD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A2F0ADF"/>
    <w:multiLevelType w:val="hybridMultilevel"/>
    <w:tmpl w:val="08E6DB18"/>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2D084398"/>
    <w:multiLevelType w:val="hybridMultilevel"/>
    <w:tmpl w:val="C7C0CB7E"/>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30BA7C36"/>
    <w:multiLevelType w:val="hybridMultilevel"/>
    <w:tmpl w:val="CD8065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C3C13B1"/>
    <w:multiLevelType w:val="hybridMultilevel"/>
    <w:tmpl w:val="2F287A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01B6090"/>
    <w:multiLevelType w:val="hybridMultilevel"/>
    <w:tmpl w:val="1A382E5A"/>
    <w:lvl w:ilvl="0" w:tplc="95F4368E">
      <w:start w:val="1"/>
      <w:numFmt w:val="decimal"/>
      <w:lvlText w:val="%1."/>
      <w:lvlJc w:val="left"/>
      <w:pPr>
        <w:ind w:left="786" w:hanging="360"/>
      </w:pPr>
      <w:rPr>
        <w:rFonts w:hint="default"/>
        <w:b w:val="0"/>
        <w:color w:val="C9C9C9" w:themeColor="accent3" w:themeTint="99"/>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501E5B7D"/>
    <w:multiLevelType w:val="hybridMultilevel"/>
    <w:tmpl w:val="CAC43ABE"/>
    <w:lvl w:ilvl="0" w:tplc="9B2214DE">
      <w:numFmt w:val="bullet"/>
      <w:lvlText w:val="-"/>
      <w:lvlJc w:val="left"/>
      <w:pPr>
        <w:ind w:left="720" w:hanging="360"/>
      </w:pPr>
      <w:rPr>
        <w:rFonts w:ascii="Calibri" w:eastAsia="Calibri" w:hAnsi="Calibri" w:cs="Calibri"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6F1F3F26"/>
    <w:multiLevelType w:val="hybridMultilevel"/>
    <w:tmpl w:val="280A8DC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13"/>
  </w:num>
  <w:num w:numId="3">
    <w:abstractNumId w:val="9"/>
  </w:num>
  <w:num w:numId="4">
    <w:abstractNumId w:val="7"/>
  </w:num>
  <w:num w:numId="5">
    <w:abstractNumId w:val="8"/>
  </w:num>
  <w:num w:numId="6">
    <w:abstractNumId w:val="0"/>
  </w:num>
  <w:num w:numId="7">
    <w:abstractNumId w:val="4"/>
  </w:num>
  <w:num w:numId="8">
    <w:abstractNumId w:val="2"/>
  </w:num>
  <w:num w:numId="9">
    <w:abstractNumId w:val="11"/>
  </w:num>
  <w:num w:numId="10">
    <w:abstractNumId w:val="10"/>
  </w:num>
  <w:num w:numId="11">
    <w:abstractNumId w:val="6"/>
  </w:num>
  <w:num w:numId="12">
    <w:abstractNumId w:val="3"/>
  </w:num>
  <w:num w:numId="13">
    <w:abstractNumId w:val="12"/>
  </w:num>
  <w:num w:numId="14">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B3F"/>
    <w:rsid w:val="000B7B01"/>
    <w:rsid w:val="000E1B3F"/>
    <w:rsid w:val="000F3602"/>
    <w:rsid w:val="0013148F"/>
    <w:rsid w:val="00145F6A"/>
    <w:rsid w:val="00181CEF"/>
    <w:rsid w:val="001E5231"/>
    <w:rsid w:val="00241880"/>
    <w:rsid w:val="004703EA"/>
    <w:rsid w:val="00526F9D"/>
    <w:rsid w:val="00545BB1"/>
    <w:rsid w:val="00607A25"/>
    <w:rsid w:val="006200B9"/>
    <w:rsid w:val="006903A2"/>
    <w:rsid w:val="006A6FD1"/>
    <w:rsid w:val="006D109B"/>
    <w:rsid w:val="00803A09"/>
    <w:rsid w:val="008C0E6B"/>
    <w:rsid w:val="008F0247"/>
    <w:rsid w:val="009077EE"/>
    <w:rsid w:val="0095670C"/>
    <w:rsid w:val="009A56BC"/>
    <w:rsid w:val="00A87D75"/>
    <w:rsid w:val="00AC43DA"/>
    <w:rsid w:val="00B3346A"/>
    <w:rsid w:val="00C87DC4"/>
    <w:rsid w:val="00CC0052"/>
    <w:rsid w:val="00D25BE2"/>
    <w:rsid w:val="00D40713"/>
    <w:rsid w:val="00D527AC"/>
    <w:rsid w:val="00DE5C8E"/>
    <w:rsid w:val="00E258E3"/>
    <w:rsid w:val="00E41063"/>
    <w:rsid w:val="00E7563D"/>
    <w:rsid w:val="00E97E89"/>
    <w:rsid w:val="00EE5E57"/>
    <w:rsid w:val="00F3095D"/>
    <w:rsid w:val="00F32622"/>
    <w:rsid w:val="00FA37FF"/>
    <w:rsid w:val="00FF53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7E96E"/>
  <w15:chartTrackingRefBased/>
  <w15:docId w15:val="{B703A2C9-85D5-4BD9-8981-59B13921D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1B3F"/>
    <w:pPr>
      <w:ind w:left="720"/>
      <w:contextualSpacing/>
    </w:pPr>
  </w:style>
  <w:style w:type="paragraph" w:styleId="Sinespaciado">
    <w:name w:val="No Spacing"/>
    <w:uiPriority w:val="1"/>
    <w:qFormat/>
    <w:rsid w:val="000E1B3F"/>
    <w:pPr>
      <w:spacing w:after="0" w:line="240" w:lineRule="auto"/>
    </w:pPr>
  </w:style>
  <w:style w:type="table" w:styleId="Tablaconcuadrcula">
    <w:name w:val="Table Grid"/>
    <w:basedOn w:val="Tablanormal"/>
    <w:uiPriority w:val="39"/>
    <w:rsid w:val="00E410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68379">
      <w:bodyDiv w:val="1"/>
      <w:marLeft w:val="0"/>
      <w:marRight w:val="0"/>
      <w:marTop w:val="0"/>
      <w:marBottom w:val="0"/>
      <w:divBdr>
        <w:top w:val="none" w:sz="0" w:space="0" w:color="auto"/>
        <w:left w:val="none" w:sz="0" w:space="0" w:color="auto"/>
        <w:bottom w:val="none" w:sz="0" w:space="0" w:color="auto"/>
        <w:right w:val="none" w:sz="0" w:space="0" w:color="auto"/>
      </w:divBdr>
    </w:div>
    <w:div w:id="842742785">
      <w:bodyDiv w:val="1"/>
      <w:marLeft w:val="0"/>
      <w:marRight w:val="0"/>
      <w:marTop w:val="0"/>
      <w:marBottom w:val="0"/>
      <w:divBdr>
        <w:top w:val="none" w:sz="0" w:space="0" w:color="auto"/>
        <w:left w:val="none" w:sz="0" w:space="0" w:color="auto"/>
        <w:bottom w:val="none" w:sz="0" w:space="0" w:color="auto"/>
        <w:right w:val="none" w:sz="0" w:space="0" w:color="auto"/>
      </w:divBdr>
    </w:div>
    <w:div w:id="863247846">
      <w:bodyDiv w:val="1"/>
      <w:marLeft w:val="0"/>
      <w:marRight w:val="0"/>
      <w:marTop w:val="0"/>
      <w:marBottom w:val="0"/>
      <w:divBdr>
        <w:top w:val="none" w:sz="0" w:space="0" w:color="auto"/>
        <w:left w:val="none" w:sz="0" w:space="0" w:color="auto"/>
        <w:bottom w:val="none" w:sz="0" w:space="0" w:color="auto"/>
        <w:right w:val="none" w:sz="0" w:space="0" w:color="auto"/>
      </w:divBdr>
    </w:div>
    <w:div w:id="96365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70998-6ADF-4531-BCC4-EC5CB1FF9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15</Pages>
  <Words>7528</Words>
  <Characters>41408</Characters>
  <Application>Microsoft Office Word</Application>
  <DocSecurity>0</DocSecurity>
  <Lines>345</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Fernando Betancour Palacios</dc:creator>
  <cp:keywords/>
  <dc:description/>
  <cp:lastModifiedBy>Diego Fernando Betancour Palacios</cp:lastModifiedBy>
  <cp:revision>17</cp:revision>
  <dcterms:created xsi:type="dcterms:W3CDTF">2017-02-20T22:51:00Z</dcterms:created>
  <dcterms:modified xsi:type="dcterms:W3CDTF">2022-02-04T02:44:00Z</dcterms:modified>
</cp:coreProperties>
</file>