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7A3861" w14:textId="77777777" w:rsidR="00A22E34" w:rsidRPr="005E11CA" w:rsidRDefault="00A22E34" w:rsidP="005E11CA">
      <w:pPr>
        <w:pStyle w:val="NormalWeb"/>
        <w:spacing w:before="0" w:beforeAutospacing="0" w:after="0" w:afterAutospacing="0"/>
        <w:rPr>
          <w:rFonts w:ascii="Arial Narrow" w:hAnsi="Arial Narrow"/>
          <w:b/>
          <w:bCs/>
          <w:color w:val="0000FF"/>
          <w:u w:val="single"/>
        </w:rPr>
      </w:pPr>
      <w:r w:rsidRPr="005E11CA">
        <w:rPr>
          <w:rFonts w:ascii="Arial Narrow" w:hAnsi="Arial Narrow"/>
          <w:b/>
          <w:bCs/>
          <w:color w:val="0000FF"/>
          <w:u w:val="single"/>
        </w:rPr>
        <w:t>Campos del formato:</w:t>
      </w:r>
      <w:r w:rsidRPr="005E11CA">
        <w:rPr>
          <w:rFonts w:ascii="Arial Narrow" w:hAnsi="Arial Narrow"/>
          <w:b/>
          <w:bCs/>
          <w:color w:val="0000FF"/>
          <w:u w:val="single"/>
        </w:rPr>
        <w:br/>
        <w:t> </w:t>
      </w:r>
    </w:p>
    <w:p w14:paraId="23D19D42"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color w:val="000000"/>
        </w:rPr>
        <w:t>Ti</w:t>
      </w:r>
      <w:r w:rsidRPr="005E11CA">
        <w:rPr>
          <w:rFonts w:ascii="Arial Narrow" w:hAnsi="Arial Narrow"/>
          <w:b/>
          <w:bCs/>
          <w:color w:val="000000"/>
        </w:rPr>
        <w:t>po de identificación:</w:t>
      </w:r>
      <w:r w:rsidRPr="005E11CA">
        <w:rPr>
          <w:rFonts w:ascii="Arial Narrow" w:hAnsi="Arial Narrow"/>
          <w:color w:val="000000"/>
        </w:rPr>
        <w:t xml:space="preserve"> Tipo de identificación del deudor, según convenciones.</w:t>
      </w:r>
      <w:r w:rsidRPr="005E11CA">
        <w:rPr>
          <w:rFonts w:ascii="Arial Narrow" w:hAnsi="Arial Narrow"/>
          <w:color w:val="000000"/>
        </w:rPr>
        <w:br/>
        <w:t> </w:t>
      </w:r>
    </w:p>
    <w:p w14:paraId="3B8AB369"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Número de identificación:</w:t>
      </w:r>
      <w:r w:rsidRPr="005E11CA">
        <w:rPr>
          <w:rFonts w:ascii="Arial Narrow" w:hAnsi="Arial Narrow"/>
          <w:color w:val="000000"/>
        </w:rPr>
        <w:t xml:space="preserve"> Número de identificación del deudor.</w:t>
      </w:r>
      <w:r w:rsidRPr="005E11CA">
        <w:rPr>
          <w:rFonts w:ascii="Arial Narrow" w:hAnsi="Arial Narrow"/>
          <w:color w:val="000000"/>
        </w:rPr>
        <w:br/>
        <w:t> </w:t>
      </w:r>
    </w:p>
    <w:p w14:paraId="53119318"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Número de crédito:</w:t>
      </w:r>
      <w:r w:rsidRPr="005E11CA">
        <w:rPr>
          <w:rFonts w:ascii="Arial Narrow" w:hAnsi="Arial Narrow"/>
          <w:color w:val="000000"/>
        </w:rPr>
        <w:t xml:space="preserve"> Registre el número con el cual se identifica el crédito en forma interna. Este debe ser único y el campo no debe estar vacío.</w:t>
      </w:r>
      <w:r w:rsidRPr="005E11CA">
        <w:rPr>
          <w:rFonts w:ascii="Arial Narrow" w:hAnsi="Arial Narrow"/>
          <w:color w:val="000000"/>
        </w:rPr>
        <w:br/>
        <w:t> </w:t>
      </w:r>
    </w:p>
    <w:p w14:paraId="6444D24A"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Código contable (CUC):</w:t>
      </w:r>
      <w:r w:rsidRPr="005E11CA">
        <w:rPr>
          <w:rFonts w:ascii="Arial Narrow" w:hAnsi="Arial Narrow"/>
          <w:color w:val="000000"/>
        </w:rPr>
        <w:t xml:space="preserve"> En este campo se debe registrar para cada crédito el código de la subcuenta del Catálogo Único de Información con fines de supervisión correspondiente, donde está contabilizado el saldo de capital, de acuerdo con el tipo de cartera, garantía, señal de libranza y calificación de riesgo.</w:t>
      </w:r>
      <w:r w:rsidRPr="005E11CA">
        <w:rPr>
          <w:rFonts w:ascii="Arial Narrow" w:hAnsi="Arial Narrow"/>
          <w:color w:val="000000"/>
        </w:rPr>
        <w:br/>
        <w:t> </w:t>
      </w:r>
    </w:p>
    <w:p w14:paraId="3F44412B"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Saldo de Capital:</w:t>
      </w:r>
      <w:r w:rsidRPr="005E11CA">
        <w:rPr>
          <w:rFonts w:ascii="Arial Narrow" w:hAnsi="Arial Narrow"/>
          <w:color w:val="000000"/>
        </w:rPr>
        <w:t xml:space="preserve"> Registre el saldo de cada obligación por concepto de capital a la fecha de corte del reporte. La sumatoria de estos valores se validará con el saldo de capital registrado en la cuenta 140000 del Catálogo único de cuentas con fines de supervisión.</w:t>
      </w:r>
      <w:r w:rsidRPr="005E11CA">
        <w:rPr>
          <w:rFonts w:ascii="Arial Narrow" w:hAnsi="Arial Narrow"/>
          <w:color w:val="000000"/>
        </w:rPr>
        <w:br/>
        <w:t> </w:t>
      </w:r>
    </w:p>
    <w:p w14:paraId="3884D1C2"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Saldo de intereses:</w:t>
      </w:r>
      <w:r w:rsidRPr="005E11CA">
        <w:rPr>
          <w:rFonts w:ascii="Arial Narrow" w:hAnsi="Arial Narrow"/>
          <w:color w:val="000000"/>
        </w:rPr>
        <w:t xml:space="preserve"> Registre el saldo de los intereses causados y no pagados, de cada una de las obligaciones del deudor, que deben estar registrados en la respectiva subcuenta de la cuenta 140000 del Catálogo único de información financiera con fines de supervisión. </w:t>
      </w:r>
      <w:r w:rsidRPr="005E11CA">
        <w:rPr>
          <w:rFonts w:ascii="Arial Narrow" w:hAnsi="Arial Narrow"/>
          <w:color w:val="000000"/>
        </w:rPr>
        <w:br/>
        <w:t> </w:t>
      </w:r>
    </w:p>
    <w:p w14:paraId="5A6FCFB9"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Pago por cuenta de asociados:</w:t>
      </w:r>
      <w:r w:rsidRPr="005E11CA">
        <w:rPr>
          <w:rFonts w:ascii="Arial Narrow" w:hAnsi="Arial Narrow"/>
          <w:color w:val="000000"/>
        </w:rPr>
        <w:t xml:space="preserve"> </w:t>
      </w:r>
      <w:bookmarkStart w:id="0" w:name="OLE_LINK1"/>
      <w:r w:rsidRPr="005E11CA">
        <w:rPr>
          <w:rFonts w:ascii="Arial Narrow" w:hAnsi="Arial Narrow"/>
          <w:color w:val="000000"/>
        </w:rPr>
        <w:t>Registre el saldo adeudado por otros conceptos, tales como: gastos notariales, costos abogado, seguros, entre otros</w:t>
      </w:r>
      <w:bookmarkEnd w:id="0"/>
      <w:r w:rsidRPr="005E11CA">
        <w:rPr>
          <w:rFonts w:ascii="Arial Narrow" w:hAnsi="Arial Narrow"/>
          <w:color w:val="000000"/>
        </w:rPr>
        <w:t>; que se registran en las subcuentas de la cuenta 140000 del Catálogo Único de Información con fines de supervisión.</w:t>
      </w:r>
      <w:r w:rsidRPr="005E11CA">
        <w:rPr>
          <w:rFonts w:ascii="Arial Narrow" w:hAnsi="Arial Narrow"/>
          <w:color w:val="000000"/>
        </w:rPr>
        <w:br/>
        <w:t> </w:t>
      </w:r>
    </w:p>
    <w:p w14:paraId="0E80DAA8"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Aportes sociales:</w:t>
      </w:r>
      <w:r w:rsidRPr="005E11CA">
        <w:rPr>
          <w:rFonts w:ascii="Arial Narrow" w:hAnsi="Arial Narrow"/>
          <w:color w:val="000000"/>
        </w:rPr>
        <w:t xml:space="preserve"> Registre el valor de los aportes sociales, según la distribución a prorrata, teniendo en cuenta el total de las obligaciones a la fecha de corte del reporte.</w:t>
      </w:r>
      <w:r w:rsidRPr="005E11CA">
        <w:rPr>
          <w:rFonts w:ascii="Arial Narrow" w:hAnsi="Arial Narrow"/>
          <w:color w:val="000000"/>
        </w:rPr>
        <w:br/>
      </w:r>
      <w:r w:rsidRPr="005E11CA">
        <w:rPr>
          <w:rFonts w:ascii="Arial Narrow" w:hAnsi="Arial Narrow"/>
          <w:color w:val="000000"/>
        </w:rPr>
        <w:br/>
      </w:r>
      <w:r w:rsidRPr="005E11CA">
        <w:rPr>
          <w:rFonts w:ascii="Arial Narrow" w:hAnsi="Arial Narrow"/>
          <w:b/>
          <w:bCs/>
          <w:color w:val="000000"/>
        </w:rPr>
        <w:t>Ejemplo:</w:t>
      </w:r>
      <w:r w:rsidRPr="005E11CA">
        <w:rPr>
          <w:rFonts w:ascii="Arial Narrow" w:hAnsi="Arial Narrow"/>
          <w:color w:val="000000"/>
        </w:rPr>
        <w:t xml:space="preserve"> Juan Pérez tiene 3 créditos con la organización solidaria por un total de $1.000 pesos y aportes sociales por $200 pesos.</w:t>
      </w:r>
      <w:r w:rsidRPr="005E11CA">
        <w:rPr>
          <w:rFonts w:ascii="Arial Narrow" w:hAnsi="Arial Narrow"/>
          <w:color w:val="000000"/>
        </w:rPr>
        <w:br/>
      </w:r>
      <w:r w:rsidRPr="005E11CA">
        <w:rPr>
          <w:rFonts w:ascii="Arial Narrow" w:hAnsi="Arial Narrow"/>
          <w:color w:val="000000"/>
        </w:rPr>
        <w:br/>
        <w:t>Los créditos están distribuidos de la siguiente manera:</w:t>
      </w:r>
      <w:r w:rsidRPr="005E11CA">
        <w:rPr>
          <w:rFonts w:ascii="Arial Narrow" w:hAnsi="Arial Narrow"/>
          <w:color w:val="000000"/>
        </w:rPr>
        <w:br/>
      </w:r>
      <w:r w:rsidRPr="005E11CA">
        <w:rPr>
          <w:rFonts w:ascii="Arial Narrow" w:hAnsi="Arial Narrow"/>
          <w:color w:val="000000"/>
        </w:rPr>
        <w:br/>
        <w:t>El crédito No. 01 es por un valor de $200 pesos. El crédito No. 02 es por un valor de $300 pesos. El crédito No. 03 es por un valor de $500 pesos.</w:t>
      </w:r>
      <w:r w:rsidRPr="005E11CA">
        <w:rPr>
          <w:rFonts w:ascii="Arial Narrow" w:hAnsi="Arial Narrow"/>
          <w:color w:val="000000"/>
        </w:rPr>
        <w:br/>
      </w:r>
      <w:r w:rsidRPr="005E11CA">
        <w:rPr>
          <w:rFonts w:ascii="Arial Narrow" w:hAnsi="Arial Narrow"/>
          <w:color w:val="000000"/>
        </w:rPr>
        <w:br/>
        <w:t>La participación de cada uno de estos créditos, dentro de la sumatoria total de obligaciones ($1.000) es la siguiente:</w:t>
      </w:r>
      <w:r w:rsidRPr="005E11CA">
        <w:rPr>
          <w:rFonts w:ascii="Arial Narrow" w:hAnsi="Arial Narrow"/>
          <w:color w:val="000000"/>
        </w:rPr>
        <w:br/>
      </w:r>
      <w:r w:rsidRPr="005E11CA">
        <w:rPr>
          <w:rFonts w:ascii="Arial Narrow" w:hAnsi="Arial Narrow"/>
          <w:color w:val="000000"/>
        </w:rPr>
        <w:br/>
        <w:t>El crédito No. 01 representa el 20% del total de las obligaciones crediticias El crédito No. 02 representa el 30% del total de las obligaciones crediticias El crédito No. 03 representa el 50% del total de las obligaciones crediticias.</w:t>
      </w:r>
      <w:r w:rsidRPr="005E11CA">
        <w:rPr>
          <w:rFonts w:ascii="Arial Narrow" w:hAnsi="Arial Narrow"/>
          <w:color w:val="000000"/>
        </w:rPr>
        <w:br/>
      </w:r>
      <w:r w:rsidRPr="005E11CA">
        <w:rPr>
          <w:rFonts w:ascii="Arial Narrow" w:hAnsi="Arial Narrow"/>
          <w:color w:val="000000"/>
        </w:rPr>
        <w:br/>
        <w:t>La distribución a prorrata del total de los aportes ($200), se realizará teniendo en cuenta los anteriores porcentajes, de la siguiente forma:</w:t>
      </w:r>
      <w:r w:rsidRPr="005E11CA">
        <w:rPr>
          <w:rFonts w:ascii="Arial Narrow" w:hAnsi="Arial Narrow"/>
          <w:color w:val="000000"/>
        </w:rPr>
        <w:br/>
      </w:r>
      <w:r w:rsidRPr="005E11CA">
        <w:rPr>
          <w:rFonts w:ascii="Arial Narrow" w:hAnsi="Arial Narrow"/>
          <w:color w:val="000000"/>
        </w:rPr>
        <w:br/>
        <w:t>Al crédito No. 01 le corresponde el 20 % del total de los aportes, es decir la suma de $40 pesos</w:t>
      </w:r>
      <w:r w:rsidRPr="005E11CA">
        <w:rPr>
          <w:rFonts w:ascii="Arial Narrow" w:hAnsi="Arial Narrow"/>
          <w:color w:val="000000"/>
        </w:rPr>
        <w:br/>
      </w:r>
      <w:r w:rsidRPr="005E11CA">
        <w:rPr>
          <w:rFonts w:ascii="Arial Narrow" w:hAnsi="Arial Narrow"/>
          <w:color w:val="000000"/>
        </w:rPr>
        <w:lastRenderedPageBreak/>
        <w:t>Al crédito No. 02 le corresponde el 30 % del total de los aportes, es decir la suma de $60 pesos</w:t>
      </w:r>
      <w:r w:rsidRPr="005E11CA">
        <w:rPr>
          <w:rFonts w:ascii="Arial Narrow" w:hAnsi="Arial Narrow"/>
          <w:color w:val="000000"/>
        </w:rPr>
        <w:br/>
        <w:t>Al crédito No. 03 le corresponde el 50 % del total de los aportes, es decir la suma de $100 pesos</w:t>
      </w:r>
      <w:r w:rsidRPr="005E11CA">
        <w:rPr>
          <w:rFonts w:ascii="Arial Narrow" w:hAnsi="Arial Narrow"/>
          <w:color w:val="000000"/>
        </w:rPr>
        <w:br/>
      </w:r>
      <w:r w:rsidRPr="005E11CA">
        <w:rPr>
          <w:rFonts w:ascii="Arial Narrow" w:hAnsi="Arial Narrow"/>
          <w:color w:val="000000"/>
        </w:rPr>
        <w:br/>
      </w:r>
      <w:r w:rsidRPr="005E11CA">
        <w:rPr>
          <w:rFonts w:ascii="Arial Narrow" w:hAnsi="Arial Narrow"/>
          <w:b/>
          <w:bCs/>
          <w:color w:val="000000"/>
        </w:rPr>
        <w:t>Nota:</w:t>
      </w:r>
      <w:r w:rsidRPr="005E11CA">
        <w:rPr>
          <w:rFonts w:ascii="Arial Narrow" w:hAnsi="Arial Narrow"/>
          <w:color w:val="000000"/>
        </w:rPr>
        <w:t xml:space="preserve"> Si el deudor tiene un solo crédito con la organización solidaria, debe registrar el 100% de los aportes, teniendo en cuenta las restricciones previstas en la norma.</w:t>
      </w:r>
      <w:r w:rsidRPr="005E11CA">
        <w:rPr>
          <w:rFonts w:ascii="Arial Narrow" w:hAnsi="Arial Narrow"/>
          <w:color w:val="000000"/>
        </w:rPr>
        <w:br/>
        <w:t> </w:t>
      </w:r>
    </w:p>
    <w:p w14:paraId="00510879"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Ahorro permanente:</w:t>
      </w:r>
      <w:r w:rsidRPr="005E11CA">
        <w:rPr>
          <w:rFonts w:ascii="Arial Narrow" w:hAnsi="Arial Narrow"/>
          <w:color w:val="000000"/>
        </w:rPr>
        <w:t xml:space="preserve"> Registre el valor de los ahorros permanentes, según la distribución a prorrata, teniendo en cuenta el total de las obligaciones a la fecha de corte del reporte.</w:t>
      </w:r>
      <w:r w:rsidRPr="005E11CA">
        <w:rPr>
          <w:rFonts w:ascii="Arial Narrow" w:hAnsi="Arial Narrow"/>
          <w:color w:val="000000"/>
        </w:rPr>
        <w:br/>
      </w:r>
      <w:r w:rsidRPr="005E11CA">
        <w:rPr>
          <w:rFonts w:ascii="Arial Narrow" w:hAnsi="Arial Narrow"/>
          <w:color w:val="000000"/>
        </w:rPr>
        <w:br/>
      </w:r>
      <w:r w:rsidRPr="005E11CA">
        <w:rPr>
          <w:rFonts w:ascii="Arial Narrow" w:hAnsi="Arial Narrow"/>
          <w:b/>
          <w:bCs/>
          <w:color w:val="000000"/>
        </w:rPr>
        <w:t>Nota:</w:t>
      </w:r>
      <w:r w:rsidRPr="005E11CA">
        <w:rPr>
          <w:rFonts w:ascii="Arial Narrow" w:hAnsi="Arial Narrow"/>
          <w:color w:val="000000"/>
        </w:rPr>
        <w:t xml:space="preserve">   Recibe el mismo tratamiento de los aportes y se debe tener en cuenta las restricciones previstas en la norma. </w:t>
      </w:r>
      <w:r w:rsidRPr="005E11CA">
        <w:rPr>
          <w:rFonts w:ascii="Arial Narrow" w:hAnsi="Arial Narrow"/>
          <w:color w:val="000000"/>
        </w:rPr>
        <w:br/>
        <w:t> </w:t>
      </w:r>
    </w:p>
    <w:p w14:paraId="3FBEA83A"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Valor expuesto del activo - VEA:</w:t>
      </w:r>
      <w:r w:rsidRPr="005E11CA">
        <w:rPr>
          <w:rFonts w:ascii="Arial Narrow" w:hAnsi="Arial Narrow"/>
          <w:color w:val="000000"/>
        </w:rPr>
        <w:t xml:space="preserve"> Corresponde al valor expuesto del activo (Capital+ Intereses+ Otros cargos relacionados con el crédito) – Aportes (a prorrata) - Ahorro permanente (a prorrata).</w:t>
      </w:r>
      <w:r w:rsidRPr="005E11CA">
        <w:rPr>
          <w:rFonts w:ascii="Arial Narrow" w:hAnsi="Arial Narrow"/>
          <w:color w:val="000000"/>
        </w:rPr>
        <w:br/>
        <w:t> </w:t>
      </w:r>
    </w:p>
    <w:p w14:paraId="1048A19A"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Valor Garantía:</w:t>
      </w:r>
      <w:r w:rsidRPr="005E11CA">
        <w:rPr>
          <w:rFonts w:ascii="Arial Narrow" w:hAnsi="Arial Narrow"/>
          <w:color w:val="000000"/>
        </w:rPr>
        <w:t xml:space="preserve"> Se registra el valor de los bienes y/o derechos suministrados por el deudor como garantía de los créditos que tiene con la entidad diferente de aportes sociales.</w:t>
      </w:r>
      <w:r w:rsidRPr="005E11CA">
        <w:rPr>
          <w:rFonts w:ascii="Arial Narrow" w:hAnsi="Arial Narrow"/>
          <w:color w:val="000000"/>
        </w:rPr>
        <w:br/>
        <w:t> </w:t>
      </w:r>
    </w:p>
    <w:p w14:paraId="4D6C3B5B"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Tipo De Garantía Clase de garantía:</w:t>
      </w:r>
      <w:r w:rsidRPr="005E11CA">
        <w:rPr>
          <w:rFonts w:ascii="Arial Narrow" w:hAnsi="Arial Narrow"/>
          <w:color w:val="000000"/>
        </w:rPr>
        <w:t xml:space="preserve"> Registre la clase de garantía otorgada que respalda el saldo de la obligación, según las siguientes convenciones:</w:t>
      </w:r>
      <w:r w:rsidRPr="005E11CA">
        <w:rPr>
          <w:rFonts w:ascii="Arial Narrow" w:hAnsi="Arial Narrow"/>
          <w:color w:val="000000"/>
        </w:rPr>
        <w:br/>
      </w:r>
      <w:r w:rsidRPr="005E11CA">
        <w:rPr>
          <w:rFonts w:ascii="Arial Narrow" w:hAnsi="Arial Narrow"/>
          <w:color w:val="000000"/>
        </w:rPr>
        <w:br/>
        <w:t>1 = Garantía no idónea</w:t>
      </w:r>
      <w:r w:rsidRPr="005E11CA">
        <w:rPr>
          <w:rFonts w:ascii="Arial Narrow" w:hAnsi="Arial Narrow"/>
          <w:color w:val="000000"/>
        </w:rPr>
        <w:br/>
        <w:t>2 = Hipotecaria  </w:t>
      </w:r>
      <w:r w:rsidRPr="005E11CA">
        <w:rPr>
          <w:rFonts w:ascii="Arial Narrow" w:hAnsi="Arial Narrow"/>
          <w:color w:val="000000"/>
        </w:rPr>
        <w:br/>
        <w:t>3 = Prendaria (Vehículos y maquinaria)</w:t>
      </w:r>
      <w:r w:rsidRPr="005E11CA">
        <w:rPr>
          <w:rFonts w:ascii="Arial Narrow" w:hAnsi="Arial Narrow"/>
          <w:color w:val="000000"/>
        </w:rPr>
        <w:br/>
        <w:t>6 = Contratos de Fiducia</w:t>
      </w:r>
      <w:r w:rsidRPr="005E11CA">
        <w:rPr>
          <w:rFonts w:ascii="Arial Narrow" w:hAnsi="Arial Narrow"/>
          <w:color w:val="000000"/>
        </w:rPr>
        <w:br/>
        <w:t>8 = Pignoración de rentas</w:t>
      </w:r>
      <w:r w:rsidRPr="005E11CA">
        <w:rPr>
          <w:rFonts w:ascii="Arial Narrow" w:hAnsi="Arial Narrow"/>
          <w:color w:val="000000"/>
        </w:rPr>
        <w:br/>
        <w:t>9 = Otras garantías idóneas (*)</w:t>
      </w:r>
      <w:r w:rsidRPr="005E11CA">
        <w:rPr>
          <w:rFonts w:ascii="Arial Narrow" w:hAnsi="Arial Narrow"/>
          <w:color w:val="000000"/>
        </w:rPr>
        <w:br/>
        <w:t>10 = Depósitos de dinero en garantía</w:t>
      </w:r>
      <w:r w:rsidRPr="005E11CA">
        <w:rPr>
          <w:rFonts w:ascii="Arial Narrow" w:hAnsi="Arial Narrow"/>
          <w:color w:val="000000"/>
        </w:rPr>
        <w:br/>
        <w:t>11 = Garantía soberana de la nación</w:t>
      </w:r>
      <w:r w:rsidRPr="005E11CA">
        <w:rPr>
          <w:rFonts w:ascii="Arial Narrow" w:hAnsi="Arial Narrow"/>
          <w:color w:val="000000"/>
        </w:rPr>
        <w:br/>
        <w:t>12 = Garantías emitidas por fondos de garantías que administren recursos públicos (FNG, FAG)</w:t>
      </w:r>
      <w:r w:rsidRPr="005E11CA">
        <w:rPr>
          <w:rFonts w:ascii="Arial Narrow" w:hAnsi="Arial Narrow"/>
          <w:color w:val="000000"/>
        </w:rPr>
        <w:br/>
        <w:t>13 = Derechos de cobro</w:t>
      </w:r>
      <w:r w:rsidRPr="005E11CA">
        <w:rPr>
          <w:rFonts w:ascii="Arial Narrow" w:hAnsi="Arial Narrow"/>
          <w:color w:val="000000"/>
        </w:rPr>
        <w:br/>
        <w:t>14 = Fiducia sobre inmuebles</w:t>
      </w:r>
      <w:r w:rsidRPr="005E11CA">
        <w:rPr>
          <w:rFonts w:ascii="Arial Narrow" w:hAnsi="Arial Narrow"/>
          <w:color w:val="000000"/>
        </w:rPr>
        <w:br/>
        <w:t>15 = Sin garantía</w:t>
      </w:r>
      <w:r w:rsidRPr="005E11CA">
        <w:rPr>
          <w:rFonts w:ascii="Arial Narrow" w:hAnsi="Arial Narrow"/>
          <w:color w:val="000000"/>
        </w:rPr>
        <w:br/>
        <w:t> </w:t>
      </w:r>
    </w:p>
    <w:p w14:paraId="4C2DE48E"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Porcentaje (%) de cubierto con garantía:</w:t>
      </w:r>
      <w:r w:rsidRPr="005E11CA">
        <w:rPr>
          <w:rFonts w:ascii="Arial Narrow" w:hAnsi="Arial Narrow"/>
          <w:color w:val="000000"/>
        </w:rPr>
        <w:t xml:space="preserve"> Registre el porcentaje que cubre la garantía, debe asegurarse que al sumar el porcentaje de cubrimiento para cada obligación este sea del 100%.</w:t>
      </w:r>
      <w:r w:rsidRPr="005E11CA">
        <w:rPr>
          <w:rFonts w:ascii="Arial Narrow" w:hAnsi="Arial Narrow"/>
          <w:color w:val="000000"/>
        </w:rPr>
        <w:br/>
      </w:r>
      <w:r w:rsidRPr="005E11CA">
        <w:rPr>
          <w:rFonts w:ascii="Arial Narrow" w:hAnsi="Arial Narrow"/>
          <w:color w:val="000000"/>
        </w:rPr>
        <w:br/>
      </w:r>
      <w:r w:rsidRPr="005E11CA">
        <w:rPr>
          <w:rFonts w:ascii="Arial Narrow" w:hAnsi="Arial Narrow"/>
          <w:b/>
          <w:bCs/>
          <w:color w:val="000000"/>
        </w:rPr>
        <w:t>Ejemplo:</w:t>
      </w:r>
      <w:r w:rsidRPr="005E11CA">
        <w:rPr>
          <w:rFonts w:ascii="Arial Narrow" w:hAnsi="Arial Narrow"/>
          <w:color w:val="000000"/>
        </w:rPr>
        <w:t xml:space="preserve">  Crédito con un VEA= $30.000.000, garantía: Prenda sobre vehículo, valor garantía $25.000.000.</w:t>
      </w:r>
      <w:r w:rsidRPr="005E11CA">
        <w:rPr>
          <w:rFonts w:ascii="Arial Narrow" w:hAnsi="Arial Narrow"/>
          <w:color w:val="000000"/>
        </w:rPr>
        <w:br/>
      </w:r>
      <w:r w:rsidRPr="005E11CA">
        <w:rPr>
          <w:rFonts w:ascii="Arial Narrow" w:hAnsi="Arial Narrow"/>
          <w:color w:val="000000"/>
        </w:rPr>
        <w:br/>
        <w:t>La garantía cubre el 83,3% del VEA, a la cual le aplica el PDI correspondiente a garantía prendaria dependiendo los días de mora después del incumplimiento, queda el 16,7% sin cubrimiento, por lo tanto, si no cuenta con otra garantía, para cubrir el 16,7%, deberá aplicar el PDI correspondiente a sin garantía, dependiendo los días de mora después del incumplimiento.</w:t>
      </w:r>
      <w:r w:rsidRPr="005E11CA">
        <w:rPr>
          <w:rFonts w:ascii="Arial Narrow" w:hAnsi="Arial Narrow"/>
          <w:color w:val="000000"/>
        </w:rPr>
        <w:br/>
        <w:t> </w:t>
      </w:r>
    </w:p>
    <w:p w14:paraId="17A5F4E7"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lastRenderedPageBreak/>
        <w:t>Modelo:</w:t>
      </w:r>
      <w:r w:rsidRPr="005E11CA">
        <w:rPr>
          <w:rFonts w:ascii="Arial Narrow" w:hAnsi="Arial Narrow"/>
          <w:color w:val="000000"/>
        </w:rPr>
        <w:t xml:space="preserve"> Indique si la obligación es calificada por modelo de referencia (1), modelo interno (2) o no aplica modelo (3) (en el caso de cartera comercial Persona Jurídica, Microcrédito, Vivienda).</w:t>
      </w:r>
      <w:r w:rsidRPr="005E11CA">
        <w:rPr>
          <w:rFonts w:ascii="Arial Narrow" w:hAnsi="Arial Narrow"/>
          <w:color w:val="000000"/>
        </w:rPr>
        <w:br/>
        <w:t> </w:t>
      </w:r>
    </w:p>
    <w:p w14:paraId="54B1092D"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Probabilidad de incumplimiento - PI -:</w:t>
      </w:r>
      <w:r w:rsidRPr="005E11CA">
        <w:rPr>
          <w:rFonts w:ascii="Arial Narrow" w:hAnsi="Arial Narrow"/>
          <w:color w:val="000000"/>
        </w:rPr>
        <w:t xml:space="preserve"> Para aquellas obligaciones que les aplica modelo indique la PI que le fue asignada a cada obligación.</w:t>
      </w:r>
      <w:r w:rsidRPr="005E11CA">
        <w:rPr>
          <w:rFonts w:ascii="Arial Narrow" w:hAnsi="Arial Narrow"/>
          <w:color w:val="000000"/>
        </w:rPr>
        <w:br/>
        <w:t> </w:t>
      </w:r>
    </w:p>
    <w:p w14:paraId="26B9D339"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Pérdida dado el incumplimiento - PDI:</w:t>
      </w:r>
      <w:r w:rsidRPr="005E11CA">
        <w:rPr>
          <w:rFonts w:ascii="Arial Narrow" w:hAnsi="Arial Narrow"/>
          <w:color w:val="000000"/>
        </w:rPr>
        <w:t xml:space="preserve"> Se registra la PDI asignada a cada obligación, de acuerdo con la garantía que respalda la obligación y el porcentaje de cubrimiento.</w:t>
      </w:r>
      <w:r w:rsidRPr="005E11CA">
        <w:rPr>
          <w:rFonts w:ascii="Arial Narrow" w:hAnsi="Arial Narrow"/>
          <w:color w:val="000000"/>
        </w:rPr>
        <w:br/>
      </w:r>
      <w:r w:rsidRPr="005E11CA">
        <w:rPr>
          <w:rFonts w:ascii="Arial Narrow" w:hAnsi="Arial Narrow"/>
          <w:color w:val="000000"/>
        </w:rPr>
        <w:br/>
      </w:r>
      <w:r w:rsidRPr="005E11CA">
        <w:rPr>
          <w:rFonts w:ascii="Arial Narrow" w:hAnsi="Arial Narrow"/>
          <w:b/>
          <w:bCs/>
          <w:color w:val="000000"/>
        </w:rPr>
        <w:t>Nota:</w:t>
      </w:r>
      <w:r w:rsidRPr="005E11CA">
        <w:rPr>
          <w:rFonts w:ascii="Arial Narrow" w:hAnsi="Arial Narrow"/>
          <w:color w:val="000000"/>
        </w:rPr>
        <w:t xml:space="preserve">  En los casos para los cuales la obligación presenta más de una PDI debe repetirse el registro en el reporte, de tal manera que el sumar los porcentajes de cubrimiento este sea igual al 100%. Como en el ejemplo </w:t>
      </w:r>
      <w:proofErr w:type="gramStart"/>
      <w:r w:rsidRPr="005E11CA">
        <w:rPr>
          <w:rFonts w:ascii="Arial Narrow" w:hAnsi="Arial Narrow"/>
          <w:color w:val="000000"/>
        </w:rPr>
        <w:t>presentado  en</w:t>
      </w:r>
      <w:proofErr w:type="gramEnd"/>
      <w:r w:rsidRPr="005E11CA">
        <w:rPr>
          <w:rFonts w:ascii="Arial Narrow" w:hAnsi="Arial Narrow"/>
          <w:color w:val="000000"/>
        </w:rPr>
        <w:t xml:space="preserve"> el numeral 13.</w:t>
      </w:r>
      <w:r w:rsidRPr="005E11CA">
        <w:rPr>
          <w:rFonts w:ascii="Arial Narrow" w:hAnsi="Arial Narrow"/>
          <w:color w:val="000000"/>
        </w:rPr>
        <w:br/>
        <w:t> </w:t>
      </w:r>
    </w:p>
    <w:p w14:paraId="41E8FD4F"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Pérdida esperada - PE:</w:t>
      </w:r>
      <w:r w:rsidRPr="005E11CA">
        <w:rPr>
          <w:rFonts w:ascii="Arial Narrow" w:hAnsi="Arial Narrow"/>
          <w:color w:val="000000"/>
        </w:rPr>
        <w:t xml:space="preserve"> Registre el valor de la pérdida esperada calculada para la obligación.</w:t>
      </w:r>
      <w:r w:rsidRPr="005E11CA">
        <w:rPr>
          <w:rFonts w:ascii="Arial Narrow" w:hAnsi="Arial Narrow"/>
          <w:color w:val="000000"/>
        </w:rPr>
        <w:br/>
        <w:t> </w:t>
      </w:r>
    </w:p>
    <w:p w14:paraId="224AA41B"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Deterioro Capital:</w:t>
      </w:r>
      <w:r w:rsidRPr="005E11CA">
        <w:rPr>
          <w:rFonts w:ascii="Arial Narrow" w:hAnsi="Arial Narrow"/>
          <w:color w:val="000000"/>
        </w:rPr>
        <w:t xml:space="preserve"> Registre el porcentaje de participación del capital en el valor total </w:t>
      </w:r>
      <w:proofErr w:type="gramStart"/>
      <w:r w:rsidRPr="005E11CA">
        <w:rPr>
          <w:rFonts w:ascii="Arial Narrow" w:hAnsi="Arial Narrow"/>
          <w:color w:val="000000"/>
        </w:rPr>
        <w:t>del  saldo</w:t>
      </w:r>
      <w:proofErr w:type="gramEnd"/>
      <w:r w:rsidRPr="005E11CA">
        <w:rPr>
          <w:rFonts w:ascii="Arial Narrow" w:hAnsi="Arial Narrow"/>
          <w:color w:val="000000"/>
        </w:rPr>
        <w:t xml:space="preserve"> del crédito sin descontar aportes y ahorro permanente (Saldo total del crédito= Saldo capital + Saldo intereses + Saldo pagos por cuenta de asociados.</w:t>
      </w:r>
      <w:r w:rsidRPr="005E11CA">
        <w:rPr>
          <w:rFonts w:ascii="Arial Narrow" w:hAnsi="Arial Narrow"/>
          <w:color w:val="000000"/>
        </w:rPr>
        <w:br/>
        <w:t> </w:t>
      </w:r>
    </w:p>
    <w:p w14:paraId="24866292"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Deterioro Intereses:</w:t>
      </w:r>
      <w:r w:rsidRPr="005E11CA">
        <w:rPr>
          <w:rFonts w:ascii="Arial Narrow" w:hAnsi="Arial Narrow"/>
          <w:color w:val="000000"/>
        </w:rPr>
        <w:t xml:space="preserve"> Registre el porcentaje de participación de los intereses en el valor del saldo total del crédito.</w:t>
      </w:r>
      <w:r w:rsidRPr="005E11CA">
        <w:rPr>
          <w:rFonts w:ascii="Arial Narrow" w:hAnsi="Arial Narrow"/>
          <w:color w:val="000000"/>
        </w:rPr>
        <w:br/>
        <w:t> </w:t>
      </w:r>
    </w:p>
    <w:p w14:paraId="52804ECF"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Deterioro pagos por cuenta de asociados:</w:t>
      </w:r>
      <w:r w:rsidRPr="005E11CA">
        <w:rPr>
          <w:rFonts w:ascii="Arial Narrow" w:hAnsi="Arial Narrow"/>
          <w:color w:val="000000"/>
        </w:rPr>
        <w:t xml:space="preserve"> Registre el porcentaje de participación de los otros pagos por cuenta </w:t>
      </w:r>
      <w:proofErr w:type="gramStart"/>
      <w:r w:rsidRPr="005E11CA">
        <w:rPr>
          <w:rFonts w:ascii="Arial Narrow" w:hAnsi="Arial Narrow"/>
          <w:color w:val="000000"/>
        </w:rPr>
        <w:t>de  asociados</w:t>
      </w:r>
      <w:proofErr w:type="gramEnd"/>
      <w:r w:rsidRPr="005E11CA">
        <w:rPr>
          <w:rFonts w:ascii="Arial Narrow" w:hAnsi="Arial Narrow"/>
          <w:color w:val="000000"/>
        </w:rPr>
        <w:t xml:space="preserve"> sobre el saldo total del crédito.</w:t>
      </w:r>
      <w:r w:rsidRPr="005E11CA">
        <w:rPr>
          <w:rFonts w:ascii="Arial Narrow" w:hAnsi="Arial Narrow"/>
          <w:color w:val="000000"/>
        </w:rPr>
        <w:br/>
        <w:t> </w:t>
      </w:r>
    </w:p>
    <w:p w14:paraId="1F5C37E3"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Saldo pendiente por deteriorar:</w:t>
      </w:r>
      <w:r w:rsidRPr="005E11CA">
        <w:rPr>
          <w:rFonts w:ascii="Arial Narrow" w:hAnsi="Arial Narrow"/>
          <w:color w:val="000000"/>
        </w:rPr>
        <w:t xml:space="preserve">  Corresponde a la diferencia entre el deterioro del primer mes aplicando el modelo, Vs lo que tiene constituido de deterioro en el mes anterior.</w:t>
      </w:r>
      <w:r w:rsidRPr="005E11CA">
        <w:rPr>
          <w:rFonts w:ascii="Arial Narrow" w:hAnsi="Arial Narrow"/>
          <w:color w:val="000000"/>
        </w:rPr>
        <w:br/>
        <w:t> </w:t>
      </w:r>
    </w:p>
    <w:p w14:paraId="2FD8CD64"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Plazo Alícuota:</w:t>
      </w:r>
      <w:r w:rsidRPr="005E11CA">
        <w:rPr>
          <w:rFonts w:ascii="Arial Narrow" w:hAnsi="Arial Narrow"/>
          <w:color w:val="000000"/>
        </w:rPr>
        <w:t xml:space="preserve">  Registre el número de meses a los cuales se va a diferir la constitución del deterioro (máximo 36 meses).</w:t>
      </w:r>
      <w:r w:rsidRPr="005E11CA">
        <w:rPr>
          <w:rFonts w:ascii="Arial Narrow" w:hAnsi="Arial Narrow"/>
          <w:color w:val="000000"/>
        </w:rPr>
        <w:br/>
        <w:t> </w:t>
      </w:r>
    </w:p>
    <w:p w14:paraId="2B4C4B92"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Valor Alícuota:</w:t>
      </w:r>
      <w:r w:rsidRPr="005E11CA">
        <w:rPr>
          <w:rFonts w:ascii="Arial Narrow" w:hAnsi="Arial Narrow"/>
          <w:color w:val="000000"/>
        </w:rPr>
        <w:t xml:space="preserve"> Registre el valor mensual de la alícuota.</w:t>
      </w:r>
      <w:r w:rsidRPr="005E11CA">
        <w:rPr>
          <w:rFonts w:ascii="Arial Narrow" w:hAnsi="Arial Narrow"/>
          <w:color w:val="000000"/>
        </w:rPr>
        <w:br/>
        <w:t> </w:t>
      </w:r>
    </w:p>
    <w:p w14:paraId="28FBFC81"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Deterioro acumulado:</w:t>
      </w:r>
      <w:r w:rsidRPr="005E11CA">
        <w:rPr>
          <w:rFonts w:ascii="Arial Narrow" w:hAnsi="Arial Narrow"/>
          <w:color w:val="000000"/>
        </w:rPr>
        <w:t xml:space="preserve"> </w:t>
      </w:r>
      <w:bookmarkStart w:id="1" w:name="_GoBack"/>
      <w:r w:rsidRPr="005E11CA">
        <w:rPr>
          <w:rFonts w:ascii="Arial Narrow" w:hAnsi="Arial Narrow"/>
          <w:color w:val="000000"/>
        </w:rPr>
        <w:t>Comprende la suma del deterioro ya constituido más la alícuota del mes. El valor acumulado debe coincidir con el valor reportado en el Catálogo Único de Información con fines de supervisión.</w:t>
      </w:r>
    </w:p>
    <w:bookmarkEnd w:id="1"/>
    <w:p w14:paraId="661299E2" w14:textId="77777777" w:rsidR="00A22E34" w:rsidRPr="005E11CA" w:rsidRDefault="00A22E34" w:rsidP="005E11CA">
      <w:pPr>
        <w:pStyle w:val="NormalWeb"/>
        <w:spacing w:before="0" w:beforeAutospacing="0" w:after="0" w:afterAutospacing="0"/>
        <w:rPr>
          <w:rFonts w:ascii="Arial Narrow" w:hAnsi="Arial Narrow"/>
        </w:rPr>
      </w:pPr>
      <w:r w:rsidRPr="005E11CA">
        <w:rPr>
          <w:rFonts w:ascii="Arial Narrow" w:hAnsi="Arial Narrow"/>
        </w:rPr>
        <w:t> </w:t>
      </w:r>
    </w:p>
    <w:p w14:paraId="72A655B4" w14:textId="77777777" w:rsidR="00A22E34" w:rsidRPr="005E11CA" w:rsidRDefault="00A22E34" w:rsidP="005E11CA">
      <w:pPr>
        <w:pStyle w:val="NormalWeb"/>
        <w:spacing w:before="0" w:beforeAutospacing="0" w:after="0" w:afterAutospacing="0"/>
        <w:rPr>
          <w:rFonts w:ascii="Arial Narrow" w:hAnsi="Arial Narrow"/>
        </w:rPr>
      </w:pPr>
      <w:r w:rsidRPr="005E11CA">
        <w:rPr>
          <w:rFonts w:ascii="Arial Narrow" w:hAnsi="Arial Narrow"/>
        </w:rPr>
        <w:t> </w:t>
      </w:r>
    </w:p>
    <w:p w14:paraId="56F9373A" w14:textId="7E107381" w:rsidR="00CE1BAA" w:rsidRPr="005E11CA" w:rsidRDefault="00CE1BAA" w:rsidP="005E11CA">
      <w:pPr>
        <w:spacing w:after="0" w:line="240" w:lineRule="auto"/>
        <w:rPr>
          <w:rFonts w:ascii="Arial Narrow" w:hAnsi="Arial Narrow"/>
        </w:rPr>
      </w:pPr>
    </w:p>
    <w:sectPr w:rsidR="00CE1BAA" w:rsidRPr="005E11CA" w:rsidSect="005E11CA">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CC4B24"/>
    <w:multiLevelType w:val="multilevel"/>
    <w:tmpl w:val="E6A83F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E34"/>
    <w:rsid w:val="000B1BC2"/>
    <w:rsid w:val="00175FFD"/>
    <w:rsid w:val="005E11CA"/>
    <w:rsid w:val="007D4DEA"/>
    <w:rsid w:val="00A22E34"/>
    <w:rsid w:val="00CE1BAA"/>
    <w:rsid w:val="00F32C9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756F1"/>
  <w15:chartTrackingRefBased/>
  <w15:docId w15:val="{AE83B1BE-77A1-423A-9622-21AF06544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22E34"/>
    <w:pPr>
      <w:spacing w:before="100" w:beforeAutospacing="1" w:after="100" w:afterAutospacing="1" w:line="240" w:lineRule="auto"/>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1138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266</TotalTime>
  <Pages>1</Pages>
  <Words>1042</Words>
  <Characters>5731</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Fernando Betancour Palacios</dc:creator>
  <cp:keywords/>
  <dc:description/>
  <cp:lastModifiedBy>Victor Manuel Guevara Castro</cp:lastModifiedBy>
  <cp:revision>5</cp:revision>
  <dcterms:created xsi:type="dcterms:W3CDTF">2022-06-23T15:49:00Z</dcterms:created>
  <dcterms:modified xsi:type="dcterms:W3CDTF">2022-06-28T07:52:00Z</dcterms:modified>
</cp:coreProperties>
</file>