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3DAE4" w14:textId="44533F4E" w:rsidR="0010027E" w:rsidRPr="003C5DE8" w:rsidRDefault="0010027E" w:rsidP="003C5DE8">
      <w:pPr>
        <w:pStyle w:val="Ttulo1"/>
        <w:numPr>
          <w:ilvl w:val="0"/>
          <w:numId w:val="42"/>
        </w:numPr>
        <w:suppressAutoHyphens/>
        <w:ind w:left="567" w:hanging="567"/>
        <w:jc w:val="both"/>
        <w:rPr>
          <w:rFonts w:ascii="Arial Narrow" w:hAnsi="Arial Narrow"/>
          <w:b w:val="0"/>
          <w:color w:val="000000" w:themeColor="text1"/>
          <w:sz w:val="26"/>
          <w:szCs w:val="26"/>
          <w:lang w:val="es-CO"/>
        </w:rPr>
      </w:pPr>
      <w:bookmarkStart w:id="0" w:name="_Toc207673712"/>
      <w:bookmarkStart w:id="1" w:name="_Toc252312"/>
      <w:bookmarkStart w:id="2" w:name="_Toc252689"/>
      <w:bookmarkStart w:id="3" w:name="_Toc11674630"/>
      <w:bookmarkStart w:id="4" w:name="_Toc56498154"/>
      <w:bookmarkStart w:id="5" w:name="_Toc97966903"/>
      <w:r w:rsidRPr="003C5DE8">
        <w:rPr>
          <w:rFonts w:ascii="Arial Narrow" w:hAnsi="Arial Narrow"/>
          <w:color w:val="000000" w:themeColor="text1"/>
          <w:sz w:val="26"/>
          <w:szCs w:val="26"/>
          <w:lang w:val="es-CO"/>
        </w:rPr>
        <w:t>CONSIDERACIONES</w:t>
      </w:r>
      <w:bookmarkEnd w:id="0"/>
      <w:bookmarkEnd w:id="1"/>
      <w:bookmarkEnd w:id="2"/>
      <w:bookmarkEnd w:id="3"/>
      <w:bookmarkEnd w:id="4"/>
      <w:r w:rsidRPr="003C5DE8">
        <w:rPr>
          <w:rFonts w:ascii="Arial Narrow" w:hAnsi="Arial Narrow"/>
          <w:color w:val="000000" w:themeColor="text1"/>
          <w:sz w:val="26"/>
          <w:szCs w:val="26"/>
          <w:lang w:val="es-CO"/>
        </w:rPr>
        <w:t xml:space="preserve"> GENERALES</w:t>
      </w:r>
      <w:bookmarkEnd w:id="5"/>
    </w:p>
    <w:p w14:paraId="52913F95" w14:textId="77777777" w:rsidR="0010027E" w:rsidRPr="003C5DE8" w:rsidRDefault="0010027E" w:rsidP="003C5DE8">
      <w:pPr>
        <w:ind w:left="567" w:hanging="567"/>
        <w:jc w:val="both"/>
        <w:rPr>
          <w:rFonts w:ascii="Arial Narrow" w:hAnsi="Arial Narrow" w:cs="Arial"/>
          <w:color w:val="000000" w:themeColor="text1"/>
          <w:sz w:val="26"/>
          <w:szCs w:val="26"/>
          <w:lang w:val="es-CO" w:eastAsia="ar-SA"/>
        </w:rPr>
      </w:pPr>
    </w:p>
    <w:p w14:paraId="29412068" w14:textId="5A356C43" w:rsidR="0010027E" w:rsidRPr="003C5DE8" w:rsidRDefault="0010027E" w:rsidP="003C5DE8">
      <w:pPr>
        <w:tabs>
          <w:tab w:val="left" w:pos="1128"/>
        </w:tabs>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El SARC es el Sistema de Administración de Riesgo de Crédito con el propósito de, identificar, medir, controlar y monitorear el riesgo de crédito al cual se encuentran expuestas en el desarrollo de su proceso de crédito. </w:t>
      </w:r>
    </w:p>
    <w:p w14:paraId="4284F120" w14:textId="77777777" w:rsidR="0010027E" w:rsidRPr="003C5DE8" w:rsidRDefault="0010027E" w:rsidP="003C5DE8">
      <w:pPr>
        <w:tabs>
          <w:tab w:val="left" w:pos="1128"/>
        </w:tabs>
        <w:jc w:val="both"/>
        <w:rPr>
          <w:rFonts w:ascii="Arial Narrow" w:hAnsi="Arial Narrow" w:cs="Arial"/>
          <w:color w:val="000000" w:themeColor="text1"/>
          <w:sz w:val="26"/>
          <w:szCs w:val="26"/>
          <w:lang w:val="es-CO"/>
        </w:rPr>
      </w:pPr>
    </w:p>
    <w:p w14:paraId="01232D13" w14:textId="481AFE76" w:rsidR="0010027E" w:rsidRPr="003C5DE8" w:rsidRDefault="0010027E" w:rsidP="003C5DE8">
      <w:pPr>
        <w:tabs>
          <w:tab w:val="left" w:pos="1128"/>
        </w:tabs>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El SARC se instrumenta a través de las etapas del proceso de crédito y de los elementos establecidos en el presente </w:t>
      </w:r>
      <w:r w:rsidR="00CD4C12" w:rsidRPr="003C5DE8">
        <w:rPr>
          <w:rFonts w:ascii="Arial Narrow" w:hAnsi="Arial Narrow" w:cs="Arial"/>
          <w:color w:val="000000" w:themeColor="text1"/>
          <w:sz w:val="26"/>
          <w:szCs w:val="26"/>
          <w:lang w:val="es-CO"/>
        </w:rPr>
        <w:t>manual</w:t>
      </w:r>
      <w:r w:rsidRPr="003C5DE8">
        <w:rPr>
          <w:rFonts w:ascii="Arial Narrow" w:hAnsi="Arial Narrow" w:cs="Arial"/>
          <w:color w:val="000000" w:themeColor="text1"/>
          <w:sz w:val="26"/>
          <w:szCs w:val="26"/>
          <w:lang w:val="es-CO"/>
        </w:rPr>
        <w:t xml:space="preserve">, en el cual se fijan lineamientos mínimos que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 xml:space="preserve"> </w:t>
      </w:r>
      <w:r w:rsidR="009B3A78" w:rsidRPr="003C5DE8">
        <w:rPr>
          <w:rFonts w:ascii="Arial Narrow" w:hAnsi="Arial Narrow" w:cs="Arial"/>
          <w:color w:val="000000" w:themeColor="text1"/>
          <w:sz w:val="26"/>
          <w:szCs w:val="26"/>
          <w:lang w:val="es-CO"/>
        </w:rPr>
        <w:t>debe</w:t>
      </w:r>
      <w:r w:rsidRPr="003C5DE8">
        <w:rPr>
          <w:rFonts w:ascii="Arial Narrow" w:hAnsi="Arial Narrow" w:cs="Arial"/>
          <w:color w:val="000000" w:themeColor="text1"/>
          <w:sz w:val="26"/>
          <w:szCs w:val="26"/>
          <w:lang w:val="es-CO"/>
        </w:rPr>
        <w:t xml:space="preserve"> tener en cuenta para evaluar en forma adecuada el riesgo crediticio implícito en los activos, así como los requisitos para la clasificación, calificación y deterioro de la cartera de créditos, de modo que </w:t>
      </w:r>
      <w:r w:rsidR="002B2430" w:rsidRPr="003C5DE8">
        <w:rPr>
          <w:rFonts w:ascii="Arial Narrow" w:hAnsi="Arial Narrow" w:cs="Arial"/>
          <w:color w:val="000000" w:themeColor="text1"/>
          <w:sz w:val="26"/>
          <w:szCs w:val="26"/>
          <w:lang w:val="es-CO"/>
        </w:rPr>
        <w:t>la cartera</w:t>
      </w:r>
      <w:r w:rsidRPr="003C5DE8">
        <w:rPr>
          <w:rFonts w:ascii="Arial Narrow" w:hAnsi="Arial Narrow" w:cs="Arial"/>
          <w:color w:val="000000" w:themeColor="text1"/>
          <w:sz w:val="26"/>
          <w:szCs w:val="26"/>
          <w:lang w:val="es-CO"/>
        </w:rPr>
        <w:t xml:space="preserve"> se registre de acuerdo con su realidad económica y contable.</w:t>
      </w:r>
    </w:p>
    <w:p w14:paraId="3D84DA37" w14:textId="77777777" w:rsidR="0010027E" w:rsidRPr="003C5DE8" w:rsidRDefault="0010027E" w:rsidP="003C5DE8">
      <w:pPr>
        <w:tabs>
          <w:tab w:val="left" w:pos="1128"/>
        </w:tabs>
        <w:ind w:left="567" w:hanging="567"/>
        <w:jc w:val="both"/>
        <w:rPr>
          <w:rFonts w:ascii="Arial Narrow" w:hAnsi="Arial Narrow" w:cs="Arial"/>
          <w:color w:val="000000" w:themeColor="text1"/>
          <w:sz w:val="26"/>
          <w:szCs w:val="26"/>
          <w:lang w:val="es-CO"/>
        </w:rPr>
      </w:pPr>
    </w:p>
    <w:p w14:paraId="371E4482" w14:textId="79F64394" w:rsidR="0010027E" w:rsidRPr="003C5DE8" w:rsidRDefault="0010027E" w:rsidP="003C5DE8">
      <w:pPr>
        <w:pStyle w:val="Ttulo1"/>
        <w:numPr>
          <w:ilvl w:val="0"/>
          <w:numId w:val="42"/>
        </w:numPr>
        <w:suppressAutoHyphens/>
        <w:ind w:left="567" w:hanging="567"/>
        <w:jc w:val="both"/>
        <w:rPr>
          <w:rFonts w:ascii="Arial Narrow" w:hAnsi="Arial Narrow"/>
          <w:b w:val="0"/>
          <w:color w:val="000000" w:themeColor="text1"/>
          <w:sz w:val="26"/>
          <w:szCs w:val="26"/>
          <w:lang w:val="es-CO"/>
        </w:rPr>
      </w:pPr>
      <w:bookmarkStart w:id="6" w:name="_Toc252313"/>
      <w:bookmarkStart w:id="7" w:name="_Toc252690"/>
      <w:bookmarkStart w:id="8" w:name="_Toc11674631"/>
      <w:bookmarkStart w:id="9" w:name="_Toc34149658"/>
      <w:bookmarkStart w:id="10" w:name="_Toc56498155"/>
      <w:bookmarkStart w:id="11" w:name="_Toc97966904"/>
      <w:r w:rsidRPr="003C5DE8">
        <w:rPr>
          <w:rFonts w:ascii="Arial Narrow" w:hAnsi="Arial Narrow"/>
          <w:color w:val="000000" w:themeColor="text1"/>
          <w:sz w:val="26"/>
          <w:szCs w:val="26"/>
          <w:lang w:val="es-CO"/>
        </w:rPr>
        <w:t>ÁMB</w:t>
      </w:r>
      <w:r w:rsidR="002B2430" w:rsidRPr="003C5DE8">
        <w:rPr>
          <w:rFonts w:ascii="Arial Narrow" w:hAnsi="Arial Narrow"/>
          <w:color w:val="000000" w:themeColor="text1"/>
          <w:sz w:val="26"/>
          <w:szCs w:val="26"/>
          <w:lang w:val="es-CO"/>
        </w:rPr>
        <w:t>I</w:t>
      </w:r>
      <w:r w:rsidRPr="003C5DE8">
        <w:rPr>
          <w:rFonts w:ascii="Arial Narrow" w:hAnsi="Arial Narrow"/>
          <w:color w:val="000000" w:themeColor="text1"/>
          <w:sz w:val="26"/>
          <w:szCs w:val="26"/>
          <w:lang w:val="es-CO"/>
        </w:rPr>
        <w:t>TO DE APLICACIÓN DEL SARC</w:t>
      </w:r>
      <w:bookmarkEnd w:id="6"/>
      <w:bookmarkEnd w:id="7"/>
      <w:bookmarkEnd w:id="8"/>
      <w:bookmarkEnd w:id="9"/>
      <w:bookmarkEnd w:id="10"/>
      <w:bookmarkEnd w:id="11"/>
    </w:p>
    <w:p w14:paraId="1F36F630" w14:textId="77777777" w:rsidR="0010027E" w:rsidRPr="003C5DE8" w:rsidRDefault="0010027E" w:rsidP="003C5DE8">
      <w:pPr>
        <w:ind w:left="567" w:hanging="567"/>
        <w:jc w:val="both"/>
        <w:rPr>
          <w:rFonts w:ascii="Arial Narrow" w:hAnsi="Arial Narrow" w:cs="Arial"/>
          <w:color w:val="000000" w:themeColor="text1"/>
          <w:sz w:val="26"/>
          <w:szCs w:val="26"/>
          <w:lang w:val="es-CO" w:eastAsia="ar-SA"/>
        </w:rPr>
      </w:pPr>
    </w:p>
    <w:p w14:paraId="19871601" w14:textId="2E020F89" w:rsidR="00D331AC" w:rsidRPr="003C5DE8" w:rsidRDefault="00D23F0E" w:rsidP="003C5DE8">
      <w:pPr>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Las instrucciones contenidas en el presente manual deberán</w:t>
      </w:r>
      <w:r w:rsidR="0010027E" w:rsidRPr="003C5DE8">
        <w:rPr>
          <w:rFonts w:ascii="Arial Narrow" w:hAnsi="Arial Narrow" w:cs="Arial"/>
          <w:color w:val="000000" w:themeColor="text1"/>
          <w:sz w:val="26"/>
          <w:szCs w:val="26"/>
          <w:lang w:val="es-CO" w:eastAsia="ar-SA"/>
        </w:rPr>
        <w:t xml:space="preserve"> ser aplicadas por </w:t>
      </w:r>
      <w:r w:rsidR="002B2430" w:rsidRPr="003C5DE8">
        <w:rPr>
          <w:rFonts w:ascii="Arial Narrow" w:hAnsi="Arial Narrow" w:cs="Arial"/>
          <w:color w:val="000000" w:themeColor="text1"/>
          <w:sz w:val="26"/>
          <w:szCs w:val="26"/>
          <w:lang w:val="es-CO" w:eastAsia="ar-SA"/>
        </w:rPr>
        <w:t>sobre la Cartera de Crédito cuenta 140000</w:t>
      </w:r>
      <w:r w:rsidR="0010027E" w:rsidRPr="003C5DE8">
        <w:rPr>
          <w:rFonts w:ascii="Arial Narrow" w:hAnsi="Arial Narrow" w:cs="Arial"/>
          <w:color w:val="000000" w:themeColor="text1"/>
          <w:sz w:val="26"/>
          <w:szCs w:val="26"/>
          <w:lang w:val="es-CO" w:eastAsia="ar-SA"/>
        </w:rPr>
        <w:t>, con el propósito de identificar, medir, controlar y monitorear el riesgo de crédito al cual se encuentran expuestas en el desarrollo de su proceso de crédito.</w:t>
      </w:r>
      <w:bookmarkStart w:id="12" w:name="_Toc56498156"/>
      <w:bookmarkStart w:id="13" w:name="_Toc97966905"/>
    </w:p>
    <w:p w14:paraId="081CBC1E" w14:textId="77777777" w:rsidR="00D331AC" w:rsidRPr="003C5DE8" w:rsidRDefault="00D331AC" w:rsidP="003C5DE8">
      <w:pPr>
        <w:ind w:left="567" w:hanging="567"/>
        <w:jc w:val="both"/>
        <w:rPr>
          <w:rFonts w:ascii="Arial Narrow" w:hAnsi="Arial Narrow" w:cs="Arial"/>
          <w:color w:val="000000" w:themeColor="text1"/>
          <w:sz w:val="26"/>
          <w:szCs w:val="26"/>
          <w:lang w:val="es-CO" w:eastAsia="ar-SA"/>
        </w:rPr>
      </w:pPr>
    </w:p>
    <w:p w14:paraId="319B3BF1" w14:textId="7280C8D2" w:rsidR="0010027E" w:rsidRPr="003C5DE8" w:rsidRDefault="0010027E" w:rsidP="003C5DE8">
      <w:pPr>
        <w:pStyle w:val="Prrafodelista"/>
        <w:numPr>
          <w:ilvl w:val="0"/>
          <w:numId w:val="42"/>
        </w:numPr>
        <w:ind w:left="567" w:hanging="567"/>
        <w:jc w:val="both"/>
        <w:rPr>
          <w:rFonts w:ascii="Arial Narrow" w:hAnsi="Arial Narrow" w:cs="Arial"/>
          <w:color w:val="000000" w:themeColor="text1"/>
          <w:sz w:val="26"/>
          <w:szCs w:val="26"/>
          <w:lang w:val="es-CO" w:eastAsia="ar-SA"/>
        </w:rPr>
      </w:pPr>
      <w:r w:rsidRPr="003C5DE8">
        <w:rPr>
          <w:rFonts w:ascii="Arial Narrow" w:hAnsi="Arial Narrow"/>
          <w:b/>
          <w:color w:val="000000" w:themeColor="text1"/>
          <w:sz w:val="26"/>
          <w:szCs w:val="26"/>
          <w:lang w:val="es-CO"/>
        </w:rPr>
        <w:t>PRINCIPIOS Y CRITERIOS GENERALES PARA EL DESARROLLO Y APLICACIÓN DEL SISTEMA DE ADMINISTRACIÓN DEL RIESGO DE CREDITO – SARC</w:t>
      </w:r>
      <w:bookmarkEnd w:id="12"/>
      <w:bookmarkEnd w:id="13"/>
    </w:p>
    <w:p w14:paraId="2B575528" w14:textId="77777777" w:rsidR="0010027E" w:rsidRPr="003C5DE8" w:rsidRDefault="0010027E" w:rsidP="003C5DE8">
      <w:pPr>
        <w:ind w:left="567" w:hanging="567"/>
        <w:jc w:val="both"/>
        <w:rPr>
          <w:rFonts w:ascii="Arial Narrow" w:hAnsi="Arial Narrow" w:cs="Arial"/>
          <w:color w:val="000000" w:themeColor="text1"/>
          <w:sz w:val="26"/>
          <w:szCs w:val="26"/>
          <w:lang w:val="es-CO" w:eastAsia="ar-SA"/>
        </w:rPr>
      </w:pPr>
    </w:p>
    <w:p w14:paraId="506AB9BF" w14:textId="77777777" w:rsidR="0010027E" w:rsidRPr="003C5DE8" w:rsidRDefault="0010027E" w:rsidP="003C5DE8">
      <w:pPr>
        <w:pStyle w:val="Ttulo2"/>
        <w:spacing w:before="0"/>
        <w:ind w:left="567" w:hanging="567"/>
        <w:jc w:val="both"/>
        <w:rPr>
          <w:rFonts w:ascii="Arial Narrow" w:hAnsi="Arial Narrow"/>
          <w:b/>
          <w:bCs/>
          <w:color w:val="000000" w:themeColor="text1"/>
          <w:lang w:val="es-CO" w:eastAsia="ar-SA"/>
        </w:rPr>
      </w:pPr>
      <w:bookmarkStart w:id="14" w:name="_Toc56498157"/>
      <w:bookmarkStart w:id="15" w:name="_Toc97966906"/>
      <w:r w:rsidRPr="003C5DE8">
        <w:rPr>
          <w:rFonts w:ascii="Arial Narrow" w:hAnsi="Arial Narrow"/>
          <w:b/>
          <w:bCs/>
          <w:color w:val="000000" w:themeColor="text1"/>
          <w:lang w:val="es-CO" w:eastAsia="ar-SA"/>
        </w:rPr>
        <w:t xml:space="preserve">3.1. </w:t>
      </w:r>
      <w:r w:rsidRPr="003C5DE8">
        <w:rPr>
          <w:rFonts w:ascii="Arial Narrow" w:hAnsi="Arial Narrow"/>
          <w:b/>
          <w:bCs/>
          <w:color w:val="000000" w:themeColor="text1"/>
          <w:lang w:val="es-CO" w:eastAsia="ar-SA"/>
        </w:rPr>
        <w:tab/>
        <w:t>DEFINICIONES</w:t>
      </w:r>
      <w:bookmarkEnd w:id="14"/>
      <w:bookmarkEnd w:id="15"/>
    </w:p>
    <w:p w14:paraId="2964A28A" w14:textId="77777777" w:rsidR="0010027E" w:rsidRPr="003C5DE8" w:rsidRDefault="0010027E" w:rsidP="003C5DE8">
      <w:pPr>
        <w:ind w:left="567" w:hanging="567"/>
        <w:jc w:val="both"/>
        <w:rPr>
          <w:rFonts w:ascii="Arial Narrow" w:hAnsi="Arial Narrow" w:cs="Arial"/>
          <w:b/>
          <w:color w:val="000000" w:themeColor="text1"/>
          <w:sz w:val="26"/>
          <w:szCs w:val="26"/>
          <w:lang w:val="es-ES_tradnl" w:eastAsia="es-CO"/>
        </w:rPr>
      </w:pPr>
      <w:bookmarkStart w:id="16" w:name="_Toc56498158"/>
    </w:p>
    <w:p w14:paraId="02B7BA36" w14:textId="078458C7" w:rsidR="00E62B0F" w:rsidRPr="003C5DE8" w:rsidRDefault="0010027E" w:rsidP="003C5DE8">
      <w:pPr>
        <w:tabs>
          <w:tab w:val="left" w:pos="1128"/>
        </w:tabs>
        <w:jc w:val="both"/>
        <w:rPr>
          <w:rFonts w:ascii="Arial Narrow" w:hAnsi="Arial Narrow" w:cs="Arial"/>
          <w:color w:val="000000" w:themeColor="text1"/>
          <w:sz w:val="26"/>
          <w:szCs w:val="26"/>
          <w:lang w:val="es-CO"/>
        </w:rPr>
      </w:pPr>
      <w:r w:rsidRPr="003C5DE8">
        <w:rPr>
          <w:rFonts w:ascii="Arial Narrow" w:hAnsi="Arial Narrow" w:cs="Arial"/>
          <w:b/>
          <w:color w:val="000000" w:themeColor="text1"/>
          <w:sz w:val="26"/>
          <w:szCs w:val="26"/>
          <w:lang w:val="es-CO" w:eastAsia="es-CO"/>
        </w:rPr>
        <w:t>Riesgo de Crédito (RC)</w:t>
      </w:r>
      <w:r w:rsidR="00E62B0F" w:rsidRPr="003C5DE8">
        <w:rPr>
          <w:rFonts w:ascii="Arial Narrow" w:hAnsi="Arial Narrow" w:cs="Arial"/>
          <w:b/>
          <w:color w:val="000000" w:themeColor="text1"/>
          <w:sz w:val="26"/>
          <w:szCs w:val="26"/>
          <w:lang w:val="es-CO" w:eastAsia="es-CO"/>
        </w:rPr>
        <w:t xml:space="preserve">. </w:t>
      </w:r>
      <w:bookmarkEnd w:id="16"/>
      <w:r w:rsidRPr="003C5DE8">
        <w:rPr>
          <w:rFonts w:ascii="Arial Narrow" w:hAnsi="Arial Narrow" w:cs="Arial"/>
          <w:color w:val="000000" w:themeColor="text1"/>
          <w:sz w:val="26"/>
          <w:szCs w:val="26"/>
          <w:lang w:val="es-CO"/>
        </w:rPr>
        <w:t>El riesgo crediticio es la probabilidad de que una organización solidaria incurra en pérdidas y disminuya el valor de sus activos como consecuencia del incumplimiento del pago de las obligaciones contractuales por parte de sus deudores o contraparte.</w:t>
      </w:r>
      <w:r w:rsidR="00E62B0F" w:rsidRPr="003C5DE8">
        <w:rPr>
          <w:rFonts w:ascii="Arial Narrow" w:hAnsi="Arial Narrow" w:cs="Arial"/>
          <w:color w:val="000000" w:themeColor="text1"/>
          <w:sz w:val="26"/>
          <w:szCs w:val="26"/>
          <w:lang w:val="es-CO"/>
        </w:rPr>
        <w:t xml:space="preserve"> </w:t>
      </w:r>
      <w:r w:rsidRPr="003C5DE8">
        <w:rPr>
          <w:rFonts w:ascii="Arial Narrow" w:hAnsi="Arial Narrow" w:cs="Arial"/>
          <w:color w:val="000000" w:themeColor="text1"/>
          <w:sz w:val="26"/>
          <w:szCs w:val="26"/>
          <w:lang w:val="es-CO" w:bidi="en-US"/>
        </w:rPr>
        <w:t>Para propósitos de información, evaluación del RC, aplicación de normas contables y deterioros, entre otras, la cartera de créditos se debe clasificar en las siguientes modalidades</w:t>
      </w:r>
      <w:r w:rsidR="00E62B0F" w:rsidRPr="003C5DE8">
        <w:rPr>
          <w:rFonts w:ascii="Arial Narrow" w:hAnsi="Arial Narrow" w:cs="Arial"/>
          <w:color w:val="000000" w:themeColor="text1"/>
          <w:sz w:val="26"/>
          <w:szCs w:val="26"/>
          <w:lang w:val="es-CO" w:bidi="en-US"/>
        </w:rPr>
        <w:t xml:space="preserve"> </w:t>
      </w:r>
      <w:r w:rsidR="00E62B0F" w:rsidRPr="003C5DE8">
        <w:rPr>
          <w:rFonts w:ascii="Arial Narrow" w:hAnsi="Arial Narrow" w:cs="Arial"/>
          <w:color w:val="000000" w:themeColor="text1"/>
          <w:sz w:val="26"/>
          <w:szCs w:val="26"/>
          <w:lang w:val="es-CO"/>
        </w:rPr>
        <w:t>aunque pueden subdividirse en líneas de crédito (portafolios)</w:t>
      </w:r>
      <w:bookmarkStart w:id="17" w:name="_Toc56498159"/>
      <w:r w:rsidR="00E62B0F" w:rsidRPr="003C5DE8">
        <w:rPr>
          <w:rFonts w:ascii="Arial Narrow" w:hAnsi="Arial Narrow" w:cs="Arial"/>
          <w:color w:val="000000" w:themeColor="text1"/>
          <w:sz w:val="26"/>
          <w:szCs w:val="26"/>
          <w:lang w:val="es-CO"/>
        </w:rPr>
        <w:t>:</w:t>
      </w:r>
    </w:p>
    <w:p w14:paraId="0DA61B75" w14:textId="77777777" w:rsidR="00E62B0F" w:rsidRPr="003C5DE8" w:rsidRDefault="00E62B0F" w:rsidP="003C5DE8">
      <w:pPr>
        <w:tabs>
          <w:tab w:val="left" w:pos="1128"/>
        </w:tabs>
        <w:ind w:left="567" w:hanging="567"/>
        <w:jc w:val="both"/>
        <w:rPr>
          <w:rFonts w:ascii="Arial Narrow" w:hAnsi="Arial Narrow" w:cs="Arial"/>
          <w:color w:val="000000" w:themeColor="text1"/>
          <w:sz w:val="26"/>
          <w:szCs w:val="26"/>
          <w:lang w:val="es-CO"/>
        </w:rPr>
      </w:pPr>
    </w:p>
    <w:p w14:paraId="44720962" w14:textId="77777777" w:rsidR="00E62B0F" w:rsidRPr="003C5DE8" w:rsidRDefault="0010027E" w:rsidP="003C5DE8">
      <w:pPr>
        <w:pStyle w:val="Prrafodelista"/>
        <w:numPr>
          <w:ilvl w:val="2"/>
          <w:numId w:val="42"/>
        </w:numPr>
        <w:ind w:left="567" w:hanging="567"/>
        <w:jc w:val="both"/>
        <w:rPr>
          <w:rFonts w:ascii="Arial Narrow" w:hAnsi="Arial Narrow" w:cs="Arial"/>
          <w:b/>
          <w:color w:val="000000" w:themeColor="text1"/>
          <w:sz w:val="26"/>
          <w:szCs w:val="26"/>
          <w:lang w:val="es-CO" w:eastAsia="ar-SA"/>
        </w:rPr>
      </w:pPr>
      <w:r w:rsidRPr="003C5DE8">
        <w:rPr>
          <w:rFonts w:ascii="Arial Narrow" w:hAnsi="Arial Narrow" w:cs="Arial"/>
          <w:b/>
          <w:color w:val="000000" w:themeColor="text1"/>
          <w:sz w:val="26"/>
          <w:szCs w:val="26"/>
          <w:lang w:val="es-ES_tradnl" w:eastAsia="es-CO"/>
        </w:rPr>
        <w:t>Crédito de consumo</w:t>
      </w:r>
      <w:bookmarkEnd w:id="17"/>
      <w:r w:rsidR="00E62B0F" w:rsidRPr="003C5DE8">
        <w:rPr>
          <w:rFonts w:ascii="Arial Narrow" w:hAnsi="Arial Narrow" w:cs="Arial"/>
          <w:b/>
          <w:color w:val="000000" w:themeColor="text1"/>
          <w:sz w:val="26"/>
          <w:szCs w:val="26"/>
          <w:lang w:val="es-ES_tradnl" w:eastAsia="es-CO"/>
        </w:rPr>
        <w:t xml:space="preserve">. </w:t>
      </w:r>
      <w:r w:rsidRPr="003C5DE8">
        <w:rPr>
          <w:rFonts w:ascii="Arial Narrow" w:hAnsi="Arial Narrow" w:cs="Arial"/>
          <w:color w:val="000000" w:themeColor="text1"/>
          <w:sz w:val="26"/>
          <w:szCs w:val="26"/>
          <w:lang w:val="es-CO" w:bidi="en-US"/>
        </w:rPr>
        <w:t>Se entiende por créditos de consumo, independientemente de su monto, los otorgados a personas naturales para financiar la adquisición de bienes de consumo o el pago de servicios para fines no comerciales o empresariales, distintos a los otorgados bajo la modalidad de microcrédito</w:t>
      </w:r>
    </w:p>
    <w:p w14:paraId="0C57A499" w14:textId="2833ED05" w:rsidR="00E62B0F" w:rsidRPr="003C5DE8" w:rsidRDefault="0010027E" w:rsidP="003C5DE8">
      <w:pPr>
        <w:pStyle w:val="Prrafodelista"/>
        <w:numPr>
          <w:ilvl w:val="2"/>
          <w:numId w:val="42"/>
        </w:numPr>
        <w:ind w:left="567" w:hanging="567"/>
        <w:jc w:val="both"/>
        <w:rPr>
          <w:rFonts w:ascii="Arial Narrow" w:hAnsi="Arial Narrow" w:cs="Arial"/>
          <w:b/>
          <w:color w:val="000000" w:themeColor="text1"/>
          <w:sz w:val="26"/>
          <w:szCs w:val="26"/>
          <w:lang w:val="es-CO" w:eastAsia="ar-SA"/>
        </w:rPr>
      </w:pPr>
      <w:bookmarkStart w:id="18" w:name="_Toc56498160"/>
      <w:r w:rsidRPr="003C5DE8">
        <w:rPr>
          <w:rFonts w:ascii="Arial Narrow" w:hAnsi="Arial Narrow" w:cs="Arial"/>
          <w:b/>
          <w:color w:val="000000" w:themeColor="text1"/>
          <w:sz w:val="26"/>
          <w:szCs w:val="26"/>
          <w:lang w:val="es-CO" w:eastAsia="ar-SA"/>
        </w:rPr>
        <w:t>Crédito comercial</w:t>
      </w:r>
      <w:bookmarkEnd w:id="18"/>
      <w:r w:rsidR="00E62B0F" w:rsidRPr="003C5DE8">
        <w:rPr>
          <w:rFonts w:ascii="Arial Narrow" w:hAnsi="Arial Narrow" w:cs="Arial"/>
          <w:b/>
          <w:color w:val="000000" w:themeColor="text1"/>
          <w:sz w:val="26"/>
          <w:szCs w:val="26"/>
          <w:lang w:val="es-CO" w:eastAsia="ar-SA"/>
        </w:rPr>
        <w:t xml:space="preserve">. </w:t>
      </w:r>
      <w:r w:rsidRPr="003C5DE8">
        <w:rPr>
          <w:rFonts w:ascii="Arial Narrow" w:hAnsi="Arial Narrow" w:cs="Arial"/>
          <w:color w:val="000000" w:themeColor="text1"/>
          <w:sz w:val="26"/>
          <w:szCs w:val="26"/>
          <w:lang w:val="es-CO" w:bidi="en-US"/>
        </w:rPr>
        <w:t>Se definen como crédito comercial el otorgado a personas naturales o jurídicas para el desarrollo de actividades económicas organizadas, distintos a los otorgados bajo la modalidad de microcrédito.</w:t>
      </w:r>
    </w:p>
    <w:p w14:paraId="6D8F3D02" w14:textId="27705765" w:rsidR="00E62B0F" w:rsidRPr="003C5DE8" w:rsidRDefault="0010027E" w:rsidP="003C5DE8">
      <w:pPr>
        <w:pStyle w:val="Prrafodelista"/>
        <w:numPr>
          <w:ilvl w:val="2"/>
          <w:numId w:val="42"/>
        </w:numPr>
        <w:ind w:left="567" w:hanging="567"/>
        <w:jc w:val="both"/>
        <w:rPr>
          <w:rFonts w:ascii="Arial Narrow" w:hAnsi="Arial Narrow" w:cs="Arial"/>
          <w:b/>
          <w:color w:val="000000" w:themeColor="text1"/>
          <w:sz w:val="26"/>
          <w:szCs w:val="26"/>
          <w:lang w:val="es-CO" w:eastAsia="ar-SA"/>
        </w:rPr>
      </w:pPr>
      <w:bookmarkStart w:id="19" w:name="_Toc11674637"/>
      <w:bookmarkStart w:id="20" w:name="_Toc56498161"/>
      <w:r w:rsidRPr="003C5DE8">
        <w:rPr>
          <w:rFonts w:ascii="Arial Narrow" w:hAnsi="Arial Narrow" w:cs="Arial"/>
          <w:b/>
          <w:color w:val="000000" w:themeColor="text1"/>
          <w:sz w:val="26"/>
          <w:szCs w:val="26"/>
          <w:lang w:val="es-CO" w:eastAsia="ar-SA"/>
        </w:rPr>
        <w:t>Créditos de vivienda</w:t>
      </w:r>
      <w:bookmarkEnd w:id="19"/>
      <w:bookmarkEnd w:id="20"/>
      <w:r w:rsidR="00E62B0F" w:rsidRPr="003C5DE8">
        <w:rPr>
          <w:rFonts w:ascii="Arial Narrow" w:hAnsi="Arial Narrow" w:cs="Arial"/>
          <w:b/>
          <w:color w:val="000000" w:themeColor="text1"/>
          <w:sz w:val="26"/>
          <w:szCs w:val="26"/>
          <w:lang w:val="es-CO" w:eastAsia="ar-SA"/>
        </w:rPr>
        <w:t xml:space="preserve">. </w:t>
      </w:r>
      <w:r w:rsidRPr="003C5DE8">
        <w:rPr>
          <w:rFonts w:ascii="Arial Narrow" w:hAnsi="Arial Narrow" w:cs="Arial"/>
          <w:color w:val="000000" w:themeColor="text1"/>
          <w:sz w:val="26"/>
          <w:szCs w:val="26"/>
          <w:lang w:val="es-CO"/>
        </w:rPr>
        <w:t xml:space="preserve">Se entiende por créditos de vivienda, independientemente del monto, los otorgados a personas naturales para la adquisición de vivienda nueva o usada, o para la construcción de vivienda individual. </w:t>
      </w:r>
      <w:proofErr w:type="gramStart"/>
      <w:r w:rsidRPr="003C5DE8">
        <w:rPr>
          <w:rFonts w:ascii="Arial Narrow" w:hAnsi="Arial Narrow" w:cs="Arial"/>
          <w:color w:val="000000" w:themeColor="text1"/>
          <w:sz w:val="26"/>
          <w:szCs w:val="26"/>
          <w:lang w:val="es-CO"/>
        </w:rPr>
        <w:t xml:space="preserve">Estas operaciones </w:t>
      </w:r>
      <w:r w:rsidR="009B3A78" w:rsidRPr="003C5DE8">
        <w:rPr>
          <w:rFonts w:ascii="Arial Narrow" w:hAnsi="Arial Narrow" w:cs="Arial"/>
          <w:color w:val="000000" w:themeColor="text1"/>
          <w:sz w:val="26"/>
          <w:szCs w:val="26"/>
          <w:lang w:val="es-CO"/>
        </w:rPr>
        <w:t>debe</w:t>
      </w:r>
      <w:proofErr w:type="gramEnd"/>
      <w:r w:rsidRPr="003C5DE8">
        <w:rPr>
          <w:rFonts w:ascii="Arial Narrow" w:hAnsi="Arial Narrow" w:cs="Arial"/>
          <w:color w:val="000000" w:themeColor="text1"/>
          <w:sz w:val="26"/>
          <w:szCs w:val="26"/>
          <w:lang w:val="es-CO"/>
        </w:rPr>
        <w:t xml:space="preserve"> cumplir con las características y criterios señalados en el artículo 17 de la Ley 546 de 1999 y las reglas previstas en los literales b) y c) del artículo 1° del Decreto 145 de 2000 y demás normas que los modifiquen, complementen o deroguen.</w:t>
      </w:r>
      <w:bookmarkStart w:id="21" w:name="_Toc56498162"/>
      <w:bookmarkStart w:id="22" w:name="_Hlk26077871"/>
    </w:p>
    <w:p w14:paraId="583A8009" w14:textId="3950C223" w:rsidR="00E62B0F" w:rsidRPr="003C5DE8" w:rsidRDefault="0010027E" w:rsidP="003C5DE8">
      <w:pPr>
        <w:pStyle w:val="Prrafodelista"/>
        <w:numPr>
          <w:ilvl w:val="2"/>
          <w:numId w:val="42"/>
        </w:numPr>
        <w:ind w:left="567" w:hanging="567"/>
        <w:jc w:val="both"/>
        <w:rPr>
          <w:rFonts w:ascii="Arial Narrow" w:hAnsi="Arial Narrow" w:cs="Arial"/>
          <w:color w:val="000000" w:themeColor="text1"/>
          <w:sz w:val="26"/>
          <w:szCs w:val="26"/>
          <w:lang w:val="es-CO" w:bidi="en-US"/>
        </w:rPr>
      </w:pPr>
      <w:r w:rsidRPr="003C5DE8">
        <w:rPr>
          <w:rFonts w:ascii="Arial Narrow" w:hAnsi="Arial Narrow" w:cs="Arial"/>
          <w:b/>
          <w:color w:val="000000" w:themeColor="text1"/>
          <w:sz w:val="26"/>
          <w:szCs w:val="26"/>
          <w:lang w:val="es-CO" w:eastAsia="ar-SA"/>
        </w:rPr>
        <w:t>Microcrédito</w:t>
      </w:r>
      <w:bookmarkEnd w:id="21"/>
      <w:r w:rsidR="00E62B0F" w:rsidRPr="003C5DE8">
        <w:rPr>
          <w:rFonts w:ascii="Arial Narrow" w:hAnsi="Arial Narrow" w:cs="Arial"/>
          <w:b/>
          <w:color w:val="000000" w:themeColor="text1"/>
          <w:sz w:val="26"/>
          <w:szCs w:val="26"/>
          <w:lang w:val="es-CO" w:eastAsia="ar-SA"/>
        </w:rPr>
        <w:t xml:space="preserve">. </w:t>
      </w:r>
      <w:r w:rsidRPr="003C5DE8">
        <w:rPr>
          <w:rFonts w:ascii="Arial Narrow" w:hAnsi="Arial Narrow" w:cs="Arial"/>
          <w:color w:val="000000" w:themeColor="text1"/>
          <w:sz w:val="26"/>
          <w:szCs w:val="26"/>
          <w:lang w:val="es-CO" w:bidi="en-US"/>
        </w:rPr>
        <w:t xml:space="preserve">Para efectos del </w:t>
      </w:r>
      <w:r w:rsidR="001C0DEB" w:rsidRPr="003C5DE8">
        <w:rPr>
          <w:rFonts w:ascii="Arial Narrow" w:hAnsi="Arial Narrow" w:cs="Arial"/>
          <w:color w:val="000000" w:themeColor="text1"/>
          <w:sz w:val="26"/>
          <w:szCs w:val="26"/>
          <w:lang w:val="es-CO" w:bidi="en-US"/>
        </w:rPr>
        <w:t>presente manual</w:t>
      </w:r>
      <w:r w:rsidRPr="003C5DE8">
        <w:rPr>
          <w:rFonts w:ascii="Arial Narrow" w:hAnsi="Arial Narrow" w:cs="Arial"/>
          <w:color w:val="000000" w:themeColor="text1"/>
          <w:sz w:val="26"/>
          <w:szCs w:val="26"/>
          <w:lang w:val="es-CO" w:bidi="en-US"/>
        </w:rPr>
        <w:t>, microcrédito es el constituido por las operaciones activas de crédito a las cuales se refiere el Decreto 2555 de 2010, o las normas que la modifiquen, sustituyan o adicionen, así como las realizadas con microempresas en las cuales la principal fuente de pago de la obligación provenga de los ingresos derivados de su actividad.</w:t>
      </w:r>
      <w:r w:rsidR="00E62B0F" w:rsidRPr="003C5DE8">
        <w:rPr>
          <w:rFonts w:ascii="Arial Narrow" w:hAnsi="Arial Narrow" w:cs="Arial"/>
          <w:color w:val="000000" w:themeColor="text1"/>
          <w:sz w:val="26"/>
          <w:szCs w:val="26"/>
          <w:lang w:val="es-CO" w:bidi="en-US"/>
        </w:rPr>
        <w:t xml:space="preserve"> </w:t>
      </w:r>
      <w:r w:rsidRPr="003C5DE8">
        <w:rPr>
          <w:rFonts w:ascii="Arial Narrow" w:hAnsi="Arial Narrow" w:cs="Arial"/>
          <w:color w:val="000000" w:themeColor="text1"/>
          <w:sz w:val="26"/>
          <w:szCs w:val="26"/>
          <w:lang w:val="es-CO" w:bidi="en-US"/>
        </w:rPr>
        <w:lastRenderedPageBreak/>
        <w:t xml:space="preserve">Para los efectos previstos en este </w:t>
      </w:r>
      <w:r w:rsidR="007752F4" w:rsidRPr="003C5DE8">
        <w:rPr>
          <w:rFonts w:ascii="Arial Narrow" w:hAnsi="Arial Narrow" w:cs="Arial"/>
          <w:color w:val="000000" w:themeColor="text1"/>
          <w:sz w:val="26"/>
          <w:szCs w:val="26"/>
          <w:lang w:val="es-CO" w:bidi="en-US"/>
        </w:rPr>
        <w:t>manual</w:t>
      </w:r>
      <w:r w:rsidRPr="003C5DE8">
        <w:rPr>
          <w:rFonts w:ascii="Arial Narrow" w:hAnsi="Arial Narrow" w:cs="Arial"/>
          <w:color w:val="000000" w:themeColor="text1"/>
          <w:sz w:val="26"/>
          <w:szCs w:val="26"/>
          <w:lang w:val="es-CO" w:bidi="en-US"/>
        </w:rPr>
        <w:t>, el saldo de endeudamiento del deudor no podrá exceder de ciento veinte (120) salarios mínimos mensuales legales vigentes al momento de la aprobación de la respectiva operación activa de crédito</w:t>
      </w:r>
      <w:r w:rsidRPr="003C5DE8">
        <w:rPr>
          <w:rStyle w:val="Refdenotaalpie"/>
          <w:rFonts w:ascii="Arial Narrow" w:hAnsi="Arial Narrow" w:cs="Arial"/>
          <w:color w:val="000000" w:themeColor="text1"/>
          <w:sz w:val="26"/>
          <w:szCs w:val="26"/>
          <w:lang w:bidi="en-US"/>
        </w:rPr>
        <w:footnoteReference w:id="1"/>
      </w:r>
      <w:r w:rsidRPr="003C5DE8">
        <w:rPr>
          <w:rFonts w:ascii="Arial Narrow" w:hAnsi="Arial Narrow" w:cs="Arial"/>
          <w:color w:val="000000" w:themeColor="text1"/>
          <w:sz w:val="26"/>
          <w:szCs w:val="26"/>
          <w:lang w:val="es-CO" w:bidi="en-US"/>
        </w:rPr>
        <w:t>. Se entiende por saldo de endeudamiento el monto de las obligaciones vigentes a cargo de la correspondiente microempresa con el sector financiero y otros sectores, que se encuentren en los registros de los operadores de bancos de datos consultados por el respectivo acreedor, excluyendo los créditos hipotecarios para financiación de vivienda y adicionando el valor de la nueva obligación.</w:t>
      </w:r>
      <w:r w:rsidR="00E62B0F" w:rsidRPr="003C5DE8">
        <w:rPr>
          <w:rFonts w:ascii="Arial Narrow" w:hAnsi="Arial Narrow" w:cs="Arial"/>
          <w:color w:val="000000" w:themeColor="text1"/>
          <w:sz w:val="26"/>
          <w:szCs w:val="26"/>
          <w:lang w:val="es-CO" w:bidi="en-US"/>
        </w:rPr>
        <w:t xml:space="preserve"> </w:t>
      </w:r>
      <w:r w:rsidRPr="003C5DE8">
        <w:rPr>
          <w:rFonts w:ascii="Arial Narrow" w:hAnsi="Arial Narrow" w:cs="Arial"/>
          <w:color w:val="000000" w:themeColor="text1"/>
          <w:sz w:val="26"/>
          <w:szCs w:val="26"/>
          <w:lang w:val="es-CO" w:bidi="en-US"/>
        </w:rPr>
        <w:t>Se tendrá por definición de microempresa aquella consagrada en las disposiciones normativas vigentes.</w:t>
      </w:r>
      <w:r w:rsidR="00E62B0F" w:rsidRPr="003C5DE8">
        <w:rPr>
          <w:rFonts w:ascii="Arial Narrow" w:hAnsi="Arial Narrow" w:cs="Arial"/>
          <w:color w:val="000000" w:themeColor="text1"/>
          <w:sz w:val="26"/>
          <w:szCs w:val="26"/>
          <w:lang w:val="es-CO" w:bidi="en-US"/>
        </w:rPr>
        <w:t xml:space="preserve"> </w:t>
      </w:r>
      <w:r w:rsidRPr="003C5DE8">
        <w:rPr>
          <w:rFonts w:ascii="Arial Narrow" w:hAnsi="Arial Narrow" w:cs="Arial"/>
          <w:color w:val="000000" w:themeColor="text1"/>
          <w:sz w:val="26"/>
          <w:szCs w:val="26"/>
          <w:lang w:val="es-CO" w:bidi="en-US"/>
        </w:rPr>
        <w:t xml:space="preserve">La cartera de créditos comercial, de consumo y microcréditos, </w:t>
      </w:r>
      <w:r w:rsidR="009B3A78" w:rsidRPr="003C5DE8">
        <w:rPr>
          <w:rFonts w:ascii="Arial Narrow" w:hAnsi="Arial Narrow" w:cs="Arial"/>
          <w:color w:val="000000" w:themeColor="text1"/>
          <w:sz w:val="26"/>
          <w:szCs w:val="26"/>
          <w:lang w:val="es-CO" w:bidi="en-US"/>
        </w:rPr>
        <w:t>debe</w:t>
      </w:r>
      <w:r w:rsidRPr="003C5DE8">
        <w:rPr>
          <w:rFonts w:ascii="Arial Narrow" w:hAnsi="Arial Narrow" w:cs="Arial"/>
          <w:color w:val="000000" w:themeColor="text1"/>
          <w:sz w:val="26"/>
          <w:szCs w:val="26"/>
          <w:lang w:val="es-CO" w:bidi="en-US"/>
        </w:rPr>
        <w:t xml:space="preserve"> clasificarse además teniendo en cuenta la naturaleza de las garantías que las amparan (garantía admisible y otras garantías), acogiéndose a lo dispuesto sobre el particular en el Decreto 2555 de 2010 y las normas que lo adicionen, modifiquen o sustituyan.</w:t>
      </w:r>
      <w:bookmarkStart w:id="23" w:name="_Toc56498163"/>
      <w:bookmarkEnd w:id="22"/>
    </w:p>
    <w:p w14:paraId="61F7B963" w14:textId="77777777" w:rsidR="00CD5B0D" w:rsidRPr="003C5DE8" w:rsidRDefault="0010027E" w:rsidP="003C5DE8">
      <w:pPr>
        <w:pStyle w:val="Prrafodelista"/>
        <w:numPr>
          <w:ilvl w:val="2"/>
          <w:numId w:val="42"/>
        </w:numPr>
        <w:ind w:left="567" w:hanging="567"/>
        <w:jc w:val="both"/>
        <w:rPr>
          <w:rFonts w:ascii="Arial Narrow" w:hAnsi="Arial Narrow" w:cs="Arial"/>
          <w:color w:val="000000" w:themeColor="text1"/>
          <w:sz w:val="26"/>
          <w:szCs w:val="26"/>
          <w:lang w:val="es-CO" w:bidi="en-US"/>
        </w:rPr>
      </w:pPr>
      <w:r w:rsidRPr="003C5DE8">
        <w:rPr>
          <w:rFonts w:ascii="Arial Narrow" w:hAnsi="Arial Narrow" w:cs="Arial"/>
          <w:b/>
          <w:color w:val="000000" w:themeColor="text1"/>
          <w:sz w:val="26"/>
          <w:szCs w:val="26"/>
          <w:lang w:val="es-CO" w:eastAsia="ar-SA"/>
        </w:rPr>
        <w:t>Créditos a asociados, administradores, miembros de juntas de vigilancia y sus parientes</w:t>
      </w:r>
      <w:bookmarkEnd w:id="23"/>
      <w:r w:rsidR="00CD5B0D" w:rsidRPr="003C5DE8">
        <w:rPr>
          <w:rFonts w:ascii="Arial Narrow" w:hAnsi="Arial Narrow" w:cs="Arial"/>
          <w:b/>
          <w:color w:val="000000" w:themeColor="text1"/>
          <w:sz w:val="26"/>
          <w:szCs w:val="26"/>
          <w:lang w:val="es-CO" w:eastAsia="ar-SA"/>
        </w:rPr>
        <w:t xml:space="preserve">: </w:t>
      </w:r>
      <w:r w:rsidRPr="003C5DE8">
        <w:rPr>
          <w:rFonts w:ascii="Arial Narrow" w:hAnsi="Arial Narrow" w:cs="Arial"/>
          <w:color w:val="000000" w:themeColor="text1"/>
          <w:sz w:val="26"/>
          <w:szCs w:val="26"/>
          <w:lang w:val="es-CO" w:bidi="en-US"/>
        </w:rPr>
        <w:t>Operaciones con asociados, administradores, miembros de las juntas de vigilancia y sus parientes, a que se refiere el artículo 61, de la ley 454 de 1998, modificado por el art. 109, de la Ley 795 de 2003.</w:t>
      </w:r>
      <w:bookmarkStart w:id="24" w:name="_Toc56498164"/>
    </w:p>
    <w:p w14:paraId="74B6CB2C" w14:textId="06F42EA4" w:rsidR="0010027E" w:rsidRPr="003C5DE8" w:rsidRDefault="0010027E" w:rsidP="003C5DE8">
      <w:pPr>
        <w:pStyle w:val="Prrafodelista"/>
        <w:numPr>
          <w:ilvl w:val="2"/>
          <w:numId w:val="42"/>
        </w:numPr>
        <w:ind w:left="567" w:hanging="567"/>
        <w:jc w:val="both"/>
        <w:rPr>
          <w:rFonts w:ascii="Arial Narrow" w:hAnsi="Arial Narrow" w:cs="Arial"/>
          <w:color w:val="000000" w:themeColor="text1"/>
          <w:sz w:val="26"/>
          <w:szCs w:val="26"/>
          <w:lang w:val="es-CO" w:bidi="en-US"/>
        </w:rPr>
      </w:pPr>
      <w:r w:rsidRPr="003C5DE8">
        <w:rPr>
          <w:rFonts w:ascii="Arial Narrow" w:hAnsi="Arial Narrow" w:cs="Arial"/>
          <w:b/>
          <w:color w:val="000000" w:themeColor="text1"/>
          <w:sz w:val="26"/>
          <w:szCs w:val="26"/>
          <w:lang w:val="es-CO" w:eastAsia="ar-SA"/>
        </w:rPr>
        <w:t>Vinculados y partes relacionadas</w:t>
      </w:r>
      <w:bookmarkEnd w:id="24"/>
      <w:r w:rsidR="00CD5B0D" w:rsidRPr="003C5DE8">
        <w:rPr>
          <w:rFonts w:ascii="Arial Narrow" w:hAnsi="Arial Narrow" w:cs="Arial"/>
          <w:b/>
          <w:color w:val="000000" w:themeColor="text1"/>
          <w:sz w:val="26"/>
          <w:szCs w:val="26"/>
          <w:lang w:val="es-CO" w:eastAsia="ar-SA"/>
        </w:rPr>
        <w:t>.</w:t>
      </w:r>
      <w:r w:rsidR="00CD5B0D" w:rsidRPr="003C5DE8">
        <w:rPr>
          <w:rFonts w:ascii="Arial Narrow" w:hAnsi="Arial Narrow" w:cs="Arial"/>
          <w:color w:val="000000" w:themeColor="text1"/>
          <w:sz w:val="26"/>
          <w:szCs w:val="26"/>
          <w:lang w:val="es-CO" w:bidi="en-US"/>
        </w:rPr>
        <w:t xml:space="preserve"> </w:t>
      </w:r>
      <w:r w:rsidRPr="003C5DE8">
        <w:rPr>
          <w:rFonts w:ascii="Arial Narrow" w:hAnsi="Arial Narrow" w:cs="Arial"/>
          <w:color w:val="000000" w:themeColor="text1"/>
          <w:sz w:val="26"/>
          <w:szCs w:val="26"/>
          <w:lang w:val="es-CO" w:bidi="en-US"/>
        </w:rPr>
        <w:t xml:space="preserve">Una parte relacionada o vinculada es una persona o entidad que está relacionada con </w:t>
      </w:r>
      <w:r w:rsidR="009A4C18">
        <w:rPr>
          <w:rFonts w:ascii="Arial Narrow" w:hAnsi="Arial Narrow" w:cs="Arial"/>
          <w:color w:val="000000" w:themeColor="text1"/>
          <w:sz w:val="26"/>
          <w:szCs w:val="26"/>
          <w:lang w:val="es-CO" w:bidi="en-US"/>
        </w:rPr>
        <w:t>FONDEJEMPLO</w:t>
      </w:r>
      <w:r w:rsidRPr="003C5DE8">
        <w:rPr>
          <w:rFonts w:ascii="Arial Narrow" w:hAnsi="Arial Narrow" w:cs="Arial"/>
          <w:color w:val="000000" w:themeColor="text1"/>
          <w:sz w:val="26"/>
          <w:szCs w:val="26"/>
          <w:lang w:val="es-CO" w:bidi="en-US"/>
        </w:rPr>
        <w:t xml:space="preserve"> que prepara sus estados financieros. En el caso de personas: Miembro del personal clave de la gerencia y aquellas que ejercen control o control conjunto o influencia significativa sobre </w:t>
      </w:r>
      <w:r w:rsidR="009A4C18">
        <w:rPr>
          <w:rFonts w:ascii="Arial Narrow" w:hAnsi="Arial Narrow" w:cs="Arial"/>
          <w:color w:val="000000" w:themeColor="text1"/>
          <w:sz w:val="26"/>
          <w:szCs w:val="26"/>
          <w:lang w:val="es-CO" w:bidi="en-US"/>
        </w:rPr>
        <w:t>FONDEJEMPLO</w:t>
      </w:r>
      <w:r w:rsidRPr="003C5DE8">
        <w:rPr>
          <w:rFonts w:ascii="Arial Narrow" w:hAnsi="Arial Narrow" w:cs="Arial"/>
          <w:color w:val="000000" w:themeColor="text1"/>
          <w:sz w:val="26"/>
          <w:szCs w:val="26"/>
          <w:lang w:val="es-CO" w:bidi="en-US"/>
        </w:rPr>
        <w:t xml:space="preserve">. Para el caso de una entidad: Subsidiarias, asociadas, o un negocio conjunto, controladora, o cuando </w:t>
      </w:r>
      <w:r w:rsidR="009A4C18">
        <w:rPr>
          <w:rFonts w:ascii="Arial Narrow" w:hAnsi="Arial Narrow" w:cs="Arial"/>
          <w:color w:val="000000" w:themeColor="text1"/>
          <w:sz w:val="26"/>
          <w:szCs w:val="26"/>
          <w:lang w:val="es-CO" w:bidi="en-US"/>
        </w:rPr>
        <w:t>FONDEJEMPLO</w:t>
      </w:r>
      <w:r w:rsidRPr="003C5DE8">
        <w:rPr>
          <w:rFonts w:ascii="Arial Narrow" w:hAnsi="Arial Narrow" w:cs="Arial"/>
          <w:color w:val="000000" w:themeColor="text1"/>
          <w:sz w:val="26"/>
          <w:szCs w:val="26"/>
          <w:lang w:val="es-CO" w:bidi="en-US"/>
        </w:rPr>
        <w:t xml:space="preserve"> es un plan de beneficios post-empleo para los trabajadores de </w:t>
      </w:r>
      <w:r w:rsidR="009A4C18">
        <w:rPr>
          <w:rFonts w:ascii="Arial Narrow" w:hAnsi="Arial Narrow" w:cs="Arial"/>
          <w:color w:val="000000" w:themeColor="text1"/>
          <w:sz w:val="26"/>
          <w:szCs w:val="26"/>
          <w:lang w:val="es-CO" w:bidi="en-US"/>
        </w:rPr>
        <w:t>FONDEJEMPLO</w:t>
      </w:r>
      <w:r w:rsidRPr="003C5DE8">
        <w:rPr>
          <w:rFonts w:ascii="Arial Narrow" w:hAnsi="Arial Narrow" w:cs="Arial"/>
          <w:color w:val="000000" w:themeColor="text1"/>
          <w:sz w:val="26"/>
          <w:szCs w:val="26"/>
          <w:lang w:val="es-CO" w:bidi="en-US"/>
        </w:rPr>
        <w:t xml:space="preserve"> que informa.</w:t>
      </w:r>
    </w:p>
    <w:p w14:paraId="239D4B5A" w14:textId="77777777" w:rsidR="0010027E" w:rsidRPr="003C5DE8" w:rsidRDefault="0010027E" w:rsidP="003C5DE8">
      <w:pPr>
        <w:ind w:left="567" w:hanging="567"/>
        <w:jc w:val="both"/>
        <w:rPr>
          <w:rFonts w:ascii="Arial Narrow" w:hAnsi="Arial Narrow" w:cs="Arial"/>
          <w:color w:val="000000" w:themeColor="text1"/>
          <w:sz w:val="26"/>
          <w:szCs w:val="26"/>
          <w:lang w:val="es-CO" w:eastAsia="ar-SA"/>
        </w:rPr>
      </w:pPr>
    </w:p>
    <w:p w14:paraId="6460729E" w14:textId="77777777" w:rsidR="0010027E" w:rsidRPr="003C5DE8" w:rsidRDefault="0010027E" w:rsidP="003C5DE8">
      <w:pPr>
        <w:pStyle w:val="Ttulo1"/>
        <w:numPr>
          <w:ilvl w:val="0"/>
          <w:numId w:val="13"/>
        </w:numPr>
        <w:suppressAutoHyphens/>
        <w:ind w:left="567" w:hanging="567"/>
        <w:jc w:val="both"/>
        <w:rPr>
          <w:rFonts w:ascii="Arial Narrow" w:hAnsi="Arial Narrow"/>
          <w:b w:val="0"/>
          <w:color w:val="000000" w:themeColor="text1"/>
          <w:sz w:val="26"/>
          <w:szCs w:val="26"/>
        </w:rPr>
      </w:pPr>
      <w:bookmarkStart w:id="25" w:name="_Toc97966907"/>
      <w:r w:rsidRPr="003C5DE8">
        <w:rPr>
          <w:rFonts w:ascii="Arial Narrow" w:hAnsi="Arial Narrow"/>
          <w:color w:val="000000" w:themeColor="text1"/>
          <w:sz w:val="26"/>
          <w:szCs w:val="26"/>
        </w:rPr>
        <w:t>ETAPAS DEL SARC</w:t>
      </w:r>
      <w:bookmarkEnd w:id="25"/>
    </w:p>
    <w:p w14:paraId="6319F6B5" w14:textId="77777777" w:rsidR="0010027E" w:rsidRPr="003C5DE8" w:rsidRDefault="0010027E" w:rsidP="003C5DE8">
      <w:pPr>
        <w:ind w:left="567" w:hanging="567"/>
        <w:jc w:val="both"/>
        <w:rPr>
          <w:rFonts w:ascii="Arial Narrow" w:hAnsi="Arial Narrow" w:cs="Arial"/>
          <w:color w:val="000000" w:themeColor="text1"/>
          <w:sz w:val="26"/>
          <w:szCs w:val="26"/>
          <w:lang w:val="es-CO" w:eastAsia="ar-SA"/>
        </w:rPr>
      </w:pPr>
    </w:p>
    <w:p w14:paraId="6BD7FCC6" w14:textId="0C1FC74A" w:rsidR="0010027E" w:rsidRPr="003C5DE8" w:rsidRDefault="0010027E" w:rsidP="003C5DE8">
      <w:pPr>
        <w:jc w:val="both"/>
        <w:rPr>
          <w:rFonts w:ascii="Arial Narrow" w:hAnsi="Arial Narrow" w:cs="Arial"/>
          <w:color w:val="000000" w:themeColor="text1"/>
          <w:sz w:val="26"/>
          <w:szCs w:val="26"/>
          <w:lang w:val="es-CO" w:bidi="en-US"/>
        </w:rPr>
      </w:pPr>
      <w:r w:rsidRPr="003C5DE8">
        <w:rPr>
          <w:rFonts w:ascii="Arial Narrow" w:hAnsi="Arial Narrow" w:cs="Arial"/>
          <w:color w:val="000000" w:themeColor="text1"/>
          <w:sz w:val="26"/>
          <w:szCs w:val="26"/>
          <w:lang w:val="es-CO" w:bidi="en-US"/>
        </w:rPr>
        <w:t xml:space="preserve">El SARC que implementen o complementen </w:t>
      </w:r>
      <w:r w:rsidR="009A4C18">
        <w:rPr>
          <w:rFonts w:ascii="Arial Narrow" w:hAnsi="Arial Narrow" w:cs="Arial"/>
          <w:color w:val="000000" w:themeColor="text1"/>
          <w:sz w:val="26"/>
          <w:szCs w:val="26"/>
          <w:lang w:val="es-CO" w:bidi="en-US"/>
        </w:rPr>
        <w:t>FONDEJEMPLO</w:t>
      </w:r>
      <w:r w:rsidRPr="003C5DE8">
        <w:rPr>
          <w:rFonts w:ascii="Arial Narrow" w:hAnsi="Arial Narrow" w:cs="Arial"/>
          <w:color w:val="000000" w:themeColor="text1"/>
          <w:sz w:val="26"/>
          <w:szCs w:val="26"/>
          <w:lang w:val="es-CO" w:bidi="en-US"/>
        </w:rPr>
        <w:t xml:space="preserve"> </w:t>
      </w:r>
      <w:r w:rsidRPr="003C5DE8">
        <w:rPr>
          <w:rFonts w:ascii="Arial Narrow" w:hAnsi="Arial Narrow" w:cs="Arial"/>
          <w:bCs/>
          <w:color w:val="000000" w:themeColor="text1"/>
          <w:sz w:val="26"/>
          <w:szCs w:val="26"/>
          <w:lang w:val="es-CO"/>
        </w:rPr>
        <w:t xml:space="preserve">deberá contemplar </w:t>
      </w:r>
      <w:r w:rsidRPr="003C5DE8">
        <w:rPr>
          <w:rFonts w:ascii="Arial Narrow" w:hAnsi="Arial Narrow" w:cs="Arial"/>
          <w:color w:val="000000" w:themeColor="text1"/>
          <w:sz w:val="26"/>
          <w:szCs w:val="26"/>
          <w:lang w:val="es-CO" w:bidi="en-US"/>
        </w:rPr>
        <w:t>como mínimo las siguientes etapas:</w:t>
      </w:r>
      <w:r w:rsidR="00CD5B0D" w:rsidRPr="003C5DE8">
        <w:rPr>
          <w:rFonts w:ascii="Arial Narrow" w:hAnsi="Arial Narrow" w:cs="Arial"/>
          <w:color w:val="000000" w:themeColor="text1"/>
          <w:sz w:val="26"/>
          <w:szCs w:val="26"/>
          <w:lang w:val="es-CO" w:bidi="en-US"/>
        </w:rPr>
        <w:t xml:space="preserve"> </w:t>
      </w:r>
      <w:r w:rsidRPr="003C5DE8">
        <w:rPr>
          <w:rFonts w:ascii="Arial Narrow" w:hAnsi="Arial Narrow" w:cs="Arial"/>
          <w:color w:val="000000" w:themeColor="text1"/>
          <w:sz w:val="26"/>
          <w:szCs w:val="26"/>
          <w:lang w:val="es-CO" w:bidi="en-US"/>
        </w:rPr>
        <w:t>Identificación</w:t>
      </w:r>
      <w:r w:rsidR="00CD5B0D" w:rsidRPr="003C5DE8">
        <w:rPr>
          <w:rFonts w:ascii="Arial Narrow" w:hAnsi="Arial Narrow" w:cs="Arial"/>
          <w:color w:val="000000" w:themeColor="text1"/>
          <w:sz w:val="26"/>
          <w:szCs w:val="26"/>
          <w:lang w:val="es-CO" w:bidi="en-US"/>
        </w:rPr>
        <w:t xml:space="preserve">, </w:t>
      </w:r>
      <w:r w:rsidRPr="003C5DE8">
        <w:rPr>
          <w:rFonts w:ascii="Arial Narrow" w:hAnsi="Arial Narrow" w:cs="Arial"/>
          <w:color w:val="000000" w:themeColor="text1"/>
          <w:sz w:val="26"/>
          <w:szCs w:val="26"/>
          <w:lang w:val="es-CO" w:bidi="en-US"/>
        </w:rPr>
        <w:t>Medición</w:t>
      </w:r>
      <w:r w:rsidR="00CD5B0D" w:rsidRPr="003C5DE8">
        <w:rPr>
          <w:rFonts w:ascii="Arial Narrow" w:hAnsi="Arial Narrow" w:cs="Arial"/>
          <w:color w:val="000000" w:themeColor="text1"/>
          <w:sz w:val="26"/>
          <w:szCs w:val="26"/>
          <w:lang w:val="es-CO" w:bidi="en-US"/>
        </w:rPr>
        <w:t xml:space="preserve">, </w:t>
      </w:r>
      <w:r w:rsidRPr="003C5DE8">
        <w:rPr>
          <w:rFonts w:ascii="Arial Narrow" w:hAnsi="Arial Narrow" w:cs="Arial"/>
          <w:color w:val="000000" w:themeColor="text1"/>
          <w:sz w:val="26"/>
          <w:szCs w:val="26"/>
          <w:lang w:val="es-CO" w:bidi="en-US"/>
        </w:rPr>
        <w:t>Control y</w:t>
      </w:r>
      <w:r w:rsidR="00CD5B0D" w:rsidRPr="003C5DE8">
        <w:rPr>
          <w:rFonts w:ascii="Arial Narrow" w:hAnsi="Arial Narrow" w:cs="Arial"/>
          <w:color w:val="000000" w:themeColor="text1"/>
          <w:sz w:val="26"/>
          <w:szCs w:val="26"/>
          <w:lang w:val="es-CO" w:bidi="en-US"/>
        </w:rPr>
        <w:t xml:space="preserve"> </w:t>
      </w:r>
      <w:r w:rsidRPr="003C5DE8">
        <w:rPr>
          <w:rFonts w:ascii="Arial Narrow" w:hAnsi="Arial Narrow" w:cs="Arial"/>
          <w:color w:val="000000" w:themeColor="text1"/>
          <w:sz w:val="26"/>
          <w:szCs w:val="26"/>
          <w:lang w:val="es-CO" w:bidi="en-US"/>
        </w:rPr>
        <w:t>Monitoreo</w:t>
      </w:r>
      <w:r w:rsidR="00CD5B0D" w:rsidRPr="003C5DE8">
        <w:rPr>
          <w:rFonts w:ascii="Arial Narrow" w:hAnsi="Arial Narrow" w:cs="Arial"/>
          <w:color w:val="000000" w:themeColor="text1"/>
          <w:sz w:val="26"/>
          <w:szCs w:val="26"/>
          <w:lang w:val="es-CO" w:bidi="en-US"/>
        </w:rPr>
        <w:t>:</w:t>
      </w:r>
    </w:p>
    <w:p w14:paraId="580918BC" w14:textId="77777777" w:rsidR="0010027E" w:rsidRPr="003C5DE8" w:rsidRDefault="0010027E" w:rsidP="003C5DE8">
      <w:pPr>
        <w:ind w:left="567" w:hanging="567"/>
        <w:jc w:val="both"/>
        <w:rPr>
          <w:rFonts w:ascii="Arial Narrow" w:hAnsi="Arial Narrow" w:cs="Arial"/>
          <w:color w:val="000000" w:themeColor="text1"/>
          <w:sz w:val="26"/>
          <w:szCs w:val="26"/>
          <w:lang w:val="es-CO" w:eastAsia="ar-SA"/>
        </w:rPr>
      </w:pPr>
    </w:p>
    <w:p w14:paraId="7006D835" w14:textId="77777777" w:rsidR="0010027E" w:rsidRPr="003C5DE8" w:rsidRDefault="0010027E" w:rsidP="003C5DE8">
      <w:pPr>
        <w:pStyle w:val="Ttulo1"/>
        <w:numPr>
          <w:ilvl w:val="1"/>
          <w:numId w:val="13"/>
        </w:numPr>
        <w:suppressAutoHyphens/>
        <w:ind w:left="567" w:hanging="567"/>
        <w:jc w:val="both"/>
        <w:rPr>
          <w:rFonts w:ascii="Arial Narrow" w:hAnsi="Arial Narrow"/>
          <w:b w:val="0"/>
          <w:color w:val="000000" w:themeColor="text1"/>
          <w:sz w:val="26"/>
          <w:szCs w:val="26"/>
        </w:rPr>
      </w:pPr>
      <w:bookmarkStart w:id="26" w:name="_Toc97966908"/>
      <w:r w:rsidRPr="003C5DE8">
        <w:rPr>
          <w:rFonts w:ascii="Arial Narrow" w:hAnsi="Arial Narrow"/>
          <w:color w:val="000000" w:themeColor="text1"/>
          <w:sz w:val="26"/>
          <w:szCs w:val="26"/>
        </w:rPr>
        <w:t>IDENTIFICACIÓN</w:t>
      </w:r>
      <w:bookmarkEnd w:id="26"/>
    </w:p>
    <w:p w14:paraId="51A16961" w14:textId="77777777" w:rsidR="0010027E" w:rsidRPr="003C5DE8" w:rsidRDefault="0010027E" w:rsidP="003C5DE8">
      <w:pPr>
        <w:ind w:left="567" w:hanging="567"/>
        <w:jc w:val="both"/>
        <w:rPr>
          <w:rFonts w:ascii="Arial Narrow" w:hAnsi="Arial Narrow" w:cs="Arial"/>
          <w:color w:val="000000" w:themeColor="text1"/>
          <w:sz w:val="26"/>
          <w:szCs w:val="26"/>
          <w:lang w:val="es-CO" w:eastAsia="ar-SA"/>
        </w:rPr>
      </w:pPr>
    </w:p>
    <w:p w14:paraId="49673677" w14:textId="780E4250" w:rsidR="0010027E" w:rsidRPr="003C5DE8" w:rsidRDefault="0010027E" w:rsidP="003C5DE8">
      <w:pPr>
        <w:jc w:val="both"/>
        <w:rPr>
          <w:rFonts w:ascii="Arial Narrow" w:hAnsi="Arial Narrow" w:cs="Arial"/>
          <w:bCs/>
          <w:color w:val="000000" w:themeColor="text1"/>
          <w:sz w:val="26"/>
          <w:szCs w:val="26"/>
          <w:lang w:val="es-CO"/>
        </w:rPr>
      </w:pPr>
      <w:r w:rsidRPr="003C5DE8">
        <w:rPr>
          <w:rFonts w:ascii="Arial Narrow" w:hAnsi="Arial Narrow" w:cs="Arial"/>
          <w:color w:val="000000" w:themeColor="text1"/>
          <w:sz w:val="26"/>
          <w:szCs w:val="26"/>
          <w:lang w:val="es-CO"/>
        </w:rPr>
        <w:t xml:space="preserve">El SARC debe permitir a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 xml:space="preserve"> identificar el riesgo de crédito a que está expuesta de conformidad con las operaciones autorizadas, sin perjuicio que se deba administrar el riesgo de crédito sobre todos los activos de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w:t>
      </w:r>
      <w:r w:rsidR="00CD5B0D" w:rsidRPr="003C5DE8">
        <w:rPr>
          <w:rFonts w:ascii="Arial Narrow" w:hAnsi="Arial Narrow" w:cs="Arial"/>
          <w:color w:val="000000" w:themeColor="text1"/>
          <w:sz w:val="26"/>
          <w:szCs w:val="26"/>
          <w:lang w:val="es-CO"/>
        </w:rPr>
        <w:t xml:space="preserve">  </w:t>
      </w:r>
      <w:r w:rsidRPr="003C5DE8">
        <w:rPr>
          <w:rFonts w:ascii="Arial Narrow" w:hAnsi="Arial Narrow" w:cs="Arial"/>
          <w:bCs/>
          <w:color w:val="000000" w:themeColor="text1"/>
          <w:sz w:val="26"/>
          <w:szCs w:val="26"/>
          <w:lang w:val="es-CO"/>
        </w:rPr>
        <w:t xml:space="preserve">La identificación del riesgo en </w:t>
      </w:r>
      <w:r w:rsidR="009A4C18">
        <w:rPr>
          <w:rFonts w:ascii="Arial Narrow" w:hAnsi="Arial Narrow" w:cs="Arial"/>
          <w:bCs/>
          <w:color w:val="000000" w:themeColor="text1"/>
          <w:sz w:val="26"/>
          <w:szCs w:val="26"/>
          <w:lang w:val="es-CO"/>
        </w:rPr>
        <w:t>FONDEJEMPLO</w:t>
      </w:r>
      <w:r w:rsidRPr="003C5DE8">
        <w:rPr>
          <w:rFonts w:ascii="Arial Narrow" w:hAnsi="Arial Narrow" w:cs="Arial"/>
          <w:bCs/>
          <w:color w:val="000000" w:themeColor="text1"/>
          <w:sz w:val="26"/>
          <w:szCs w:val="26"/>
          <w:lang w:val="es-CO"/>
        </w:rPr>
        <w:t xml:space="preserve"> deberá contemplar como mínimo:</w:t>
      </w:r>
    </w:p>
    <w:p w14:paraId="17A14342" w14:textId="77777777" w:rsidR="0010027E" w:rsidRPr="003C5DE8" w:rsidRDefault="0010027E" w:rsidP="003C5DE8">
      <w:pPr>
        <w:ind w:left="567" w:hanging="567"/>
        <w:jc w:val="both"/>
        <w:rPr>
          <w:rFonts w:ascii="Arial Narrow" w:hAnsi="Arial Narrow" w:cs="Arial"/>
          <w:color w:val="000000" w:themeColor="text1"/>
          <w:sz w:val="26"/>
          <w:szCs w:val="26"/>
          <w:lang w:val="es-CO"/>
        </w:rPr>
      </w:pPr>
    </w:p>
    <w:p w14:paraId="209DEE28" w14:textId="2F54780C" w:rsidR="0010027E" w:rsidRPr="003C5DE8" w:rsidRDefault="0010027E" w:rsidP="003C5DE8">
      <w:pPr>
        <w:pStyle w:val="Prrafodelista"/>
        <w:widowControl/>
        <w:numPr>
          <w:ilvl w:val="0"/>
          <w:numId w:val="26"/>
        </w:numPr>
        <w:autoSpaceDE/>
        <w:autoSpaceDN/>
        <w:ind w:left="567" w:hanging="567"/>
        <w:contextualSpacing/>
        <w:jc w:val="both"/>
        <w:rPr>
          <w:rFonts w:ascii="Arial Narrow" w:hAnsi="Arial Narrow" w:cs="Arial"/>
          <w:bCs/>
          <w:color w:val="000000" w:themeColor="text1"/>
          <w:sz w:val="26"/>
          <w:szCs w:val="26"/>
          <w:lang w:val="es-CO"/>
        </w:rPr>
      </w:pPr>
      <w:r w:rsidRPr="003C5DE8">
        <w:rPr>
          <w:rFonts w:ascii="Arial Narrow" w:hAnsi="Arial Narrow" w:cs="Arial"/>
          <w:bCs/>
          <w:color w:val="000000" w:themeColor="text1"/>
          <w:sz w:val="26"/>
          <w:szCs w:val="26"/>
          <w:lang w:val="es-CO"/>
        </w:rPr>
        <w:t xml:space="preserve">La definición de los eventos y factores de riesgo que podrían afectar el perfil deudor y su capacidad de pago, para el mercado (s) objetivo (s) que atiende </w:t>
      </w:r>
      <w:r w:rsidR="009A4C18">
        <w:rPr>
          <w:rFonts w:ascii="Arial Narrow" w:hAnsi="Arial Narrow" w:cs="Arial"/>
          <w:bCs/>
          <w:color w:val="000000" w:themeColor="text1"/>
          <w:sz w:val="26"/>
          <w:szCs w:val="26"/>
          <w:lang w:val="es-CO"/>
        </w:rPr>
        <w:t>FONDEJEMPLO</w:t>
      </w:r>
      <w:r w:rsidRPr="003C5DE8">
        <w:rPr>
          <w:rFonts w:ascii="Arial Narrow" w:hAnsi="Arial Narrow" w:cs="Arial"/>
          <w:bCs/>
          <w:color w:val="000000" w:themeColor="text1"/>
          <w:sz w:val="26"/>
          <w:szCs w:val="26"/>
          <w:lang w:val="es-CO"/>
        </w:rPr>
        <w:t>.</w:t>
      </w:r>
    </w:p>
    <w:p w14:paraId="24A0FF75" w14:textId="34BDC9BB" w:rsidR="003C5DE8" w:rsidRPr="003C5DE8" w:rsidRDefault="0010027E" w:rsidP="003C5DE8">
      <w:pPr>
        <w:pStyle w:val="Prrafodelista"/>
        <w:widowControl/>
        <w:numPr>
          <w:ilvl w:val="0"/>
          <w:numId w:val="26"/>
        </w:numPr>
        <w:autoSpaceDE/>
        <w:autoSpaceDN/>
        <w:ind w:left="567" w:hanging="567"/>
        <w:contextualSpacing/>
        <w:jc w:val="both"/>
        <w:rPr>
          <w:rFonts w:ascii="Arial Narrow" w:hAnsi="Arial Narrow" w:cs="Arial"/>
          <w:bCs/>
          <w:color w:val="000000" w:themeColor="text1"/>
          <w:sz w:val="26"/>
          <w:szCs w:val="26"/>
          <w:lang w:val="es-CO"/>
        </w:rPr>
      </w:pPr>
      <w:r w:rsidRPr="003C5DE8">
        <w:rPr>
          <w:rFonts w:ascii="Arial Narrow" w:hAnsi="Arial Narrow" w:cs="Arial"/>
          <w:bCs/>
          <w:color w:val="000000" w:themeColor="text1"/>
          <w:sz w:val="26"/>
          <w:szCs w:val="26"/>
          <w:lang w:val="es-CO"/>
        </w:rPr>
        <w:t>Los eventos y factores que podrían afectar la recuperación de las garantías al momento de hacerlas efectivas ante un incumplimiento por parte del deudor. Para ello, se deberá tener en cuenta que para cada tipo de garantía podría haber eventos y factores iguales o diferenciados. Algunos eventos que afectan la administración y recuperación vía garantías se encuentran relacionados a sus riesgos asociados, tales como operativo, legal, entre otros.</w:t>
      </w:r>
      <w:r w:rsidR="00C73945" w:rsidRPr="003C5DE8">
        <w:rPr>
          <w:rFonts w:ascii="Arial Narrow" w:hAnsi="Arial Narrow" w:cs="Arial"/>
          <w:bCs/>
          <w:color w:val="000000" w:themeColor="text1"/>
          <w:sz w:val="26"/>
          <w:szCs w:val="26"/>
          <w:lang w:val="es-CO"/>
        </w:rPr>
        <w:t xml:space="preserve"> </w:t>
      </w:r>
      <w:r w:rsidRPr="003C5DE8">
        <w:rPr>
          <w:rFonts w:ascii="Arial Narrow" w:hAnsi="Arial Narrow" w:cs="Arial"/>
          <w:bCs/>
          <w:color w:val="000000" w:themeColor="text1"/>
          <w:sz w:val="26"/>
          <w:szCs w:val="26"/>
          <w:lang w:val="es-CO"/>
        </w:rPr>
        <w:t xml:space="preserve">Considerando que existe una relación entre el comportamiento del indicador de cartera vencida y los ciclos económicos, es recomendable que </w:t>
      </w:r>
      <w:r w:rsidR="009A4C18">
        <w:rPr>
          <w:rFonts w:ascii="Arial Narrow" w:hAnsi="Arial Narrow" w:cs="Arial"/>
          <w:bCs/>
          <w:color w:val="000000" w:themeColor="text1"/>
          <w:sz w:val="26"/>
          <w:szCs w:val="26"/>
          <w:lang w:val="es-CO"/>
        </w:rPr>
        <w:t>FONDEJEMPLO</w:t>
      </w:r>
      <w:r w:rsidRPr="003C5DE8">
        <w:rPr>
          <w:rFonts w:ascii="Arial Narrow" w:hAnsi="Arial Narrow" w:cs="Arial"/>
          <w:bCs/>
          <w:color w:val="000000" w:themeColor="text1"/>
          <w:sz w:val="26"/>
          <w:szCs w:val="26"/>
          <w:lang w:val="es-CO"/>
        </w:rPr>
        <w:t xml:space="preserve"> evalúe la correlación que existe entre el perfil de riesgo de los deudores y dichos ciclos, con el propósito de generar alertas ante </w:t>
      </w:r>
      <w:r w:rsidRPr="003C5DE8">
        <w:rPr>
          <w:rFonts w:ascii="Arial Narrow" w:hAnsi="Arial Narrow" w:cs="Arial"/>
          <w:bCs/>
          <w:color w:val="000000" w:themeColor="text1"/>
          <w:sz w:val="26"/>
          <w:szCs w:val="26"/>
          <w:lang w:val="es-CO"/>
        </w:rPr>
        <w:lastRenderedPageBreak/>
        <w:t xml:space="preserve">desaceleraciones económicas. Para ello, se puede considerar el comportamiento histórico de la cartera frente a los ciclos económicos que ha tenido el país en relación con los nichos de mercado en los cuales opera </w:t>
      </w:r>
      <w:r w:rsidR="009A4C18">
        <w:rPr>
          <w:rFonts w:ascii="Arial Narrow" w:hAnsi="Arial Narrow" w:cs="Arial"/>
          <w:bCs/>
          <w:color w:val="000000" w:themeColor="text1"/>
          <w:sz w:val="26"/>
          <w:szCs w:val="26"/>
          <w:lang w:val="es-CO"/>
        </w:rPr>
        <w:t>FONDEJEMPLO</w:t>
      </w:r>
      <w:r w:rsidRPr="003C5DE8">
        <w:rPr>
          <w:rFonts w:ascii="Arial Narrow" w:hAnsi="Arial Narrow" w:cs="Arial"/>
          <w:bCs/>
          <w:color w:val="000000" w:themeColor="text1"/>
          <w:sz w:val="26"/>
          <w:szCs w:val="26"/>
          <w:lang w:val="es-CO"/>
        </w:rPr>
        <w:t>.</w:t>
      </w:r>
      <w:r w:rsidR="002140BF" w:rsidRPr="003C5DE8">
        <w:rPr>
          <w:rFonts w:ascii="Arial Narrow" w:hAnsi="Arial Narrow" w:cs="Arial"/>
          <w:bCs/>
          <w:color w:val="000000" w:themeColor="text1"/>
          <w:sz w:val="26"/>
          <w:szCs w:val="26"/>
          <w:lang w:val="es-CO"/>
        </w:rPr>
        <w:t xml:space="preserve"> </w:t>
      </w:r>
      <w:r w:rsidRPr="003C5DE8">
        <w:rPr>
          <w:rFonts w:ascii="Arial Narrow" w:hAnsi="Arial Narrow" w:cs="Arial"/>
          <w:bCs/>
          <w:color w:val="000000" w:themeColor="text1"/>
          <w:sz w:val="26"/>
          <w:szCs w:val="26"/>
          <w:lang w:val="es-CO"/>
        </w:rPr>
        <w:t xml:space="preserve">De igual forma, en esta etapa se debe realizar la identificación de los riesgos de crédito, cuando se presenten las siguientes situaciones: i) previo al lanzamiento, uso o modificación de cualquier producto; </w:t>
      </w:r>
      <w:proofErr w:type="spellStart"/>
      <w:r w:rsidRPr="003C5DE8">
        <w:rPr>
          <w:rFonts w:ascii="Arial Narrow" w:hAnsi="Arial Narrow" w:cs="Arial"/>
          <w:bCs/>
          <w:color w:val="000000" w:themeColor="text1"/>
          <w:sz w:val="26"/>
          <w:szCs w:val="26"/>
          <w:lang w:val="es-CO"/>
        </w:rPr>
        <w:t>ii</w:t>
      </w:r>
      <w:proofErr w:type="spellEnd"/>
      <w:r w:rsidRPr="003C5DE8">
        <w:rPr>
          <w:rFonts w:ascii="Arial Narrow" w:hAnsi="Arial Narrow" w:cs="Arial"/>
          <w:bCs/>
          <w:color w:val="000000" w:themeColor="text1"/>
          <w:sz w:val="26"/>
          <w:szCs w:val="26"/>
          <w:lang w:val="es-CO"/>
        </w:rPr>
        <w:t xml:space="preserve">) antes de la inclusión de nuevas prácticas comerciales, incluyendo nuevos canales de prestación de servicios, y el uso de nuevas tecnologías o tecnologías en desarrollo para productos nuevos o existentes; </w:t>
      </w:r>
      <w:proofErr w:type="spellStart"/>
      <w:r w:rsidRPr="003C5DE8">
        <w:rPr>
          <w:rFonts w:ascii="Arial Narrow" w:hAnsi="Arial Narrow" w:cs="Arial"/>
          <w:bCs/>
          <w:color w:val="000000" w:themeColor="text1"/>
          <w:sz w:val="26"/>
          <w:szCs w:val="26"/>
          <w:lang w:val="es-CO"/>
        </w:rPr>
        <w:t>iii</w:t>
      </w:r>
      <w:proofErr w:type="spellEnd"/>
      <w:r w:rsidRPr="003C5DE8">
        <w:rPr>
          <w:rFonts w:ascii="Arial Narrow" w:hAnsi="Arial Narrow" w:cs="Arial"/>
          <w:bCs/>
          <w:color w:val="000000" w:themeColor="text1"/>
          <w:sz w:val="26"/>
          <w:szCs w:val="26"/>
          <w:lang w:val="es-CO"/>
        </w:rPr>
        <w:t>) previo a la incursión en un nuevo mercado o nicho de mercado.</w:t>
      </w:r>
      <w:bookmarkStart w:id="27" w:name="_Toc28362769"/>
      <w:bookmarkEnd w:id="27"/>
    </w:p>
    <w:p w14:paraId="4372E40F" w14:textId="061E01C5" w:rsidR="0010027E" w:rsidRPr="003C5DE8" w:rsidRDefault="0010027E" w:rsidP="003C5DE8">
      <w:pPr>
        <w:pStyle w:val="Prrafodelista"/>
        <w:widowControl/>
        <w:numPr>
          <w:ilvl w:val="0"/>
          <w:numId w:val="26"/>
        </w:numPr>
        <w:autoSpaceDE/>
        <w:autoSpaceDN/>
        <w:ind w:left="567" w:hanging="567"/>
        <w:contextualSpacing/>
        <w:jc w:val="both"/>
        <w:rPr>
          <w:rFonts w:ascii="Arial Narrow" w:hAnsi="Arial Narrow" w:cs="Arial"/>
          <w:bCs/>
          <w:color w:val="000000" w:themeColor="text1"/>
          <w:sz w:val="26"/>
          <w:szCs w:val="26"/>
          <w:lang w:val="es-CO"/>
        </w:rPr>
      </w:pPr>
      <w:r w:rsidRPr="003C5DE8">
        <w:rPr>
          <w:rFonts w:ascii="Arial Narrow" w:hAnsi="Arial Narrow" w:cs="Arial"/>
          <w:color w:val="000000" w:themeColor="text1"/>
          <w:sz w:val="26"/>
          <w:szCs w:val="26"/>
          <w:lang w:val="es-CO"/>
        </w:rPr>
        <w:t xml:space="preserve">En todo caso, la etapa de identificación del riesgo deberá permitir a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 xml:space="preserve"> definir sus políticas y procesos dentro del ciclo de crédito como son el otorgamiento, seguimiento y control y, recuperación; lo anterior bajo un proceso de monitoreo y de mejoramiento continuo del sistema de administración de riesgos.   </w:t>
      </w:r>
    </w:p>
    <w:p w14:paraId="29A3DB4F" w14:textId="77777777" w:rsidR="0010027E" w:rsidRPr="003C5DE8" w:rsidRDefault="0010027E" w:rsidP="003C5DE8">
      <w:pPr>
        <w:ind w:left="567" w:hanging="567"/>
        <w:jc w:val="both"/>
        <w:rPr>
          <w:rFonts w:ascii="Arial Narrow" w:hAnsi="Arial Narrow" w:cs="Arial"/>
          <w:color w:val="000000" w:themeColor="text1"/>
          <w:sz w:val="26"/>
          <w:szCs w:val="26"/>
          <w:lang w:val="es-CO"/>
        </w:rPr>
      </w:pPr>
    </w:p>
    <w:p w14:paraId="0E212099" w14:textId="77777777" w:rsidR="0010027E" w:rsidRPr="003C5DE8" w:rsidRDefault="0010027E" w:rsidP="003C5DE8">
      <w:pPr>
        <w:pStyle w:val="Ttulo2"/>
        <w:numPr>
          <w:ilvl w:val="1"/>
          <w:numId w:val="13"/>
        </w:numPr>
        <w:spacing w:before="0"/>
        <w:ind w:left="567" w:hanging="567"/>
        <w:jc w:val="both"/>
        <w:rPr>
          <w:rFonts w:ascii="Arial Narrow" w:hAnsi="Arial Narrow"/>
          <w:b/>
          <w:bCs/>
          <w:color w:val="000000" w:themeColor="text1"/>
          <w:lang w:eastAsia="ar-SA"/>
        </w:rPr>
      </w:pPr>
      <w:bookmarkStart w:id="28" w:name="_Toc11674641"/>
      <w:bookmarkStart w:id="29" w:name="_Toc56498167"/>
      <w:bookmarkStart w:id="30" w:name="_Toc97966909"/>
      <w:r w:rsidRPr="003C5DE8">
        <w:rPr>
          <w:rFonts w:ascii="Arial Narrow" w:hAnsi="Arial Narrow"/>
          <w:b/>
          <w:bCs/>
          <w:color w:val="000000" w:themeColor="text1"/>
          <w:lang w:eastAsia="ar-SA"/>
        </w:rPr>
        <w:t>MEDICIÓN</w:t>
      </w:r>
      <w:bookmarkEnd w:id="28"/>
      <w:bookmarkEnd w:id="29"/>
      <w:bookmarkEnd w:id="30"/>
    </w:p>
    <w:p w14:paraId="27EC3838" w14:textId="77777777" w:rsidR="0010027E" w:rsidRPr="003C5DE8" w:rsidRDefault="0010027E" w:rsidP="003C5DE8">
      <w:pPr>
        <w:adjustRightInd w:val="0"/>
        <w:ind w:left="567" w:hanging="567"/>
        <w:jc w:val="both"/>
        <w:rPr>
          <w:rFonts w:ascii="Arial Narrow" w:hAnsi="Arial Narrow" w:cs="Arial"/>
          <w:color w:val="000000" w:themeColor="text1"/>
          <w:sz w:val="26"/>
          <w:szCs w:val="26"/>
        </w:rPr>
      </w:pPr>
    </w:p>
    <w:p w14:paraId="4BF1D99A" w14:textId="738E19FD" w:rsidR="0010027E" w:rsidRPr="003C5DE8" w:rsidRDefault="009A4C18" w:rsidP="003C5DE8">
      <w:pPr>
        <w:adjustRightInd w:val="0"/>
        <w:jc w:val="both"/>
        <w:rPr>
          <w:rFonts w:ascii="Arial Narrow" w:hAnsi="Arial Narrow" w:cs="Arial"/>
          <w:bCs/>
          <w:color w:val="000000" w:themeColor="text1"/>
          <w:sz w:val="26"/>
          <w:szCs w:val="26"/>
          <w:lang w:val="es-CO"/>
        </w:rPr>
      </w:pPr>
      <w:r>
        <w:rPr>
          <w:rFonts w:ascii="Arial Narrow" w:hAnsi="Arial Narrow" w:cs="Arial"/>
          <w:color w:val="000000" w:themeColor="text1"/>
          <w:sz w:val="26"/>
          <w:szCs w:val="26"/>
          <w:lang w:val="es-CO"/>
        </w:rPr>
        <w:t>FONDEJEMPLO</w:t>
      </w:r>
      <w:r w:rsidR="002140BF" w:rsidRPr="003C5DE8">
        <w:rPr>
          <w:rFonts w:ascii="Arial Narrow" w:hAnsi="Arial Narrow" w:cs="Arial"/>
          <w:color w:val="000000" w:themeColor="text1"/>
          <w:sz w:val="26"/>
          <w:szCs w:val="26"/>
          <w:lang w:val="es-CO"/>
        </w:rPr>
        <w:t xml:space="preserve"> debe</w:t>
      </w:r>
      <w:r w:rsidR="0010027E" w:rsidRPr="003C5DE8">
        <w:rPr>
          <w:rFonts w:ascii="Arial Narrow" w:hAnsi="Arial Narrow" w:cs="Arial"/>
          <w:color w:val="000000" w:themeColor="text1"/>
          <w:sz w:val="26"/>
          <w:szCs w:val="26"/>
          <w:lang w:val="es-CO"/>
        </w:rPr>
        <w:t xml:space="preserve"> evaluar permanentemente el riesgo de crédito al que está expuesta su cartera, tanto en el momento de otorgar créditos como a lo largo de la vida de los mismos, incluidos los casos de reestructuraciones y novaciones.</w:t>
      </w:r>
      <w:r w:rsidR="002140BF" w:rsidRPr="003C5DE8">
        <w:rPr>
          <w:rFonts w:ascii="Arial Narrow" w:hAnsi="Arial Narrow" w:cs="Arial"/>
          <w:color w:val="000000" w:themeColor="text1"/>
          <w:sz w:val="26"/>
          <w:szCs w:val="26"/>
          <w:lang w:val="es-CO"/>
        </w:rPr>
        <w:t xml:space="preserve"> </w:t>
      </w:r>
      <w:r w:rsidR="0010027E" w:rsidRPr="003C5DE8">
        <w:rPr>
          <w:rFonts w:ascii="Arial Narrow" w:hAnsi="Arial Narrow" w:cs="Arial"/>
          <w:color w:val="000000" w:themeColor="text1"/>
          <w:sz w:val="26"/>
          <w:szCs w:val="26"/>
          <w:lang w:val="es-CO"/>
        </w:rPr>
        <w:t xml:space="preserve">Por lo anterior, </w:t>
      </w:r>
      <w:r w:rsidR="002140BF" w:rsidRPr="003C5DE8">
        <w:rPr>
          <w:rFonts w:ascii="Arial Narrow" w:hAnsi="Arial Narrow" w:cs="Arial"/>
          <w:color w:val="000000" w:themeColor="text1"/>
          <w:sz w:val="26"/>
          <w:szCs w:val="26"/>
          <w:lang w:val="es-CO"/>
        </w:rPr>
        <w:t>deberá</w:t>
      </w:r>
      <w:r w:rsidR="0010027E" w:rsidRPr="003C5DE8">
        <w:rPr>
          <w:rFonts w:ascii="Arial Narrow" w:hAnsi="Arial Narrow" w:cs="Arial"/>
          <w:color w:val="000000" w:themeColor="text1"/>
          <w:sz w:val="26"/>
          <w:szCs w:val="26"/>
          <w:lang w:val="es-CO"/>
        </w:rPr>
        <w:t xml:space="preserve"> para todas las modalidades de crédito (consumo, vivienda, comercial y microcrédito), adoptar metodologías o criterios que les permitan durante la etapa de otorgamiento de crédito evaluar el perfil deudor del asociado y su capacidad de pago.</w:t>
      </w:r>
      <w:r w:rsidR="002140BF" w:rsidRPr="003C5DE8">
        <w:rPr>
          <w:rFonts w:ascii="Arial Narrow" w:hAnsi="Arial Narrow" w:cs="Arial"/>
          <w:color w:val="000000" w:themeColor="text1"/>
          <w:sz w:val="26"/>
          <w:szCs w:val="26"/>
          <w:lang w:val="es-CO"/>
        </w:rPr>
        <w:t xml:space="preserve"> </w:t>
      </w:r>
      <w:r w:rsidR="0010027E" w:rsidRPr="003C5DE8">
        <w:rPr>
          <w:rFonts w:ascii="Arial Narrow" w:hAnsi="Arial Narrow" w:cs="Arial"/>
          <w:color w:val="000000" w:themeColor="text1"/>
          <w:sz w:val="26"/>
          <w:szCs w:val="26"/>
          <w:lang w:val="es-CO"/>
        </w:rPr>
        <w:t xml:space="preserve">De igual forma, dado que el perfil deudor y su capacidad de pago no es constante en el tiempo, se </w:t>
      </w:r>
      <w:r w:rsidR="002140BF" w:rsidRPr="003C5DE8">
        <w:rPr>
          <w:rFonts w:ascii="Arial Narrow" w:hAnsi="Arial Narrow" w:cs="Arial"/>
          <w:color w:val="000000" w:themeColor="text1"/>
          <w:sz w:val="26"/>
          <w:szCs w:val="26"/>
          <w:lang w:val="es-CO"/>
        </w:rPr>
        <w:t>deberá</w:t>
      </w:r>
      <w:r w:rsidR="0010027E" w:rsidRPr="003C5DE8">
        <w:rPr>
          <w:rFonts w:ascii="Arial Narrow" w:hAnsi="Arial Narrow" w:cs="Arial"/>
          <w:color w:val="000000" w:themeColor="text1"/>
          <w:sz w:val="26"/>
          <w:szCs w:val="26"/>
          <w:lang w:val="es-CO"/>
        </w:rPr>
        <w:t xml:space="preserve"> adoptar metodologías de comportamiento de cartera para la calificación y estimación de deterioros. </w:t>
      </w:r>
      <w:r w:rsidR="0010027E" w:rsidRPr="003C5DE8">
        <w:rPr>
          <w:rFonts w:ascii="Arial Narrow" w:hAnsi="Arial Narrow" w:cs="Arial"/>
          <w:bCs/>
          <w:color w:val="000000" w:themeColor="text1"/>
          <w:sz w:val="26"/>
          <w:szCs w:val="26"/>
          <w:lang w:val="es-CO"/>
        </w:rPr>
        <w:t xml:space="preserve">Para llevar a cabo la medición en la etapa del ciclo de crédito de seguimiento y control del riesgo, se </w:t>
      </w:r>
      <w:r w:rsidR="002140BF" w:rsidRPr="003C5DE8">
        <w:rPr>
          <w:rFonts w:ascii="Arial Narrow" w:hAnsi="Arial Narrow" w:cs="Arial"/>
          <w:bCs/>
          <w:color w:val="000000" w:themeColor="text1"/>
          <w:sz w:val="26"/>
          <w:szCs w:val="26"/>
          <w:lang w:val="es-CO"/>
        </w:rPr>
        <w:t>deberá</w:t>
      </w:r>
      <w:r w:rsidR="0010027E" w:rsidRPr="003C5DE8">
        <w:rPr>
          <w:rFonts w:ascii="Arial Narrow" w:hAnsi="Arial Narrow" w:cs="Arial"/>
          <w:bCs/>
          <w:color w:val="000000" w:themeColor="text1"/>
          <w:sz w:val="26"/>
          <w:szCs w:val="26"/>
          <w:lang w:val="es-CO"/>
        </w:rPr>
        <w:t xml:space="preserve"> tener en cuenta dos (2) factores asociados específicamente al riesgo crediticio:</w:t>
      </w:r>
    </w:p>
    <w:p w14:paraId="1835BAEB" w14:textId="77777777" w:rsidR="0010027E" w:rsidRPr="003C5DE8" w:rsidRDefault="0010027E" w:rsidP="003C5DE8">
      <w:pPr>
        <w:ind w:left="567" w:hanging="567"/>
        <w:jc w:val="both"/>
        <w:rPr>
          <w:rFonts w:ascii="Arial Narrow" w:hAnsi="Arial Narrow" w:cs="Arial"/>
          <w:bCs/>
          <w:color w:val="000000" w:themeColor="text1"/>
          <w:sz w:val="26"/>
          <w:szCs w:val="26"/>
          <w:lang w:val="es-CO"/>
        </w:rPr>
      </w:pPr>
    </w:p>
    <w:p w14:paraId="6E2B6074" w14:textId="77777777" w:rsidR="002140BF" w:rsidRPr="003C5DE8" w:rsidRDefault="0010027E" w:rsidP="003C5DE8">
      <w:pPr>
        <w:pStyle w:val="Prrafodelista"/>
        <w:widowControl/>
        <w:numPr>
          <w:ilvl w:val="2"/>
          <w:numId w:val="13"/>
        </w:numPr>
        <w:autoSpaceDE/>
        <w:autoSpaceDN/>
        <w:ind w:left="567" w:hanging="567"/>
        <w:contextualSpacing/>
        <w:jc w:val="both"/>
        <w:rPr>
          <w:rFonts w:ascii="Arial Narrow" w:hAnsi="Arial Narrow" w:cs="Arial"/>
          <w:bCs/>
          <w:color w:val="000000" w:themeColor="text1"/>
          <w:sz w:val="26"/>
          <w:szCs w:val="26"/>
          <w:lang w:val="es-CO"/>
        </w:rPr>
      </w:pPr>
      <w:r w:rsidRPr="003C5DE8">
        <w:rPr>
          <w:rFonts w:ascii="Arial Narrow" w:hAnsi="Arial Narrow" w:cs="Arial"/>
          <w:b/>
          <w:bCs/>
          <w:color w:val="000000" w:themeColor="text1"/>
          <w:sz w:val="26"/>
          <w:szCs w:val="26"/>
          <w:lang w:val="es-CO"/>
        </w:rPr>
        <w:t>Probabilidad de incumplimiento del deudor (PI):</w:t>
      </w:r>
      <w:r w:rsidRPr="003C5DE8">
        <w:rPr>
          <w:rFonts w:ascii="Arial Narrow" w:hAnsi="Arial Narrow" w:cs="Arial"/>
          <w:bCs/>
          <w:color w:val="000000" w:themeColor="text1"/>
          <w:sz w:val="26"/>
          <w:szCs w:val="26"/>
          <w:lang w:val="es-CO"/>
        </w:rPr>
        <w:t xml:space="preserve"> Probabilidad de que un asociado incumpla parcial o totalmente una obligación en un horizonte de tiempo, explicado por un conjunto de variables sociodemográficas, historial crediticio e indicadores financieros. La probabilidad de incumplimiento permite evaluar el perfil deudor.</w:t>
      </w:r>
    </w:p>
    <w:p w14:paraId="161415E7" w14:textId="08514910" w:rsidR="0010027E" w:rsidRPr="003C5DE8" w:rsidRDefault="0010027E" w:rsidP="003C5DE8">
      <w:pPr>
        <w:pStyle w:val="Prrafodelista"/>
        <w:widowControl/>
        <w:numPr>
          <w:ilvl w:val="2"/>
          <w:numId w:val="13"/>
        </w:numPr>
        <w:autoSpaceDE/>
        <w:autoSpaceDN/>
        <w:ind w:left="567" w:hanging="567"/>
        <w:contextualSpacing/>
        <w:jc w:val="both"/>
        <w:rPr>
          <w:rFonts w:ascii="Arial Narrow" w:hAnsi="Arial Narrow" w:cs="Arial"/>
          <w:bCs/>
          <w:color w:val="000000" w:themeColor="text1"/>
          <w:sz w:val="26"/>
          <w:szCs w:val="26"/>
          <w:lang w:val="es-CO"/>
        </w:rPr>
      </w:pPr>
      <w:r w:rsidRPr="003C5DE8">
        <w:rPr>
          <w:rFonts w:ascii="Arial Narrow" w:hAnsi="Arial Narrow" w:cs="Arial"/>
          <w:b/>
          <w:bCs/>
          <w:color w:val="000000" w:themeColor="text1"/>
          <w:sz w:val="26"/>
          <w:szCs w:val="26"/>
          <w:lang w:val="es-CO"/>
        </w:rPr>
        <w:t>Severidad o Perdida dado el incumplimiento (PDI):</w:t>
      </w:r>
      <w:r w:rsidRPr="003C5DE8">
        <w:rPr>
          <w:rFonts w:ascii="Arial Narrow" w:hAnsi="Arial Narrow" w:cs="Arial"/>
          <w:bCs/>
          <w:color w:val="000000" w:themeColor="text1"/>
          <w:sz w:val="26"/>
          <w:szCs w:val="26"/>
          <w:lang w:val="es-CO"/>
        </w:rPr>
        <w:t xml:space="preserve"> Corresponde al porcentaje (%) promedio que no se logra recuperar de hacer efectiva la garantía ante un incumplimiento. La PDI varía por tipo de garantía.</w:t>
      </w:r>
      <w:r w:rsidR="002140BF" w:rsidRPr="003C5DE8">
        <w:rPr>
          <w:rFonts w:ascii="Arial Narrow" w:hAnsi="Arial Narrow" w:cs="Arial"/>
          <w:bCs/>
          <w:color w:val="000000" w:themeColor="text1"/>
          <w:sz w:val="26"/>
          <w:szCs w:val="26"/>
          <w:lang w:val="es-CO"/>
        </w:rPr>
        <w:t xml:space="preserve"> </w:t>
      </w:r>
      <w:r w:rsidR="009A4C18">
        <w:rPr>
          <w:rFonts w:ascii="Arial Narrow" w:hAnsi="Arial Narrow" w:cs="Arial"/>
          <w:bCs/>
          <w:color w:val="000000" w:themeColor="text1"/>
          <w:sz w:val="26"/>
          <w:szCs w:val="26"/>
          <w:lang w:val="es-CO"/>
        </w:rPr>
        <w:t>FONDEJEMPLO</w:t>
      </w:r>
      <w:r w:rsidRPr="003C5DE8">
        <w:rPr>
          <w:rFonts w:ascii="Arial Narrow" w:hAnsi="Arial Narrow" w:cs="Arial"/>
          <w:bCs/>
          <w:color w:val="000000" w:themeColor="text1"/>
          <w:sz w:val="26"/>
          <w:szCs w:val="26"/>
          <w:lang w:val="es-CO"/>
        </w:rPr>
        <w:t xml:space="preserve">, para el tratamiento de esta etapa podrán desarrollar sus propios modelos internos o adoptar los desarrollados por </w:t>
      </w:r>
      <w:r w:rsidR="002140BF" w:rsidRPr="003C5DE8">
        <w:rPr>
          <w:rFonts w:ascii="Arial Narrow" w:hAnsi="Arial Narrow" w:cs="Arial"/>
          <w:bCs/>
          <w:color w:val="000000" w:themeColor="text1"/>
          <w:sz w:val="26"/>
          <w:szCs w:val="26"/>
          <w:lang w:val="es-CO"/>
        </w:rPr>
        <w:t>la Supersolidaria</w:t>
      </w:r>
      <w:r w:rsidRPr="003C5DE8">
        <w:rPr>
          <w:rFonts w:ascii="Arial Narrow" w:hAnsi="Arial Narrow" w:cs="Arial"/>
          <w:bCs/>
          <w:color w:val="000000" w:themeColor="text1"/>
          <w:sz w:val="26"/>
          <w:szCs w:val="26"/>
          <w:lang w:val="es-CO"/>
        </w:rPr>
        <w:t xml:space="preserve">.  Así mismo, </w:t>
      </w:r>
      <w:r w:rsidR="009A4C18">
        <w:rPr>
          <w:rFonts w:ascii="Arial Narrow" w:hAnsi="Arial Narrow" w:cs="Arial"/>
          <w:bCs/>
          <w:color w:val="000000" w:themeColor="text1"/>
          <w:sz w:val="26"/>
          <w:szCs w:val="26"/>
          <w:lang w:val="es-CO"/>
        </w:rPr>
        <w:t>FONDEJEMPLO</w:t>
      </w:r>
      <w:r w:rsidRPr="003C5DE8">
        <w:rPr>
          <w:rFonts w:ascii="Arial Narrow" w:hAnsi="Arial Narrow" w:cs="Arial"/>
          <w:bCs/>
          <w:color w:val="000000" w:themeColor="text1"/>
          <w:sz w:val="26"/>
          <w:szCs w:val="26"/>
          <w:lang w:val="es-CO"/>
        </w:rPr>
        <w:t xml:space="preserve"> </w:t>
      </w:r>
      <w:r w:rsidR="002140BF" w:rsidRPr="003C5DE8">
        <w:rPr>
          <w:rFonts w:ascii="Arial Narrow" w:hAnsi="Arial Narrow" w:cs="Arial"/>
          <w:bCs/>
          <w:color w:val="000000" w:themeColor="text1"/>
          <w:sz w:val="26"/>
          <w:szCs w:val="26"/>
          <w:lang w:val="es-CO"/>
        </w:rPr>
        <w:t>adoptará</w:t>
      </w:r>
      <w:r w:rsidRPr="003C5DE8">
        <w:rPr>
          <w:rFonts w:ascii="Arial Narrow" w:hAnsi="Arial Narrow" w:cs="Arial"/>
          <w:bCs/>
          <w:color w:val="000000" w:themeColor="text1"/>
          <w:sz w:val="26"/>
          <w:szCs w:val="26"/>
          <w:lang w:val="es-CO"/>
        </w:rPr>
        <w:t xml:space="preserve"> metodologías que contemplen la evaluación y monitoreo de la cartera como parte del ciclo de crédito en su etapa de recuperación. </w:t>
      </w:r>
    </w:p>
    <w:p w14:paraId="1B98FC36" w14:textId="77777777" w:rsidR="0010027E" w:rsidRPr="003C5DE8" w:rsidRDefault="0010027E" w:rsidP="003C5DE8">
      <w:pPr>
        <w:ind w:left="567" w:hanging="567"/>
        <w:jc w:val="both"/>
        <w:rPr>
          <w:rFonts w:ascii="Arial Narrow" w:hAnsi="Arial Narrow" w:cs="Arial"/>
          <w:bCs/>
          <w:color w:val="000000" w:themeColor="text1"/>
          <w:sz w:val="26"/>
          <w:szCs w:val="26"/>
          <w:lang w:val="es-CO"/>
        </w:rPr>
      </w:pPr>
    </w:p>
    <w:p w14:paraId="57106D6C" w14:textId="325BA2FE" w:rsidR="0010027E" w:rsidRPr="003C5DE8" w:rsidRDefault="0010027E" w:rsidP="003C5DE8">
      <w:pPr>
        <w:pStyle w:val="Ttulo2"/>
        <w:numPr>
          <w:ilvl w:val="1"/>
          <w:numId w:val="13"/>
        </w:numPr>
        <w:spacing w:before="0"/>
        <w:ind w:left="567" w:hanging="567"/>
        <w:jc w:val="both"/>
        <w:rPr>
          <w:rFonts w:ascii="Arial Narrow" w:hAnsi="Arial Narrow"/>
          <w:b/>
          <w:bCs/>
          <w:color w:val="000000" w:themeColor="text1"/>
          <w:lang w:eastAsia="ar-SA"/>
        </w:rPr>
      </w:pPr>
      <w:bookmarkStart w:id="31" w:name="_Toc28362771"/>
      <w:bookmarkStart w:id="32" w:name="_Toc11674642"/>
      <w:bookmarkStart w:id="33" w:name="_Toc56498168"/>
      <w:bookmarkStart w:id="34" w:name="_Toc97966910"/>
      <w:bookmarkEnd w:id="31"/>
      <w:r w:rsidRPr="003C5DE8">
        <w:rPr>
          <w:rFonts w:ascii="Arial Narrow" w:hAnsi="Arial Narrow"/>
          <w:b/>
          <w:bCs/>
          <w:color w:val="000000" w:themeColor="text1"/>
          <w:lang w:eastAsia="ar-SA"/>
        </w:rPr>
        <w:t>CONTROL</w:t>
      </w:r>
      <w:bookmarkEnd w:id="32"/>
      <w:bookmarkEnd w:id="33"/>
      <w:bookmarkEnd w:id="34"/>
      <w:r w:rsidR="002140BF" w:rsidRPr="003C5DE8">
        <w:rPr>
          <w:rFonts w:ascii="Arial Narrow" w:hAnsi="Arial Narrow"/>
          <w:b/>
          <w:bCs/>
          <w:color w:val="000000" w:themeColor="text1"/>
          <w:lang w:eastAsia="ar-SA"/>
        </w:rPr>
        <w:t xml:space="preserve">. </w:t>
      </w:r>
    </w:p>
    <w:p w14:paraId="2C429EDA" w14:textId="77777777" w:rsidR="0010027E" w:rsidRPr="003C5DE8" w:rsidRDefault="0010027E" w:rsidP="003C5DE8">
      <w:pPr>
        <w:ind w:left="567" w:hanging="567"/>
        <w:jc w:val="both"/>
        <w:rPr>
          <w:rFonts w:ascii="Arial Narrow" w:hAnsi="Arial Narrow" w:cs="Arial"/>
          <w:color w:val="000000" w:themeColor="text1"/>
          <w:sz w:val="26"/>
          <w:szCs w:val="26"/>
          <w:lang w:eastAsia="ar-SA"/>
        </w:rPr>
      </w:pPr>
    </w:p>
    <w:p w14:paraId="12D4EA23" w14:textId="2CF34639" w:rsidR="0010027E" w:rsidRPr="003C5DE8" w:rsidRDefault="0010027E" w:rsidP="003C5DE8">
      <w:pPr>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El SARC debe permitir a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 xml:space="preserve"> tomar las medidas conducentes para controlar el riesgo de crédito al que se ven expuestas en el desarrollo de sus operaciones. Esta etapa debe cumplir con los siguientes requisitos mínimos:</w:t>
      </w:r>
    </w:p>
    <w:p w14:paraId="0D270B7F" w14:textId="77777777" w:rsidR="0010027E" w:rsidRPr="003C5DE8" w:rsidRDefault="0010027E" w:rsidP="003C5DE8">
      <w:pPr>
        <w:tabs>
          <w:tab w:val="left" w:pos="720"/>
        </w:tabs>
        <w:adjustRightInd w:val="0"/>
        <w:ind w:left="567" w:hanging="567"/>
        <w:jc w:val="both"/>
        <w:outlineLvl w:val="1"/>
        <w:rPr>
          <w:rFonts w:ascii="Arial Narrow" w:hAnsi="Arial Narrow" w:cs="Arial"/>
          <w:bCs/>
          <w:color w:val="000000" w:themeColor="text1"/>
          <w:sz w:val="26"/>
          <w:szCs w:val="26"/>
          <w:lang w:val="es-CO"/>
        </w:rPr>
      </w:pPr>
    </w:p>
    <w:p w14:paraId="2DF0C541" w14:textId="3C66CDF1" w:rsidR="0010027E" w:rsidRPr="003C5DE8" w:rsidRDefault="0010027E" w:rsidP="003C5DE8">
      <w:pPr>
        <w:pStyle w:val="Prrafodelista"/>
        <w:widowControl/>
        <w:numPr>
          <w:ilvl w:val="0"/>
          <w:numId w:val="27"/>
        </w:numPr>
        <w:suppressAutoHyphens/>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Permitir el control de los niveles de exposición al riesgo de crédito y los límites generales establecidos por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w:t>
      </w:r>
    </w:p>
    <w:p w14:paraId="18CEB79F" w14:textId="77777777" w:rsidR="0010027E" w:rsidRPr="003C5DE8" w:rsidRDefault="0010027E" w:rsidP="003C5DE8">
      <w:pPr>
        <w:pStyle w:val="Prrafodelista"/>
        <w:widowControl/>
        <w:numPr>
          <w:ilvl w:val="0"/>
          <w:numId w:val="27"/>
        </w:numPr>
        <w:suppressAutoHyphens/>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Permitir el control de los límites y niveles de exposición al riesgo de crédito consolidado por modalidades de cartera y tipos de deudor.</w:t>
      </w:r>
    </w:p>
    <w:p w14:paraId="4D670575" w14:textId="77777777" w:rsidR="0010027E" w:rsidRPr="003C5DE8" w:rsidRDefault="0010027E" w:rsidP="003C5DE8">
      <w:pPr>
        <w:pStyle w:val="Prrafodelista"/>
        <w:ind w:left="567" w:hanging="567"/>
        <w:jc w:val="both"/>
        <w:rPr>
          <w:rFonts w:ascii="Arial Narrow" w:hAnsi="Arial Narrow" w:cs="Arial"/>
          <w:color w:val="000000" w:themeColor="text1"/>
          <w:sz w:val="26"/>
          <w:szCs w:val="26"/>
          <w:lang w:val="es-CO"/>
        </w:rPr>
      </w:pPr>
    </w:p>
    <w:p w14:paraId="04494A46" w14:textId="77777777" w:rsidR="0010027E" w:rsidRPr="003C5DE8" w:rsidRDefault="0010027E" w:rsidP="003C5DE8">
      <w:pPr>
        <w:pStyle w:val="Ttulo2"/>
        <w:numPr>
          <w:ilvl w:val="1"/>
          <w:numId w:val="13"/>
        </w:numPr>
        <w:spacing w:before="0"/>
        <w:ind w:left="567" w:hanging="567"/>
        <w:jc w:val="both"/>
        <w:rPr>
          <w:rFonts w:ascii="Arial Narrow" w:hAnsi="Arial Narrow"/>
          <w:b/>
          <w:bCs/>
          <w:color w:val="000000" w:themeColor="text1"/>
          <w:lang w:eastAsia="ar-SA"/>
        </w:rPr>
      </w:pPr>
      <w:bookmarkStart w:id="35" w:name="_Toc11674643"/>
      <w:bookmarkStart w:id="36" w:name="_Toc56498169"/>
      <w:bookmarkStart w:id="37" w:name="_Toc97966911"/>
      <w:r w:rsidRPr="003C5DE8">
        <w:rPr>
          <w:rFonts w:ascii="Arial Narrow" w:hAnsi="Arial Narrow"/>
          <w:b/>
          <w:bCs/>
          <w:color w:val="000000" w:themeColor="text1"/>
          <w:lang w:eastAsia="ar-SA"/>
        </w:rPr>
        <w:lastRenderedPageBreak/>
        <w:t>MONITOREO</w:t>
      </w:r>
      <w:bookmarkEnd w:id="35"/>
      <w:bookmarkEnd w:id="36"/>
      <w:bookmarkEnd w:id="37"/>
    </w:p>
    <w:p w14:paraId="0AB32112" w14:textId="77777777" w:rsidR="0010027E" w:rsidRPr="003C5DE8" w:rsidRDefault="0010027E" w:rsidP="003C5DE8">
      <w:pPr>
        <w:ind w:left="567" w:hanging="567"/>
        <w:jc w:val="both"/>
        <w:rPr>
          <w:rFonts w:ascii="Arial Narrow" w:hAnsi="Arial Narrow" w:cs="Arial"/>
          <w:color w:val="000000" w:themeColor="text1"/>
          <w:sz w:val="26"/>
          <w:szCs w:val="26"/>
          <w:lang w:eastAsia="ar-SA"/>
        </w:rPr>
      </w:pPr>
    </w:p>
    <w:p w14:paraId="57011074" w14:textId="437D628D" w:rsidR="0010027E" w:rsidRPr="003C5DE8" w:rsidRDefault="0010027E" w:rsidP="003C5DE8">
      <w:pPr>
        <w:adjustRightInd w:val="0"/>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El SARC debe permitir a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 xml:space="preserve"> llevar a cabo un seguimiento permanente de la evolución de su exposición al riesgo de crédito.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 xml:space="preserve"> </w:t>
      </w:r>
      <w:r w:rsidR="002140BF" w:rsidRPr="003C5DE8">
        <w:rPr>
          <w:rFonts w:ascii="Arial Narrow" w:hAnsi="Arial Narrow" w:cs="Arial"/>
          <w:color w:val="000000" w:themeColor="text1"/>
          <w:sz w:val="26"/>
          <w:szCs w:val="26"/>
          <w:lang w:val="es-CO"/>
        </w:rPr>
        <w:t>deberá</w:t>
      </w:r>
      <w:r w:rsidRPr="003C5DE8">
        <w:rPr>
          <w:rFonts w:ascii="Arial Narrow" w:hAnsi="Arial Narrow" w:cs="Arial"/>
          <w:color w:val="000000" w:themeColor="text1"/>
          <w:sz w:val="26"/>
          <w:szCs w:val="26"/>
          <w:lang w:val="es-CO"/>
        </w:rPr>
        <w:t xml:space="preserve"> definir</w:t>
      </w:r>
      <w:r w:rsidR="00E10232" w:rsidRPr="003C5DE8">
        <w:rPr>
          <w:rFonts w:ascii="Arial Narrow" w:hAnsi="Arial Narrow" w:cs="Arial"/>
          <w:color w:val="000000" w:themeColor="text1"/>
          <w:sz w:val="26"/>
          <w:szCs w:val="26"/>
          <w:lang w:val="es-CO"/>
        </w:rPr>
        <w:t xml:space="preserve"> en su reglamento de crédito</w:t>
      </w:r>
      <w:r w:rsidRPr="003C5DE8">
        <w:rPr>
          <w:rFonts w:ascii="Arial Narrow" w:hAnsi="Arial Narrow" w:cs="Arial"/>
          <w:color w:val="000000" w:themeColor="text1"/>
          <w:sz w:val="26"/>
          <w:szCs w:val="26"/>
          <w:lang w:val="es-CO"/>
        </w:rPr>
        <w:t xml:space="preserve"> límites de exposición al riesgo acordes con su apetito de riesgo y dentro de su capacidad en términos de liquidez, solvencia</w:t>
      </w:r>
      <w:r w:rsidRPr="003C5DE8">
        <w:rPr>
          <w:rStyle w:val="Refdenotaalpie"/>
          <w:rFonts w:ascii="Arial Narrow" w:hAnsi="Arial Narrow" w:cs="Arial"/>
          <w:color w:val="000000" w:themeColor="text1"/>
          <w:sz w:val="26"/>
          <w:szCs w:val="26"/>
        </w:rPr>
        <w:footnoteReference w:id="2"/>
      </w:r>
      <w:r w:rsidRPr="003C5DE8">
        <w:rPr>
          <w:rFonts w:ascii="Arial Narrow" w:hAnsi="Arial Narrow" w:cs="Arial"/>
          <w:color w:val="000000" w:themeColor="text1"/>
          <w:sz w:val="26"/>
          <w:szCs w:val="26"/>
          <w:lang w:val="es-CO"/>
        </w:rPr>
        <w:t xml:space="preserve"> y de solidez</w:t>
      </w:r>
      <w:r w:rsidRPr="003C5DE8">
        <w:rPr>
          <w:rStyle w:val="Refdenotaalpie"/>
          <w:rFonts w:ascii="Arial Narrow" w:hAnsi="Arial Narrow" w:cs="Arial"/>
          <w:color w:val="000000" w:themeColor="text1"/>
          <w:sz w:val="26"/>
          <w:szCs w:val="26"/>
        </w:rPr>
        <w:footnoteReference w:id="3"/>
      </w:r>
      <w:r w:rsidR="00920AF0" w:rsidRPr="003C5DE8">
        <w:rPr>
          <w:rFonts w:ascii="Arial Narrow" w:hAnsi="Arial Narrow" w:cs="Arial"/>
          <w:color w:val="000000" w:themeColor="text1"/>
          <w:sz w:val="26"/>
          <w:szCs w:val="26"/>
          <w:lang w:val="es-CO"/>
        </w:rPr>
        <w:t xml:space="preserve"> cuando tales indicadores le resulten aplicables</w:t>
      </w:r>
      <w:r w:rsidRPr="003C5DE8">
        <w:rPr>
          <w:rFonts w:ascii="Arial Narrow" w:hAnsi="Arial Narrow" w:cs="Arial"/>
          <w:color w:val="000000" w:themeColor="text1"/>
          <w:sz w:val="26"/>
          <w:szCs w:val="26"/>
          <w:lang w:val="es-CO"/>
        </w:rPr>
        <w:t xml:space="preserve">. </w:t>
      </w:r>
      <w:r w:rsidR="002140BF" w:rsidRPr="003C5DE8">
        <w:rPr>
          <w:rFonts w:ascii="Arial Narrow" w:hAnsi="Arial Narrow" w:cs="Arial"/>
          <w:color w:val="000000" w:themeColor="text1"/>
          <w:sz w:val="26"/>
          <w:szCs w:val="26"/>
          <w:lang w:val="es-CO"/>
        </w:rPr>
        <w:t xml:space="preserve"> </w:t>
      </w:r>
      <w:r w:rsidRPr="003C5DE8">
        <w:rPr>
          <w:rFonts w:ascii="Arial Narrow" w:hAnsi="Arial Narrow" w:cs="Arial"/>
          <w:color w:val="000000" w:themeColor="text1"/>
          <w:sz w:val="26"/>
          <w:szCs w:val="26"/>
          <w:lang w:val="es-CO"/>
        </w:rPr>
        <w:t>El monitoreo debe cumplir con los siguientes requisitos mínimos:</w:t>
      </w:r>
    </w:p>
    <w:p w14:paraId="5EE116EB" w14:textId="77777777" w:rsidR="0010027E" w:rsidRPr="003C5DE8" w:rsidRDefault="0010027E" w:rsidP="003C5DE8">
      <w:pPr>
        <w:adjustRightInd w:val="0"/>
        <w:ind w:left="567" w:hanging="567"/>
        <w:jc w:val="both"/>
        <w:rPr>
          <w:rFonts w:ascii="Arial Narrow" w:hAnsi="Arial Narrow" w:cs="Arial"/>
          <w:color w:val="000000" w:themeColor="text1"/>
          <w:sz w:val="26"/>
          <w:szCs w:val="26"/>
          <w:lang w:val="es-CO"/>
        </w:rPr>
      </w:pPr>
    </w:p>
    <w:p w14:paraId="7C391AF8" w14:textId="2E24DC1B" w:rsidR="0010027E" w:rsidRPr="003C5DE8" w:rsidRDefault="0010027E" w:rsidP="003C5DE8">
      <w:pPr>
        <w:pStyle w:val="Prrafodelista"/>
        <w:widowControl/>
        <w:numPr>
          <w:ilvl w:val="0"/>
          <w:numId w:val="28"/>
        </w:numPr>
        <w:adjustRightInd w:val="0"/>
        <w:ind w:left="567" w:hanging="567"/>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Guardar correspondencia con el volumen y complejidad de las operaciones desarrolladas por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w:t>
      </w:r>
    </w:p>
    <w:p w14:paraId="07554D2F" w14:textId="77777777" w:rsidR="0010027E" w:rsidRPr="003C5DE8" w:rsidRDefault="0010027E" w:rsidP="003C5DE8">
      <w:pPr>
        <w:pStyle w:val="Prrafodelista"/>
        <w:widowControl/>
        <w:numPr>
          <w:ilvl w:val="0"/>
          <w:numId w:val="28"/>
        </w:numPr>
        <w:adjustRightInd w:val="0"/>
        <w:ind w:left="567" w:hanging="567"/>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Evaluar permanentemente el riesgo incorporado en sus activos crediticios, tanto en el momento de otorgar créditos como a lo largo de la vida de los mismos, incluidos los casos de reestructuraciones y novaciones.</w:t>
      </w:r>
    </w:p>
    <w:p w14:paraId="10B2F29C" w14:textId="079DDF3D" w:rsidR="0010027E" w:rsidRPr="003C5DE8" w:rsidRDefault="0010027E" w:rsidP="003C5DE8">
      <w:pPr>
        <w:pStyle w:val="Prrafodelista"/>
        <w:widowControl/>
        <w:numPr>
          <w:ilvl w:val="0"/>
          <w:numId w:val="28"/>
        </w:numPr>
        <w:adjustRightInd w:val="0"/>
        <w:ind w:left="567" w:hanging="567"/>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Permitir el seguimiento de los niveles de exposición al riesgo de crédito y los límites generales establecidos por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w:t>
      </w:r>
    </w:p>
    <w:p w14:paraId="1B2CF403" w14:textId="77777777" w:rsidR="0010027E" w:rsidRPr="003C5DE8" w:rsidRDefault="0010027E" w:rsidP="003C5DE8">
      <w:pPr>
        <w:pStyle w:val="Prrafodelista"/>
        <w:widowControl/>
        <w:numPr>
          <w:ilvl w:val="0"/>
          <w:numId w:val="28"/>
        </w:numPr>
        <w:adjustRightInd w:val="0"/>
        <w:ind w:left="567" w:hanging="567"/>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Permitir el seguimiento de los límites y niveles de exposición al riesgo de crédito consolidado por modalidades de cartera y tipos de deudor.</w:t>
      </w:r>
    </w:p>
    <w:p w14:paraId="75E2E400" w14:textId="1AC06370" w:rsidR="0010027E" w:rsidRPr="003C5DE8" w:rsidRDefault="0010027E" w:rsidP="003C5DE8">
      <w:pPr>
        <w:pStyle w:val="Prrafodelista"/>
        <w:widowControl/>
        <w:numPr>
          <w:ilvl w:val="0"/>
          <w:numId w:val="28"/>
        </w:numPr>
        <w:adjustRightInd w:val="0"/>
        <w:ind w:left="567" w:hanging="567"/>
        <w:jc w:val="both"/>
        <w:rPr>
          <w:rFonts w:ascii="Arial Narrow" w:hAnsi="Arial Narrow" w:cs="Arial"/>
          <w:bCs/>
          <w:color w:val="000000" w:themeColor="text1"/>
          <w:sz w:val="26"/>
          <w:szCs w:val="26"/>
          <w:lang w:val="es-CO"/>
        </w:rPr>
      </w:pPr>
      <w:r w:rsidRPr="003C5DE8">
        <w:rPr>
          <w:rFonts w:ascii="Arial Narrow" w:hAnsi="Arial Narrow" w:cs="Arial"/>
          <w:bCs/>
          <w:color w:val="000000" w:themeColor="text1"/>
          <w:sz w:val="26"/>
          <w:szCs w:val="26"/>
          <w:lang w:val="es-CO"/>
        </w:rPr>
        <w:t xml:space="preserve">Permitir segmentar la cartera, de forma que se logren detectar aquellos segmentos que presentan deterioro para adoptar medidas correctivas por parte de </w:t>
      </w:r>
      <w:r w:rsidR="009A4C18">
        <w:rPr>
          <w:rFonts w:ascii="Arial Narrow" w:hAnsi="Arial Narrow" w:cs="Arial"/>
          <w:bCs/>
          <w:color w:val="000000" w:themeColor="text1"/>
          <w:sz w:val="26"/>
          <w:szCs w:val="26"/>
          <w:lang w:val="es-CO"/>
        </w:rPr>
        <w:t>FONDEJEMPLO</w:t>
      </w:r>
      <w:r w:rsidRPr="003C5DE8">
        <w:rPr>
          <w:rFonts w:ascii="Arial Narrow" w:hAnsi="Arial Narrow" w:cs="Arial"/>
          <w:bCs/>
          <w:color w:val="000000" w:themeColor="text1"/>
          <w:sz w:val="26"/>
          <w:szCs w:val="26"/>
          <w:lang w:val="es-CO"/>
        </w:rPr>
        <w:t xml:space="preserve"> y los segmentos que tienen buen comportamiento y se constituyen en segmentos potenciales de crecimiento.</w:t>
      </w:r>
    </w:p>
    <w:p w14:paraId="06CB88BB" w14:textId="77777777" w:rsidR="0010027E" w:rsidRPr="003C5DE8" w:rsidRDefault="0010027E" w:rsidP="003C5DE8">
      <w:pPr>
        <w:pStyle w:val="Prrafodelista"/>
        <w:widowControl/>
        <w:numPr>
          <w:ilvl w:val="0"/>
          <w:numId w:val="28"/>
        </w:numPr>
        <w:adjustRightInd w:val="0"/>
        <w:ind w:left="567" w:hanging="567"/>
        <w:jc w:val="both"/>
        <w:rPr>
          <w:rFonts w:ascii="Arial Narrow" w:hAnsi="Arial Narrow" w:cs="Arial"/>
          <w:bCs/>
          <w:color w:val="000000" w:themeColor="text1"/>
          <w:sz w:val="26"/>
          <w:szCs w:val="26"/>
          <w:lang w:val="es-CO"/>
        </w:rPr>
      </w:pPr>
      <w:bookmarkStart w:id="38" w:name="_Hlk23429449"/>
      <w:r w:rsidRPr="003C5DE8">
        <w:rPr>
          <w:rFonts w:ascii="Arial Narrow" w:hAnsi="Arial Narrow" w:cs="Arial"/>
          <w:bCs/>
          <w:color w:val="000000" w:themeColor="text1"/>
          <w:sz w:val="26"/>
          <w:szCs w:val="26"/>
          <w:lang w:val="es-CO"/>
        </w:rPr>
        <w:t xml:space="preserve">Permitir monitorear el comportamiento de la cartera y nivel de exposición al riesgo de las operaciones de crédito con excepciones. </w:t>
      </w:r>
    </w:p>
    <w:p w14:paraId="18484BA7" w14:textId="56E48647" w:rsidR="0010027E" w:rsidRPr="003C5DE8" w:rsidRDefault="0010027E" w:rsidP="003C5DE8">
      <w:pPr>
        <w:pStyle w:val="Prrafodelista"/>
        <w:widowControl/>
        <w:numPr>
          <w:ilvl w:val="0"/>
          <w:numId w:val="28"/>
        </w:numPr>
        <w:adjustRightInd w:val="0"/>
        <w:ind w:left="567" w:hanging="567"/>
        <w:jc w:val="both"/>
        <w:rPr>
          <w:rFonts w:ascii="Arial Narrow" w:hAnsi="Arial Narrow" w:cs="Arial"/>
          <w:bCs/>
          <w:color w:val="000000" w:themeColor="text1"/>
          <w:sz w:val="26"/>
          <w:szCs w:val="26"/>
          <w:lang w:val="es-CO"/>
        </w:rPr>
      </w:pPr>
      <w:r w:rsidRPr="003C5DE8">
        <w:rPr>
          <w:rFonts w:ascii="Arial Narrow" w:hAnsi="Arial Narrow" w:cs="Arial"/>
          <w:bCs/>
          <w:color w:val="000000" w:themeColor="text1"/>
          <w:sz w:val="26"/>
          <w:szCs w:val="26"/>
          <w:lang w:val="es-CO"/>
        </w:rPr>
        <w:t xml:space="preserve">Permitir monitorear el comportamiento de cartera y nivel de exposición al riesgo de las operaciones de crédito </w:t>
      </w:r>
      <w:r w:rsidRPr="003C5DE8">
        <w:rPr>
          <w:rFonts w:ascii="Arial Narrow" w:hAnsi="Arial Narrow" w:cs="Arial"/>
          <w:color w:val="000000" w:themeColor="text1"/>
          <w:sz w:val="26"/>
          <w:szCs w:val="26"/>
          <w:lang w:val="es-CO" w:bidi="en-US"/>
        </w:rPr>
        <w:t xml:space="preserve">a asociados, administradores, miembros de </w:t>
      </w:r>
      <w:r w:rsidR="00FE4CF0" w:rsidRPr="003C5DE8">
        <w:rPr>
          <w:rFonts w:ascii="Arial Narrow" w:hAnsi="Arial Narrow" w:cs="Arial"/>
          <w:color w:val="000000" w:themeColor="text1"/>
          <w:sz w:val="26"/>
          <w:szCs w:val="26"/>
          <w:lang w:val="es-CO" w:bidi="en-US"/>
        </w:rPr>
        <w:t>órganos de control social</w:t>
      </w:r>
      <w:r w:rsidRPr="003C5DE8">
        <w:rPr>
          <w:rFonts w:ascii="Arial Narrow" w:hAnsi="Arial Narrow" w:cs="Arial"/>
          <w:color w:val="000000" w:themeColor="text1"/>
          <w:sz w:val="26"/>
          <w:szCs w:val="26"/>
          <w:lang w:val="es-CO" w:bidi="en-US"/>
        </w:rPr>
        <w:t xml:space="preserve"> y sus parientes</w:t>
      </w:r>
      <w:r w:rsidRPr="003C5DE8">
        <w:rPr>
          <w:rFonts w:ascii="Arial Narrow" w:hAnsi="Arial Narrow" w:cs="Arial"/>
          <w:b/>
          <w:color w:val="000000" w:themeColor="text1"/>
          <w:sz w:val="26"/>
          <w:szCs w:val="26"/>
          <w:lang w:val="es-CO" w:eastAsia="ar-SA"/>
        </w:rPr>
        <w:t xml:space="preserve">, </w:t>
      </w:r>
      <w:r w:rsidRPr="003C5DE8">
        <w:rPr>
          <w:rFonts w:ascii="Arial Narrow" w:hAnsi="Arial Narrow" w:cs="Arial"/>
          <w:color w:val="000000" w:themeColor="text1"/>
          <w:sz w:val="26"/>
          <w:szCs w:val="26"/>
          <w:lang w:val="es-CO" w:bidi="en-US"/>
        </w:rPr>
        <w:t>a que se refiere el artículo 61, de la Ley 454 de 1998, modificado por el artículo 109 de la Ley 795 de 2003</w:t>
      </w:r>
      <w:r w:rsidRPr="003C5DE8">
        <w:rPr>
          <w:rFonts w:ascii="Arial Narrow" w:hAnsi="Arial Narrow" w:cs="Arial"/>
          <w:bCs/>
          <w:color w:val="000000" w:themeColor="text1"/>
          <w:sz w:val="26"/>
          <w:szCs w:val="26"/>
          <w:lang w:val="es-CO"/>
        </w:rPr>
        <w:t xml:space="preserve">. </w:t>
      </w:r>
    </w:p>
    <w:p w14:paraId="77176B84" w14:textId="77777777" w:rsidR="0010027E" w:rsidRPr="003C5DE8" w:rsidRDefault="0010027E" w:rsidP="003C5DE8">
      <w:pPr>
        <w:pStyle w:val="Prrafodelista"/>
        <w:widowControl/>
        <w:numPr>
          <w:ilvl w:val="0"/>
          <w:numId w:val="28"/>
        </w:numPr>
        <w:adjustRightInd w:val="0"/>
        <w:ind w:left="567" w:hanging="567"/>
        <w:jc w:val="both"/>
        <w:rPr>
          <w:rFonts w:ascii="Arial Narrow" w:hAnsi="Arial Narrow" w:cs="Arial"/>
          <w:bCs/>
          <w:color w:val="000000" w:themeColor="text1"/>
          <w:sz w:val="26"/>
          <w:szCs w:val="26"/>
          <w:lang w:val="es-CO"/>
        </w:rPr>
      </w:pPr>
      <w:r w:rsidRPr="003C5DE8">
        <w:rPr>
          <w:rFonts w:ascii="Arial Narrow" w:hAnsi="Arial Narrow" w:cs="Arial"/>
          <w:bCs/>
          <w:color w:val="000000" w:themeColor="text1"/>
          <w:sz w:val="26"/>
          <w:szCs w:val="26"/>
          <w:lang w:val="es-CO"/>
        </w:rPr>
        <w:t>Permitir monitorear el comportamiento de cartera y nivel de exposición al riesgo de las operaciones de crédito con vinculados y partes relacionadas.</w:t>
      </w:r>
    </w:p>
    <w:p w14:paraId="713BFBA9" w14:textId="77777777" w:rsidR="0010027E" w:rsidRPr="003C5DE8" w:rsidRDefault="0010027E" w:rsidP="003C5DE8">
      <w:pPr>
        <w:pStyle w:val="Prrafodelista"/>
        <w:widowControl/>
        <w:numPr>
          <w:ilvl w:val="0"/>
          <w:numId w:val="28"/>
        </w:numPr>
        <w:adjustRightInd w:val="0"/>
        <w:ind w:left="567" w:hanging="567"/>
        <w:jc w:val="both"/>
        <w:rPr>
          <w:rFonts w:ascii="Arial Narrow" w:hAnsi="Arial Narrow" w:cs="Arial"/>
          <w:bCs/>
          <w:color w:val="000000" w:themeColor="text1"/>
          <w:sz w:val="26"/>
          <w:szCs w:val="26"/>
          <w:lang w:val="es-CO"/>
        </w:rPr>
      </w:pPr>
      <w:r w:rsidRPr="003C5DE8">
        <w:rPr>
          <w:rFonts w:ascii="Arial Narrow" w:hAnsi="Arial Narrow" w:cs="Arial"/>
          <w:bCs/>
          <w:color w:val="000000" w:themeColor="text1"/>
          <w:sz w:val="26"/>
          <w:szCs w:val="26"/>
          <w:lang w:val="es-CO"/>
        </w:rPr>
        <w:t>Permitir monitorear el comportamiento de cartera y nivel de exposición al riesgo de las operaciones de crédito generadas de reestructuraciones y de novaciones.</w:t>
      </w:r>
      <w:bookmarkEnd w:id="38"/>
    </w:p>
    <w:p w14:paraId="1D811CA4" w14:textId="41076DDF" w:rsidR="0010027E" w:rsidRPr="003C5DE8" w:rsidRDefault="0010027E" w:rsidP="003C5DE8">
      <w:pPr>
        <w:pStyle w:val="Prrafodelista"/>
        <w:widowControl/>
        <w:numPr>
          <w:ilvl w:val="0"/>
          <w:numId w:val="28"/>
        </w:numPr>
        <w:adjustRightInd w:val="0"/>
        <w:ind w:left="567" w:hanging="567"/>
        <w:jc w:val="both"/>
        <w:rPr>
          <w:rFonts w:ascii="Arial Narrow" w:hAnsi="Arial Narrow" w:cs="Arial"/>
          <w:bCs/>
          <w:color w:val="000000" w:themeColor="text1"/>
          <w:sz w:val="26"/>
          <w:szCs w:val="26"/>
          <w:lang w:val="es-CO"/>
        </w:rPr>
      </w:pPr>
      <w:r w:rsidRPr="003C5DE8">
        <w:rPr>
          <w:rFonts w:ascii="Arial Narrow" w:hAnsi="Arial Narrow" w:cs="Arial"/>
          <w:bCs/>
          <w:color w:val="000000" w:themeColor="text1"/>
          <w:sz w:val="26"/>
          <w:szCs w:val="26"/>
          <w:lang w:val="es-CO"/>
        </w:rPr>
        <w:t xml:space="preserve">Permitir detectar deterioros de cartera y sus respectivas causas. Para ello se deberá tener en cuenta que el deterioro de cartera puede generarse por eventos de riesgo de crédito asociados a quebrantos de la situación financiera de los deudores o a riesgos operacionales asociados a la inadecuada aplicación de los procesos, políticas y metodologías definidas por </w:t>
      </w:r>
      <w:r w:rsidR="009A4C18">
        <w:rPr>
          <w:rFonts w:ascii="Arial Narrow" w:hAnsi="Arial Narrow" w:cs="Arial"/>
          <w:bCs/>
          <w:color w:val="000000" w:themeColor="text1"/>
          <w:sz w:val="26"/>
          <w:szCs w:val="26"/>
          <w:lang w:val="es-CO"/>
        </w:rPr>
        <w:t>FONDEJEMPLO</w:t>
      </w:r>
      <w:r w:rsidRPr="003C5DE8">
        <w:rPr>
          <w:rFonts w:ascii="Arial Narrow" w:hAnsi="Arial Narrow" w:cs="Arial"/>
          <w:bCs/>
          <w:color w:val="000000" w:themeColor="text1"/>
          <w:sz w:val="26"/>
          <w:szCs w:val="26"/>
          <w:lang w:val="es-CO"/>
        </w:rPr>
        <w:t xml:space="preserve"> o eventos asociados a fraudes, corrupción y soborno.</w:t>
      </w:r>
    </w:p>
    <w:p w14:paraId="7D4D3E98" w14:textId="77777777" w:rsidR="0010027E" w:rsidRPr="003C5DE8" w:rsidRDefault="0010027E" w:rsidP="003C5DE8">
      <w:pPr>
        <w:pStyle w:val="Prrafodelista"/>
        <w:widowControl/>
        <w:numPr>
          <w:ilvl w:val="0"/>
          <w:numId w:val="28"/>
        </w:numPr>
        <w:adjustRightInd w:val="0"/>
        <w:ind w:left="567" w:hanging="567"/>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Permitir la elaboración de reportes gerenciales y de monitoreo de riesgos que evalúen los resultados de las estrategias adoptadas, </w:t>
      </w:r>
      <w:r w:rsidRPr="003C5DE8">
        <w:rPr>
          <w:rFonts w:ascii="Arial Narrow" w:hAnsi="Arial Narrow" w:cs="Arial"/>
          <w:bCs/>
          <w:color w:val="000000" w:themeColor="text1"/>
          <w:sz w:val="26"/>
          <w:szCs w:val="26"/>
          <w:lang w:val="es-CO"/>
        </w:rPr>
        <w:t>de forma mensual, o antes si así se requiere</w:t>
      </w:r>
      <w:r w:rsidRPr="003C5DE8">
        <w:rPr>
          <w:rFonts w:ascii="Arial Narrow" w:hAnsi="Arial Narrow" w:cs="Arial"/>
          <w:color w:val="000000" w:themeColor="text1"/>
          <w:sz w:val="26"/>
          <w:szCs w:val="26"/>
          <w:lang w:val="es-CO"/>
        </w:rPr>
        <w:t>.</w:t>
      </w:r>
    </w:p>
    <w:p w14:paraId="17674508" w14:textId="77777777" w:rsidR="0010027E" w:rsidRPr="003C5DE8" w:rsidRDefault="0010027E" w:rsidP="003C5DE8">
      <w:pPr>
        <w:pStyle w:val="Prrafodelista"/>
        <w:adjustRightInd w:val="0"/>
        <w:ind w:left="567" w:hanging="567"/>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 </w:t>
      </w:r>
    </w:p>
    <w:p w14:paraId="6FD00877" w14:textId="77777777" w:rsidR="0010027E" w:rsidRPr="003C5DE8" w:rsidRDefault="0010027E" w:rsidP="003C5DE8">
      <w:pPr>
        <w:pStyle w:val="Ttulo1"/>
        <w:numPr>
          <w:ilvl w:val="0"/>
          <w:numId w:val="13"/>
        </w:numPr>
        <w:suppressAutoHyphens/>
        <w:ind w:left="567" w:hanging="567"/>
        <w:jc w:val="both"/>
        <w:rPr>
          <w:rFonts w:ascii="Arial Narrow" w:hAnsi="Arial Narrow"/>
          <w:b w:val="0"/>
          <w:color w:val="000000" w:themeColor="text1"/>
          <w:sz w:val="26"/>
          <w:szCs w:val="26"/>
        </w:rPr>
      </w:pPr>
      <w:bookmarkStart w:id="39" w:name="_Toc11674644"/>
      <w:bookmarkStart w:id="40" w:name="_Toc56498170"/>
      <w:bookmarkStart w:id="41" w:name="_Toc97966912"/>
      <w:r w:rsidRPr="003C5DE8">
        <w:rPr>
          <w:rFonts w:ascii="Arial Narrow" w:hAnsi="Arial Narrow"/>
          <w:color w:val="000000" w:themeColor="text1"/>
          <w:sz w:val="26"/>
          <w:szCs w:val="26"/>
        </w:rPr>
        <w:t>ELEMENTOS QUE COMPONEN EL SARC</w:t>
      </w:r>
      <w:bookmarkEnd w:id="39"/>
      <w:bookmarkEnd w:id="40"/>
      <w:bookmarkEnd w:id="41"/>
    </w:p>
    <w:p w14:paraId="1AE19ECA" w14:textId="77777777" w:rsidR="0010027E" w:rsidRPr="003C5DE8" w:rsidRDefault="0010027E" w:rsidP="003C5DE8">
      <w:pPr>
        <w:ind w:left="567" w:hanging="567"/>
        <w:jc w:val="both"/>
        <w:rPr>
          <w:rFonts w:ascii="Arial Narrow" w:hAnsi="Arial Narrow" w:cs="Arial"/>
          <w:color w:val="000000" w:themeColor="text1"/>
          <w:sz w:val="26"/>
          <w:szCs w:val="26"/>
          <w:lang w:val="es-CO" w:eastAsia="ar-SA"/>
        </w:rPr>
      </w:pPr>
    </w:p>
    <w:p w14:paraId="5C95720A" w14:textId="67A29854" w:rsidR="0010027E" w:rsidRPr="003C5DE8" w:rsidRDefault="0010027E" w:rsidP="003C5DE8">
      <w:pPr>
        <w:adjustRightInd w:val="0"/>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El SARC debe contener por lo menos los siguientes elementos, que </w:t>
      </w:r>
      <w:r w:rsidR="002140BF" w:rsidRPr="003C5DE8">
        <w:rPr>
          <w:rFonts w:ascii="Arial Narrow" w:hAnsi="Arial Narrow" w:cs="Arial"/>
          <w:color w:val="000000" w:themeColor="text1"/>
          <w:sz w:val="26"/>
          <w:szCs w:val="26"/>
          <w:lang w:val="es-CO"/>
        </w:rPr>
        <w:t>deberá</w:t>
      </w:r>
      <w:r w:rsidRPr="003C5DE8">
        <w:rPr>
          <w:rFonts w:ascii="Arial Narrow" w:hAnsi="Arial Narrow" w:cs="Arial"/>
          <w:color w:val="000000" w:themeColor="text1"/>
          <w:sz w:val="26"/>
          <w:szCs w:val="26"/>
          <w:lang w:val="es-CO"/>
        </w:rPr>
        <w:t xml:space="preserve"> desarrollarse en cada uno de los procesos de crédito:</w:t>
      </w:r>
    </w:p>
    <w:p w14:paraId="6C44CE7C" w14:textId="77777777" w:rsidR="0010027E" w:rsidRPr="003C5DE8" w:rsidRDefault="0010027E" w:rsidP="003C5DE8">
      <w:pPr>
        <w:adjustRightInd w:val="0"/>
        <w:ind w:left="567" w:hanging="567"/>
        <w:jc w:val="both"/>
        <w:rPr>
          <w:rFonts w:ascii="Arial Narrow" w:hAnsi="Arial Narrow" w:cs="Arial"/>
          <w:color w:val="000000" w:themeColor="text1"/>
          <w:sz w:val="26"/>
          <w:szCs w:val="26"/>
          <w:lang w:val="es-CO"/>
        </w:rPr>
      </w:pPr>
    </w:p>
    <w:p w14:paraId="4158E2DA" w14:textId="77777777" w:rsidR="0010027E" w:rsidRPr="003C5DE8" w:rsidRDefault="0010027E" w:rsidP="003C5DE8">
      <w:pPr>
        <w:pStyle w:val="Prrafodelista"/>
        <w:adjustRightInd w:val="0"/>
        <w:ind w:left="567" w:hanging="567"/>
        <w:jc w:val="both"/>
        <w:rPr>
          <w:rFonts w:ascii="Arial Narrow" w:hAnsi="Arial Narrow" w:cs="Arial"/>
          <w:color w:val="000000" w:themeColor="text1"/>
          <w:sz w:val="26"/>
          <w:szCs w:val="26"/>
          <w:lang w:val="es-CO"/>
        </w:rPr>
      </w:pPr>
    </w:p>
    <w:p w14:paraId="0A038C88" w14:textId="77777777" w:rsidR="0010027E" w:rsidRPr="003C5DE8" w:rsidRDefault="0010027E" w:rsidP="003C5DE8">
      <w:pPr>
        <w:pStyle w:val="Ttulo2"/>
        <w:numPr>
          <w:ilvl w:val="1"/>
          <w:numId w:val="13"/>
        </w:numPr>
        <w:spacing w:before="0"/>
        <w:ind w:left="567" w:hanging="567"/>
        <w:jc w:val="both"/>
        <w:rPr>
          <w:rFonts w:ascii="Arial Narrow" w:hAnsi="Arial Narrow"/>
          <w:b/>
          <w:bCs/>
          <w:color w:val="000000" w:themeColor="text1"/>
          <w:lang w:val="es-CO" w:eastAsia="ar-SA"/>
        </w:rPr>
      </w:pPr>
      <w:bookmarkStart w:id="42" w:name="_Toc56498171"/>
      <w:bookmarkStart w:id="43" w:name="_Toc97966913"/>
      <w:r w:rsidRPr="003C5DE8">
        <w:rPr>
          <w:rFonts w:ascii="Arial Narrow" w:hAnsi="Arial Narrow"/>
          <w:b/>
          <w:bCs/>
          <w:color w:val="000000" w:themeColor="text1"/>
          <w:lang w:val="es-CO" w:eastAsia="ar-SA"/>
        </w:rPr>
        <w:lastRenderedPageBreak/>
        <w:t>POLÍTICAS DE ADMINISTRACIÓN DEL RC</w:t>
      </w:r>
      <w:bookmarkEnd w:id="42"/>
      <w:bookmarkEnd w:id="43"/>
    </w:p>
    <w:p w14:paraId="4532EDE3" w14:textId="77777777" w:rsidR="0010027E" w:rsidRPr="003C5DE8" w:rsidRDefault="0010027E" w:rsidP="003C5DE8">
      <w:pPr>
        <w:ind w:left="567" w:hanging="567"/>
        <w:jc w:val="both"/>
        <w:rPr>
          <w:rFonts w:ascii="Arial Narrow" w:hAnsi="Arial Narrow" w:cs="Arial"/>
          <w:color w:val="000000" w:themeColor="text1"/>
          <w:sz w:val="26"/>
          <w:szCs w:val="26"/>
          <w:lang w:val="es-CO" w:eastAsia="ar-SA"/>
        </w:rPr>
      </w:pPr>
    </w:p>
    <w:p w14:paraId="1AB5F7E8" w14:textId="4095A9C8" w:rsidR="0010027E" w:rsidRPr="003C5DE8" w:rsidRDefault="0010027E" w:rsidP="003C5DE8">
      <w:pPr>
        <w:adjustRightInd w:val="0"/>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Las políticas de administración del riesgo crediticio son decisiones aprobadas por el </w:t>
      </w:r>
      <w:r w:rsidR="007D2AC3" w:rsidRPr="003C5DE8">
        <w:rPr>
          <w:rFonts w:ascii="Arial Narrow" w:hAnsi="Arial Narrow" w:cs="Arial"/>
          <w:color w:val="000000" w:themeColor="text1"/>
          <w:sz w:val="26"/>
          <w:szCs w:val="26"/>
          <w:lang w:val="es-CO"/>
        </w:rPr>
        <w:t>Órgano permanente de administración</w:t>
      </w:r>
      <w:r w:rsidRPr="003C5DE8">
        <w:rPr>
          <w:rFonts w:ascii="Arial Narrow" w:hAnsi="Arial Narrow" w:cs="Arial"/>
          <w:color w:val="000000" w:themeColor="text1"/>
          <w:sz w:val="26"/>
          <w:szCs w:val="26"/>
          <w:lang w:val="es-CO"/>
        </w:rPr>
        <w:t xml:space="preserve"> según el caso, mediante las cuales se establecen los criterios con los cuales se debe evaluar, calificar, asumir, controlar y cubrir el riesgo crediticio y que </w:t>
      </w:r>
      <w:r w:rsidR="002140BF" w:rsidRPr="003C5DE8">
        <w:rPr>
          <w:rFonts w:ascii="Arial Narrow" w:hAnsi="Arial Narrow" w:cs="Arial"/>
          <w:color w:val="000000" w:themeColor="text1"/>
          <w:sz w:val="26"/>
          <w:szCs w:val="26"/>
          <w:lang w:val="es-CO"/>
        </w:rPr>
        <w:t>deberá</w:t>
      </w:r>
      <w:r w:rsidRPr="003C5DE8">
        <w:rPr>
          <w:rFonts w:ascii="Arial Narrow" w:hAnsi="Arial Narrow" w:cs="Arial"/>
          <w:color w:val="000000" w:themeColor="text1"/>
          <w:sz w:val="26"/>
          <w:szCs w:val="26"/>
          <w:lang w:val="es-CO"/>
        </w:rPr>
        <w:t xml:space="preserve"> aplicarse en todos los niveles de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 Cada uno de los procesos de crédito debe contar con políticas y procedimientos claros y efectivamente aplicables.</w:t>
      </w:r>
      <w:r w:rsidR="00DC28F5" w:rsidRPr="003C5DE8">
        <w:rPr>
          <w:rFonts w:ascii="Arial Narrow" w:hAnsi="Arial Narrow" w:cs="Arial"/>
          <w:color w:val="000000" w:themeColor="text1"/>
          <w:sz w:val="26"/>
          <w:szCs w:val="26"/>
          <w:lang w:val="es-CO"/>
        </w:rPr>
        <w:t xml:space="preserve"> </w:t>
      </w:r>
      <w:r w:rsidRPr="003C5DE8">
        <w:rPr>
          <w:rFonts w:ascii="Arial Narrow" w:hAnsi="Arial Narrow" w:cs="Arial"/>
          <w:color w:val="000000" w:themeColor="text1"/>
          <w:sz w:val="26"/>
          <w:szCs w:val="26"/>
          <w:lang w:val="es-CO"/>
        </w:rPr>
        <w:t xml:space="preserve">Las políticas de crédito y cartera </w:t>
      </w:r>
      <w:r w:rsidR="003C5DE8" w:rsidRPr="003C5DE8">
        <w:rPr>
          <w:rFonts w:ascii="Arial Narrow" w:hAnsi="Arial Narrow" w:cs="Arial"/>
          <w:color w:val="000000" w:themeColor="text1"/>
          <w:sz w:val="26"/>
          <w:szCs w:val="26"/>
          <w:lang w:val="es-CO"/>
        </w:rPr>
        <w:t>deben</w:t>
      </w:r>
      <w:r w:rsidRPr="003C5DE8">
        <w:rPr>
          <w:rFonts w:ascii="Arial Narrow" w:hAnsi="Arial Narrow" w:cs="Arial"/>
          <w:color w:val="000000" w:themeColor="text1"/>
          <w:sz w:val="26"/>
          <w:szCs w:val="26"/>
          <w:lang w:val="es-CO"/>
        </w:rPr>
        <w:t xml:space="preserve"> estar contenidas en los reglamentos de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 xml:space="preserve">, aprobados por el </w:t>
      </w:r>
      <w:r w:rsidR="007D2AC3" w:rsidRPr="003C5DE8">
        <w:rPr>
          <w:rFonts w:ascii="Arial Narrow" w:hAnsi="Arial Narrow" w:cs="Arial"/>
          <w:color w:val="000000" w:themeColor="text1"/>
          <w:sz w:val="26"/>
          <w:szCs w:val="26"/>
          <w:lang w:val="es-CO"/>
        </w:rPr>
        <w:t>órgano permanente de administración</w:t>
      </w:r>
      <w:r w:rsidRPr="003C5DE8">
        <w:rPr>
          <w:rFonts w:ascii="Arial Narrow" w:hAnsi="Arial Narrow" w:cs="Arial"/>
          <w:color w:val="000000" w:themeColor="text1"/>
          <w:sz w:val="26"/>
          <w:szCs w:val="26"/>
          <w:lang w:val="es-CO"/>
        </w:rPr>
        <w:t xml:space="preserve">, y </w:t>
      </w:r>
      <w:r w:rsidR="009B3A78" w:rsidRPr="003C5DE8">
        <w:rPr>
          <w:rFonts w:ascii="Arial Narrow" w:hAnsi="Arial Narrow" w:cs="Arial"/>
          <w:color w:val="000000" w:themeColor="text1"/>
          <w:sz w:val="26"/>
          <w:szCs w:val="26"/>
          <w:lang w:val="es-CO"/>
        </w:rPr>
        <w:t>debe</w:t>
      </w:r>
      <w:r w:rsidRPr="003C5DE8">
        <w:rPr>
          <w:rFonts w:ascii="Arial Narrow" w:hAnsi="Arial Narrow" w:cs="Arial"/>
          <w:color w:val="000000" w:themeColor="text1"/>
          <w:sz w:val="26"/>
          <w:szCs w:val="26"/>
          <w:lang w:val="es-CO"/>
        </w:rPr>
        <w:t xml:space="preserve"> ser revisadas periódicamente, para que se ajusten en todo momento a las condiciones particulares de esta y de su mercado.  </w:t>
      </w:r>
      <w:r w:rsidR="003C5DE8" w:rsidRPr="003C5DE8">
        <w:rPr>
          <w:rFonts w:ascii="Arial Narrow" w:hAnsi="Arial Narrow" w:cs="Arial"/>
          <w:color w:val="000000" w:themeColor="text1"/>
          <w:sz w:val="26"/>
          <w:szCs w:val="26"/>
          <w:lang w:val="es-CO"/>
        </w:rPr>
        <w:t>Las políticas de riesgo crediticio deben</w:t>
      </w:r>
      <w:r w:rsidRPr="003C5DE8">
        <w:rPr>
          <w:rFonts w:ascii="Arial Narrow" w:hAnsi="Arial Narrow" w:cs="Arial"/>
          <w:color w:val="000000" w:themeColor="text1"/>
          <w:sz w:val="26"/>
          <w:szCs w:val="26"/>
          <w:lang w:val="es-CO"/>
        </w:rPr>
        <w:t xml:space="preserve"> incluir como mínimo las siguientes:</w:t>
      </w:r>
      <w:bookmarkStart w:id="44" w:name="_Toc56498172"/>
    </w:p>
    <w:p w14:paraId="51F43E72" w14:textId="77777777" w:rsidR="0010027E" w:rsidRPr="003C5DE8" w:rsidRDefault="0010027E" w:rsidP="003C5DE8">
      <w:pPr>
        <w:ind w:left="567" w:hanging="567"/>
        <w:jc w:val="both"/>
        <w:rPr>
          <w:rFonts w:ascii="Arial Narrow" w:hAnsi="Arial Narrow" w:cs="Arial"/>
          <w:color w:val="000000" w:themeColor="text1"/>
          <w:sz w:val="26"/>
          <w:szCs w:val="26"/>
          <w:lang w:val="es-CO"/>
        </w:rPr>
      </w:pPr>
    </w:p>
    <w:p w14:paraId="71E23002" w14:textId="1CCAEFB6" w:rsidR="0010027E" w:rsidRPr="003C5DE8" w:rsidRDefault="0010027E" w:rsidP="003C5DE8">
      <w:pPr>
        <w:ind w:left="567" w:hanging="567"/>
        <w:jc w:val="both"/>
        <w:rPr>
          <w:rFonts w:ascii="Arial Narrow" w:hAnsi="Arial Narrow" w:cs="Arial"/>
          <w:color w:val="000000" w:themeColor="text1"/>
          <w:sz w:val="26"/>
          <w:szCs w:val="26"/>
          <w:lang w:val="es-CO"/>
        </w:rPr>
      </w:pPr>
      <w:r w:rsidRPr="003C5DE8">
        <w:rPr>
          <w:rFonts w:ascii="Arial Narrow" w:hAnsi="Arial Narrow" w:cs="Arial"/>
          <w:b/>
          <w:color w:val="000000" w:themeColor="text1"/>
          <w:sz w:val="26"/>
          <w:szCs w:val="26"/>
          <w:lang w:val="es-CO"/>
        </w:rPr>
        <w:t xml:space="preserve">5.1.1. </w:t>
      </w:r>
      <w:r w:rsidRPr="003C5DE8">
        <w:rPr>
          <w:rFonts w:ascii="Arial Narrow" w:hAnsi="Arial Narrow" w:cs="Arial"/>
          <w:b/>
          <w:color w:val="000000" w:themeColor="text1"/>
          <w:sz w:val="26"/>
          <w:szCs w:val="26"/>
          <w:lang w:val="es-CO"/>
        </w:rPr>
        <w:tab/>
        <w:t>Límites de exposición crediticia y apetito al riesgo</w:t>
      </w:r>
      <w:bookmarkEnd w:id="44"/>
      <w:r w:rsidR="00DC28F5" w:rsidRPr="003C5DE8">
        <w:rPr>
          <w:rFonts w:ascii="Arial Narrow" w:hAnsi="Arial Narrow" w:cs="Arial"/>
          <w:b/>
          <w:color w:val="000000" w:themeColor="text1"/>
          <w:sz w:val="26"/>
          <w:szCs w:val="26"/>
          <w:lang w:val="es-CO"/>
        </w:rPr>
        <w:t xml:space="preserve">: </w:t>
      </w:r>
      <w:r w:rsidR="00DC28F5" w:rsidRPr="003C5DE8">
        <w:rPr>
          <w:rFonts w:ascii="Arial Narrow" w:hAnsi="Arial Narrow" w:cs="Arial"/>
          <w:color w:val="000000" w:themeColor="text1"/>
          <w:sz w:val="26"/>
          <w:szCs w:val="26"/>
          <w:lang w:val="es-CO"/>
        </w:rPr>
        <w:t>El reglamento de crédito</w:t>
      </w:r>
      <w:r w:rsidRPr="003C5DE8">
        <w:rPr>
          <w:rFonts w:ascii="Arial Narrow" w:hAnsi="Arial Narrow" w:cs="Arial"/>
          <w:color w:val="000000" w:themeColor="text1"/>
          <w:sz w:val="26"/>
          <w:szCs w:val="26"/>
          <w:lang w:val="es-CO"/>
        </w:rPr>
        <w:t xml:space="preserve"> </w:t>
      </w:r>
      <w:r w:rsidR="009B3A78" w:rsidRPr="003C5DE8">
        <w:rPr>
          <w:rFonts w:ascii="Arial Narrow" w:hAnsi="Arial Narrow" w:cs="Arial"/>
          <w:color w:val="000000" w:themeColor="text1"/>
          <w:sz w:val="26"/>
          <w:szCs w:val="26"/>
          <w:lang w:val="es-CO"/>
        </w:rPr>
        <w:t>debe</w:t>
      </w:r>
      <w:r w:rsidRPr="003C5DE8">
        <w:rPr>
          <w:rFonts w:ascii="Arial Narrow" w:hAnsi="Arial Narrow" w:cs="Arial"/>
          <w:color w:val="000000" w:themeColor="text1"/>
          <w:sz w:val="26"/>
          <w:szCs w:val="26"/>
          <w:lang w:val="es-CO"/>
        </w:rPr>
        <w:t xml:space="preserve"> incluir las pautas generales que observará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 xml:space="preserve"> en la fijación de los límites de exposición de los créditos totales e individuales y por líneas de crédito, así como de los cupos de adjudicación y límites de concentración por modalidad, líneas de crédito, deudor, plazos, sectores económicos o regiones geográficas, en función del apetito al riesgo, al perfil de riesgo y a la máxima pérdida tolerada.</w:t>
      </w:r>
      <w:r w:rsidR="00DC28F5" w:rsidRPr="003C5DE8">
        <w:rPr>
          <w:rFonts w:ascii="Arial Narrow" w:hAnsi="Arial Narrow" w:cs="Arial"/>
          <w:color w:val="000000" w:themeColor="text1"/>
          <w:sz w:val="26"/>
          <w:szCs w:val="26"/>
          <w:lang w:val="es-CO"/>
        </w:rPr>
        <w:t xml:space="preserve"> </w:t>
      </w:r>
      <w:r w:rsidRPr="003C5DE8">
        <w:rPr>
          <w:rFonts w:ascii="Arial Narrow" w:hAnsi="Arial Narrow" w:cs="Arial"/>
          <w:color w:val="000000" w:themeColor="text1"/>
          <w:sz w:val="26"/>
          <w:szCs w:val="26"/>
          <w:lang w:val="es-CO"/>
        </w:rPr>
        <w:t xml:space="preserve">Estos límites de exposición al riesgo, </w:t>
      </w:r>
      <w:r w:rsidR="009B3A78" w:rsidRPr="003C5DE8">
        <w:rPr>
          <w:rFonts w:ascii="Arial Narrow" w:hAnsi="Arial Narrow" w:cs="Arial"/>
          <w:color w:val="000000" w:themeColor="text1"/>
          <w:sz w:val="26"/>
          <w:szCs w:val="26"/>
          <w:lang w:val="es-CO"/>
        </w:rPr>
        <w:t>debe</w:t>
      </w:r>
      <w:r w:rsidRPr="003C5DE8">
        <w:rPr>
          <w:rFonts w:ascii="Arial Narrow" w:hAnsi="Arial Narrow" w:cs="Arial"/>
          <w:color w:val="000000" w:themeColor="text1"/>
          <w:sz w:val="26"/>
          <w:szCs w:val="26"/>
          <w:lang w:val="es-CO"/>
        </w:rPr>
        <w:t xml:space="preserve"> contemplar entre otros: </w:t>
      </w:r>
    </w:p>
    <w:p w14:paraId="0D58B54A" w14:textId="77777777" w:rsidR="0010027E" w:rsidRPr="003C5DE8" w:rsidRDefault="0010027E" w:rsidP="003C5DE8">
      <w:pPr>
        <w:pStyle w:val="Prrafodelista"/>
        <w:ind w:left="567" w:hanging="567"/>
        <w:jc w:val="both"/>
        <w:rPr>
          <w:rFonts w:ascii="Arial Narrow" w:hAnsi="Arial Narrow" w:cs="Arial"/>
          <w:color w:val="000000" w:themeColor="text1"/>
          <w:sz w:val="26"/>
          <w:szCs w:val="26"/>
          <w:lang w:val="es-CO"/>
        </w:rPr>
      </w:pPr>
    </w:p>
    <w:p w14:paraId="2A5823D0" w14:textId="28505EE8" w:rsidR="00DC28F5" w:rsidRPr="003C5DE8" w:rsidRDefault="0010027E" w:rsidP="003C5DE8">
      <w:pPr>
        <w:pStyle w:val="Prrafodelista"/>
        <w:widowControl/>
        <w:numPr>
          <w:ilvl w:val="0"/>
          <w:numId w:val="43"/>
        </w:numPr>
        <w:adjustRightInd w:val="0"/>
        <w:contextualSpacing/>
        <w:jc w:val="both"/>
        <w:rPr>
          <w:rFonts w:ascii="Arial Narrow" w:hAnsi="Arial Narrow" w:cs="Arial"/>
          <w:color w:val="000000" w:themeColor="text1"/>
          <w:sz w:val="26"/>
          <w:szCs w:val="26"/>
          <w:lang w:val="es-CO"/>
        </w:rPr>
      </w:pPr>
      <w:r w:rsidRPr="003C5DE8">
        <w:rPr>
          <w:rFonts w:ascii="Arial Narrow" w:hAnsi="Arial Narrow" w:cs="Arial"/>
          <w:b/>
          <w:color w:val="000000" w:themeColor="text1"/>
          <w:sz w:val="26"/>
          <w:szCs w:val="26"/>
          <w:lang w:val="es-CO"/>
        </w:rPr>
        <w:t>Límites de atribución de otorgamiento de crédito</w:t>
      </w:r>
      <w:r w:rsidRPr="003C5DE8">
        <w:rPr>
          <w:rFonts w:ascii="Arial Narrow" w:hAnsi="Arial Narrow" w:cs="Arial"/>
          <w:color w:val="000000" w:themeColor="text1"/>
          <w:sz w:val="26"/>
          <w:szCs w:val="26"/>
          <w:lang w:val="es-CO"/>
        </w:rPr>
        <w:t xml:space="preserve">. Se </w:t>
      </w:r>
      <w:r w:rsidR="009B3A78" w:rsidRPr="003C5DE8">
        <w:rPr>
          <w:rFonts w:ascii="Arial Narrow" w:hAnsi="Arial Narrow" w:cs="Arial"/>
          <w:color w:val="000000" w:themeColor="text1"/>
          <w:sz w:val="26"/>
          <w:szCs w:val="26"/>
          <w:lang w:val="es-CO"/>
        </w:rPr>
        <w:t>debe</w:t>
      </w:r>
      <w:r w:rsidRPr="003C5DE8">
        <w:rPr>
          <w:rFonts w:ascii="Arial Narrow" w:hAnsi="Arial Narrow" w:cs="Arial"/>
          <w:color w:val="000000" w:themeColor="text1"/>
          <w:sz w:val="26"/>
          <w:szCs w:val="26"/>
          <w:lang w:val="es-CO"/>
        </w:rPr>
        <w:t xml:space="preserve"> establecer los montos máximos permitidos de aprobación de crédito para las diferentes instancias de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 teniendo en cuenta que el área comercial, no podrá tener atribuciones de aprobación ni de desembolso con el fin de evitar conflictos de interés.</w:t>
      </w:r>
    </w:p>
    <w:p w14:paraId="6A8B5174" w14:textId="433383E8" w:rsidR="0010027E" w:rsidRPr="003C5DE8" w:rsidRDefault="0010027E" w:rsidP="003C5DE8">
      <w:pPr>
        <w:pStyle w:val="Prrafodelista"/>
        <w:widowControl/>
        <w:numPr>
          <w:ilvl w:val="0"/>
          <w:numId w:val="43"/>
        </w:numPr>
        <w:adjustRightInd w:val="0"/>
        <w:contextualSpacing/>
        <w:jc w:val="both"/>
        <w:rPr>
          <w:rFonts w:ascii="Arial Narrow" w:hAnsi="Arial Narrow" w:cs="Arial"/>
          <w:color w:val="000000" w:themeColor="text1"/>
          <w:sz w:val="26"/>
          <w:szCs w:val="26"/>
          <w:lang w:val="es-CO"/>
        </w:rPr>
      </w:pPr>
      <w:r w:rsidRPr="003C5DE8">
        <w:rPr>
          <w:rFonts w:ascii="Arial Narrow" w:hAnsi="Arial Narrow" w:cs="Arial"/>
          <w:b/>
          <w:color w:val="000000" w:themeColor="text1"/>
          <w:sz w:val="26"/>
          <w:szCs w:val="26"/>
          <w:lang w:val="es-CO"/>
        </w:rPr>
        <w:t>Límites de exposición al riesgo por</w:t>
      </w:r>
      <w:r w:rsidRPr="003C5DE8">
        <w:rPr>
          <w:rFonts w:ascii="Arial Narrow" w:hAnsi="Arial Narrow" w:cs="Arial"/>
          <w:color w:val="000000" w:themeColor="text1"/>
          <w:sz w:val="26"/>
          <w:szCs w:val="26"/>
          <w:lang w:val="es-CO"/>
        </w:rPr>
        <w:t>: Monto, plazos, concentración por deudor</w:t>
      </w:r>
      <w:r w:rsidRPr="003C5DE8">
        <w:rPr>
          <w:rStyle w:val="Refdenotaalpie"/>
          <w:rFonts w:ascii="Arial Narrow" w:hAnsi="Arial Narrow" w:cs="Arial"/>
          <w:color w:val="000000" w:themeColor="text1"/>
          <w:sz w:val="26"/>
          <w:szCs w:val="26"/>
        </w:rPr>
        <w:footnoteReference w:id="4"/>
      </w:r>
      <w:r w:rsidRPr="003C5DE8">
        <w:rPr>
          <w:rFonts w:ascii="Arial Narrow" w:hAnsi="Arial Narrow" w:cs="Arial"/>
          <w:color w:val="000000" w:themeColor="text1"/>
          <w:sz w:val="26"/>
          <w:szCs w:val="26"/>
          <w:lang w:val="es-CO"/>
        </w:rPr>
        <w:t xml:space="preserve">, concentración por segmentos de cartera, productos, sector, actividad económica u otros que se consideren pertinentes, para limitar la exposición al riesgo de crédito. </w:t>
      </w:r>
    </w:p>
    <w:p w14:paraId="7DC0CFA4" w14:textId="77777777" w:rsidR="0010027E" w:rsidRPr="003C5DE8" w:rsidRDefault="0010027E" w:rsidP="003C5DE8">
      <w:pPr>
        <w:ind w:left="567" w:hanging="567"/>
        <w:jc w:val="both"/>
        <w:rPr>
          <w:rFonts w:ascii="Arial Narrow" w:hAnsi="Arial Narrow" w:cs="Arial"/>
          <w:color w:val="000000" w:themeColor="text1"/>
          <w:sz w:val="26"/>
          <w:szCs w:val="26"/>
          <w:lang w:val="es-CO"/>
        </w:rPr>
      </w:pPr>
    </w:p>
    <w:p w14:paraId="4F223594" w14:textId="070EB25E" w:rsidR="0010027E" w:rsidRPr="003C5DE8" w:rsidRDefault="0010027E" w:rsidP="003C5DE8">
      <w:pPr>
        <w:ind w:left="567" w:hanging="567"/>
        <w:jc w:val="both"/>
        <w:rPr>
          <w:rFonts w:ascii="Arial Narrow" w:hAnsi="Arial Narrow" w:cs="Arial"/>
          <w:color w:val="000000" w:themeColor="text1"/>
          <w:sz w:val="26"/>
          <w:szCs w:val="26"/>
          <w:lang w:val="es-CO"/>
        </w:rPr>
      </w:pPr>
      <w:bookmarkStart w:id="45" w:name="_Toc56498173"/>
      <w:r w:rsidRPr="003C5DE8">
        <w:rPr>
          <w:rFonts w:ascii="Arial Narrow" w:hAnsi="Arial Narrow" w:cs="Arial"/>
          <w:b/>
          <w:color w:val="000000" w:themeColor="text1"/>
          <w:sz w:val="26"/>
          <w:szCs w:val="26"/>
          <w:lang w:val="es-CO"/>
        </w:rPr>
        <w:t xml:space="preserve">5.1.2. </w:t>
      </w:r>
      <w:r w:rsidRPr="003C5DE8">
        <w:rPr>
          <w:rFonts w:ascii="Arial Narrow" w:hAnsi="Arial Narrow" w:cs="Arial"/>
          <w:b/>
          <w:color w:val="000000" w:themeColor="text1"/>
          <w:sz w:val="26"/>
          <w:szCs w:val="26"/>
          <w:lang w:val="es-CO"/>
        </w:rPr>
        <w:tab/>
        <w:t>Otorgamiento de crédito</w:t>
      </w:r>
      <w:bookmarkEnd w:id="45"/>
      <w:r w:rsidR="001C0DEB" w:rsidRPr="003C5DE8">
        <w:rPr>
          <w:rFonts w:ascii="Arial Narrow" w:hAnsi="Arial Narrow" w:cs="Arial"/>
          <w:b/>
          <w:color w:val="000000" w:themeColor="text1"/>
          <w:sz w:val="26"/>
          <w:szCs w:val="26"/>
          <w:lang w:val="es-CO"/>
        </w:rPr>
        <w:t xml:space="preserve">: </w:t>
      </w:r>
      <w:r w:rsidRPr="003C5DE8">
        <w:rPr>
          <w:rFonts w:ascii="Arial Narrow" w:hAnsi="Arial Narrow" w:cs="Arial"/>
          <w:color w:val="000000" w:themeColor="text1"/>
          <w:sz w:val="26"/>
          <w:szCs w:val="26"/>
          <w:lang w:val="es-CO"/>
        </w:rPr>
        <w:t xml:space="preserve">Las políticas de otorgamiento de crédito </w:t>
      </w:r>
      <w:r w:rsidR="009B3A78" w:rsidRPr="003C5DE8">
        <w:rPr>
          <w:rFonts w:ascii="Arial Narrow" w:hAnsi="Arial Narrow" w:cs="Arial"/>
          <w:color w:val="000000" w:themeColor="text1"/>
          <w:sz w:val="26"/>
          <w:szCs w:val="26"/>
          <w:lang w:val="es-CO"/>
        </w:rPr>
        <w:t>debe</w:t>
      </w:r>
      <w:r w:rsidRPr="003C5DE8">
        <w:rPr>
          <w:rFonts w:ascii="Arial Narrow" w:hAnsi="Arial Narrow" w:cs="Arial"/>
          <w:color w:val="000000" w:themeColor="text1"/>
          <w:sz w:val="26"/>
          <w:szCs w:val="26"/>
          <w:lang w:val="es-CO"/>
        </w:rPr>
        <w:t xml:space="preserve"> precisar las características básicas de los sujetos de crédito y los niveles de apetito al riesgo, discriminando entre sus potenciales deudores, para determinar si son sujetos de crédito y definir los niveles de adjudicación para cada uno de ellos.</w:t>
      </w:r>
      <w:r w:rsidR="001C0DEB" w:rsidRPr="003C5DE8">
        <w:rPr>
          <w:rFonts w:ascii="Arial Narrow" w:hAnsi="Arial Narrow" w:cs="Arial"/>
          <w:color w:val="000000" w:themeColor="text1"/>
          <w:sz w:val="26"/>
          <w:szCs w:val="26"/>
          <w:lang w:val="es-CO"/>
        </w:rPr>
        <w:t xml:space="preserve"> </w:t>
      </w:r>
      <w:r w:rsidRPr="003C5DE8">
        <w:rPr>
          <w:rFonts w:ascii="Arial Narrow" w:hAnsi="Arial Narrow" w:cs="Arial"/>
          <w:color w:val="000000" w:themeColor="text1"/>
          <w:sz w:val="26"/>
          <w:szCs w:val="26"/>
          <w:lang w:val="es-CO"/>
        </w:rPr>
        <w:t xml:space="preserve">Adicional a las políticas antes señaladas, como mínimo se </w:t>
      </w:r>
      <w:r w:rsidR="002140BF" w:rsidRPr="003C5DE8">
        <w:rPr>
          <w:rFonts w:ascii="Arial Narrow" w:hAnsi="Arial Narrow" w:cs="Arial"/>
          <w:color w:val="000000" w:themeColor="text1"/>
          <w:sz w:val="26"/>
          <w:szCs w:val="26"/>
          <w:lang w:val="es-CO"/>
        </w:rPr>
        <w:t>deberá</w:t>
      </w:r>
      <w:r w:rsidRPr="003C5DE8">
        <w:rPr>
          <w:rFonts w:ascii="Arial Narrow" w:hAnsi="Arial Narrow" w:cs="Arial"/>
          <w:color w:val="000000" w:themeColor="text1"/>
          <w:sz w:val="26"/>
          <w:szCs w:val="26"/>
          <w:lang w:val="es-CO"/>
        </w:rPr>
        <w:t xml:space="preserve"> definir políticas de otorgamiento de crédito frente a:</w:t>
      </w:r>
    </w:p>
    <w:p w14:paraId="6E6E5710" w14:textId="77777777" w:rsidR="0010027E" w:rsidRPr="003C5DE8" w:rsidRDefault="0010027E" w:rsidP="003C5DE8">
      <w:pPr>
        <w:adjustRightInd w:val="0"/>
        <w:ind w:left="567" w:hanging="567"/>
        <w:jc w:val="both"/>
        <w:rPr>
          <w:rFonts w:ascii="Arial Narrow" w:hAnsi="Arial Narrow" w:cs="Arial"/>
          <w:b/>
          <w:color w:val="000000" w:themeColor="text1"/>
          <w:sz w:val="26"/>
          <w:szCs w:val="26"/>
          <w:lang w:val="es-CO"/>
        </w:rPr>
      </w:pPr>
    </w:p>
    <w:p w14:paraId="490D13C9" w14:textId="77777777" w:rsidR="001C0DEB" w:rsidRPr="003C5DE8" w:rsidRDefault="0010027E" w:rsidP="003C5DE8">
      <w:pPr>
        <w:pStyle w:val="Prrafodelista"/>
        <w:widowControl/>
        <w:numPr>
          <w:ilvl w:val="0"/>
          <w:numId w:val="44"/>
        </w:numPr>
        <w:adjustRightInd w:val="0"/>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Lineamientos y criterios base para la colocación de créditos con Asociados, Administradores, miembros de las juntas de vigilancia y sus parientes, refiriéndose específicamente al </w:t>
      </w:r>
      <w:r w:rsidRPr="003C5DE8">
        <w:rPr>
          <w:rFonts w:ascii="Arial Narrow" w:hAnsi="Arial Narrow" w:cs="Arial"/>
          <w:color w:val="000000" w:themeColor="text1"/>
          <w:sz w:val="26"/>
          <w:szCs w:val="26"/>
          <w:shd w:val="clear" w:color="auto" w:fill="FFFFFF"/>
          <w:lang w:val="es-CO"/>
        </w:rPr>
        <w:t>artículo 61 de la Ley 454 de 1998, modificado por el artículo 109 de la Ley 795 de 2003.</w:t>
      </w:r>
    </w:p>
    <w:p w14:paraId="22DB7696" w14:textId="77777777" w:rsidR="001C0DEB" w:rsidRPr="003C5DE8" w:rsidRDefault="0010027E" w:rsidP="003C5DE8">
      <w:pPr>
        <w:pStyle w:val="Prrafodelista"/>
        <w:widowControl/>
        <w:numPr>
          <w:ilvl w:val="0"/>
          <w:numId w:val="44"/>
        </w:numPr>
        <w:adjustRightInd w:val="0"/>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Lineamientos y criterios base para la colocación de créditos con vinculados y partes relacionadas.</w:t>
      </w:r>
    </w:p>
    <w:p w14:paraId="6385C1A5" w14:textId="29BF3D0A" w:rsidR="0010027E" w:rsidRPr="003C5DE8" w:rsidRDefault="0010027E" w:rsidP="003C5DE8">
      <w:pPr>
        <w:pStyle w:val="Prrafodelista"/>
        <w:widowControl/>
        <w:numPr>
          <w:ilvl w:val="0"/>
          <w:numId w:val="44"/>
        </w:numPr>
        <w:adjustRightInd w:val="0"/>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Lineamientos y criterios base para los créditos con excepciones: Independiente de la política que defina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 no podrá considerarse como excepción, la falta de capacidad de pago.</w:t>
      </w:r>
      <w:bookmarkStart w:id="46" w:name="_Toc28362778"/>
      <w:bookmarkStart w:id="47" w:name="_Toc56498174"/>
      <w:bookmarkEnd w:id="46"/>
    </w:p>
    <w:p w14:paraId="1D62C490" w14:textId="77777777" w:rsidR="0010027E" w:rsidRPr="003C5DE8" w:rsidRDefault="0010027E" w:rsidP="003C5DE8">
      <w:pPr>
        <w:pStyle w:val="Prrafodelista"/>
        <w:ind w:left="567" w:hanging="567"/>
        <w:rPr>
          <w:rFonts w:ascii="Arial Narrow" w:hAnsi="Arial Narrow" w:cs="Arial"/>
          <w:color w:val="000000" w:themeColor="text1"/>
          <w:sz w:val="26"/>
          <w:szCs w:val="26"/>
          <w:lang w:val="es-CO"/>
        </w:rPr>
      </w:pPr>
    </w:p>
    <w:p w14:paraId="7EC1A51C" w14:textId="1F47EE31" w:rsidR="0010027E" w:rsidRPr="003C5DE8" w:rsidRDefault="0010027E" w:rsidP="003C5DE8">
      <w:pPr>
        <w:ind w:left="567" w:hanging="567"/>
        <w:jc w:val="both"/>
        <w:rPr>
          <w:rFonts w:ascii="Arial Narrow" w:hAnsi="Arial Narrow" w:cs="Arial"/>
          <w:color w:val="000000" w:themeColor="text1"/>
          <w:sz w:val="26"/>
          <w:szCs w:val="26"/>
          <w:lang w:val="es-CO"/>
        </w:rPr>
      </w:pPr>
      <w:r w:rsidRPr="003C5DE8">
        <w:rPr>
          <w:rFonts w:ascii="Arial Narrow" w:hAnsi="Arial Narrow" w:cs="Arial"/>
          <w:b/>
          <w:color w:val="000000" w:themeColor="text1"/>
          <w:sz w:val="26"/>
          <w:szCs w:val="26"/>
          <w:lang w:val="es-CO"/>
        </w:rPr>
        <w:t xml:space="preserve">5.1.3. </w:t>
      </w:r>
      <w:r w:rsidRPr="003C5DE8">
        <w:rPr>
          <w:rFonts w:ascii="Arial Narrow" w:hAnsi="Arial Narrow" w:cs="Arial"/>
          <w:b/>
          <w:color w:val="000000" w:themeColor="text1"/>
          <w:sz w:val="26"/>
          <w:szCs w:val="26"/>
          <w:lang w:val="es-CO"/>
        </w:rPr>
        <w:tab/>
        <w:t>Garantías</w:t>
      </w:r>
      <w:bookmarkEnd w:id="47"/>
      <w:r w:rsidR="001C0DEB" w:rsidRPr="003C5DE8">
        <w:rPr>
          <w:rFonts w:ascii="Arial Narrow" w:hAnsi="Arial Narrow" w:cs="Arial"/>
          <w:b/>
          <w:color w:val="000000" w:themeColor="text1"/>
          <w:sz w:val="26"/>
          <w:szCs w:val="26"/>
          <w:lang w:val="es-CO"/>
        </w:rPr>
        <w:t xml:space="preserve">: </w:t>
      </w:r>
      <w:r w:rsidRPr="003C5DE8">
        <w:rPr>
          <w:rFonts w:ascii="Arial Narrow" w:hAnsi="Arial Narrow" w:cs="Arial"/>
          <w:color w:val="000000" w:themeColor="text1"/>
          <w:sz w:val="26"/>
          <w:szCs w:val="26"/>
          <w:lang w:val="es-CO"/>
        </w:rPr>
        <w:t xml:space="preserve">Las políticas </w:t>
      </w:r>
      <w:r w:rsidR="009B3A78" w:rsidRPr="003C5DE8">
        <w:rPr>
          <w:rFonts w:ascii="Arial Narrow" w:hAnsi="Arial Narrow" w:cs="Arial"/>
          <w:color w:val="000000" w:themeColor="text1"/>
          <w:sz w:val="26"/>
          <w:szCs w:val="26"/>
          <w:lang w:val="es-CO"/>
        </w:rPr>
        <w:t>debe</w:t>
      </w:r>
      <w:r w:rsidRPr="003C5DE8">
        <w:rPr>
          <w:rFonts w:ascii="Arial Narrow" w:hAnsi="Arial Narrow" w:cs="Arial"/>
          <w:color w:val="000000" w:themeColor="text1"/>
          <w:sz w:val="26"/>
          <w:szCs w:val="26"/>
          <w:lang w:val="es-CO"/>
        </w:rPr>
        <w:t xml:space="preserve"> contener los criterios para la exigencia y aceptación de garantías para cada modalidad de crédito, incluyendo parámetros para la realización de los avalúos, que consideren aspectos tales como: objetividad, certeza de la fuente, transparencia, integridad y suficiencia, independencia y profesionalidad del </w:t>
      </w:r>
      <w:proofErr w:type="spellStart"/>
      <w:r w:rsidRPr="003C5DE8">
        <w:rPr>
          <w:rFonts w:ascii="Arial Narrow" w:hAnsi="Arial Narrow" w:cs="Arial"/>
          <w:color w:val="000000" w:themeColor="text1"/>
          <w:sz w:val="26"/>
          <w:szCs w:val="26"/>
          <w:lang w:val="es-CO"/>
        </w:rPr>
        <w:t>avaluador</w:t>
      </w:r>
      <w:proofErr w:type="spellEnd"/>
      <w:r w:rsidRPr="003C5DE8">
        <w:rPr>
          <w:rFonts w:ascii="Arial Narrow" w:hAnsi="Arial Narrow" w:cs="Arial"/>
          <w:color w:val="000000" w:themeColor="text1"/>
          <w:sz w:val="26"/>
          <w:szCs w:val="26"/>
          <w:lang w:val="es-CO"/>
        </w:rPr>
        <w:t xml:space="preserve">, antigüedad y contenido mínimo del </w:t>
      </w:r>
      <w:r w:rsidRPr="003C5DE8">
        <w:rPr>
          <w:rFonts w:ascii="Arial Narrow" w:hAnsi="Arial Narrow" w:cs="Arial"/>
          <w:color w:val="000000" w:themeColor="text1"/>
          <w:sz w:val="26"/>
          <w:szCs w:val="26"/>
          <w:lang w:val="es-CO"/>
        </w:rPr>
        <w:lastRenderedPageBreak/>
        <w:t xml:space="preserve">avalúo, atendiendo los lineamientos señalados en el </w:t>
      </w:r>
      <w:r w:rsidR="001C0DEB" w:rsidRPr="003C5DE8">
        <w:rPr>
          <w:rFonts w:ascii="Arial Narrow" w:hAnsi="Arial Narrow" w:cs="Arial"/>
          <w:color w:val="000000" w:themeColor="text1"/>
          <w:sz w:val="26"/>
          <w:szCs w:val="26"/>
          <w:lang w:val="es-CO"/>
        </w:rPr>
        <w:t>presente manual.</w:t>
      </w:r>
    </w:p>
    <w:p w14:paraId="65E81343" w14:textId="77777777" w:rsidR="0010027E" w:rsidRPr="003C5DE8" w:rsidRDefault="0010027E" w:rsidP="003C5DE8">
      <w:pPr>
        <w:ind w:left="567" w:hanging="567"/>
        <w:jc w:val="both"/>
        <w:rPr>
          <w:rFonts w:ascii="Arial Narrow" w:hAnsi="Arial Narrow" w:cs="Arial"/>
          <w:b/>
          <w:color w:val="000000" w:themeColor="text1"/>
          <w:sz w:val="26"/>
          <w:szCs w:val="26"/>
          <w:lang w:val="es-CO"/>
        </w:rPr>
      </w:pPr>
    </w:p>
    <w:p w14:paraId="126190E2" w14:textId="2739F214" w:rsidR="0010027E" w:rsidRPr="003C5DE8" w:rsidRDefault="0010027E" w:rsidP="003C5DE8">
      <w:pPr>
        <w:ind w:left="567" w:hanging="567"/>
        <w:jc w:val="both"/>
        <w:rPr>
          <w:rFonts w:ascii="Arial Narrow" w:hAnsi="Arial Narrow" w:cs="Arial"/>
          <w:bCs/>
          <w:color w:val="000000" w:themeColor="text1"/>
          <w:sz w:val="26"/>
          <w:szCs w:val="26"/>
          <w:lang w:val="es-CO"/>
        </w:rPr>
      </w:pPr>
      <w:bookmarkStart w:id="48" w:name="_Toc28362780"/>
      <w:bookmarkStart w:id="49" w:name="_Toc56498175"/>
      <w:bookmarkEnd w:id="48"/>
      <w:r w:rsidRPr="003C5DE8">
        <w:rPr>
          <w:rFonts w:ascii="Arial Narrow" w:hAnsi="Arial Narrow" w:cs="Arial"/>
          <w:b/>
          <w:color w:val="000000" w:themeColor="text1"/>
          <w:sz w:val="26"/>
          <w:szCs w:val="26"/>
          <w:lang w:val="es-CO"/>
        </w:rPr>
        <w:t xml:space="preserve">5.1.4. </w:t>
      </w:r>
      <w:r w:rsidRPr="003C5DE8">
        <w:rPr>
          <w:rFonts w:ascii="Arial Narrow" w:hAnsi="Arial Narrow" w:cs="Arial"/>
          <w:b/>
          <w:color w:val="000000" w:themeColor="text1"/>
          <w:sz w:val="26"/>
          <w:szCs w:val="26"/>
          <w:lang w:val="es-CO"/>
        </w:rPr>
        <w:tab/>
        <w:t>Seguimiento y Control</w:t>
      </w:r>
      <w:bookmarkEnd w:id="49"/>
      <w:r w:rsidR="001C0DEB" w:rsidRPr="003C5DE8">
        <w:rPr>
          <w:rFonts w:ascii="Arial Narrow" w:hAnsi="Arial Narrow" w:cs="Arial"/>
          <w:b/>
          <w:color w:val="000000" w:themeColor="text1"/>
          <w:sz w:val="26"/>
          <w:szCs w:val="26"/>
          <w:lang w:val="es-CO"/>
        </w:rPr>
        <w:t xml:space="preserve">: </w:t>
      </w:r>
      <w:r w:rsidRPr="003C5DE8">
        <w:rPr>
          <w:rFonts w:ascii="Arial Narrow" w:hAnsi="Arial Narrow" w:cs="Arial"/>
          <w:color w:val="000000" w:themeColor="text1"/>
          <w:sz w:val="26"/>
          <w:szCs w:val="26"/>
          <w:lang w:val="es-CO"/>
        </w:rPr>
        <w:t xml:space="preserve">Las políticas referentes a los mecanismos de seguimiento y control, </w:t>
      </w:r>
      <w:r w:rsidR="009B3A78" w:rsidRPr="003C5DE8">
        <w:rPr>
          <w:rFonts w:ascii="Arial Narrow" w:hAnsi="Arial Narrow" w:cs="Arial"/>
          <w:color w:val="000000" w:themeColor="text1"/>
          <w:sz w:val="26"/>
          <w:szCs w:val="26"/>
          <w:lang w:val="es-CO"/>
        </w:rPr>
        <w:t>debe</w:t>
      </w:r>
      <w:r w:rsidRPr="003C5DE8">
        <w:rPr>
          <w:rFonts w:ascii="Arial Narrow" w:hAnsi="Arial Narrow" w:cs="Arial"/>
          <w:color w:val="000000" w:themeColor="text1"/>
          <w:sz w:val="26"/>
          <w:szCs w:val="26"/>
          <w:lang w:val="es-CO"/>
        </w:rPr>
        <w:t xml:space="preserve"> conllevar un proceso continuo de monitoreo del perfil de riesgo de los deudores y de la clasificación y recalificación de las operaciones crediticias. En estas, se debe señalar la frecuencia del seguimiento y los criterios y metodologías de calificación y recalificación, </w:t>
      </w:r>
      <w:r w:rsidRPr="003C5DE8">
        <w:rPr>
          <w:rFonts w:ascii="Arial Narrow" w:hAnsi="Arial Narrow" w:cs="Arial"/>
          <w:bCs/>
          <w:color w:val="000000" w:themeColor="text1"/>
          <w:sz w:val="26"/>
          <w:szCs w:val="26"/>
          <w:lang w:val="es-CO"/>
        </w:rPr>
        <w:t xml:space="preserve">teniendo en cuenta lo establecido en el </w:t>
      </w:r>
      <w:r w:rsidR="001C0DEB" w:rsidRPr="003C5DE8">
        <w:rPr>
          <w:rFonts w:ascii="Arial Narrow" w:hAnsi="Arial Narrow" w:cs="Arial"/>
          <w:bCs/>
          <w:color w:val="000000" w:themeColor="text1"/>
          <w:sz w:val="26"/>
          <w:szCs w:val="26"/>
          <w:lang w:val="es-CO"/>
        </w:rPr>
        <w:t>presente manual</w:t>
      </w:r>
      <w:r w:rsidRPr="003C5DE8">
        <w:rPr>
          <w:rFonts w:ascii="Arial Narrow" w:hAnsi="Arial Narrow" w:cs="Arial"/>
          <w:bCs/>
          <w:color w:val="000000" w:themeColor="text1"/>
          <w:sz w:val="26"/>
          <w:szCs w:val="26"/>
          <w:lang w:val="es-CO"/>
        </w:rPr>
        <w:t xml:space="preserve">. </w:t>
      </w:r>
    </w:p>
    <w:p w14:paraId="43FFEFBD" w14:textId="77777777" w:rsidR="0010027E" w:rsidRPr="003C5DE8" w:rsidRDefault="0010027E" w:rsidP="003C5DE8">
      <w:pPr>
        <w:ind w:left="567" w:hanging="567"/>
        <w:jc w:val="both"/>
        <w:rPr>
          <w:rFonts w:ascii="Arial Narrow" w:hAnsi="Arial Narrow" w:cs="Arial"/>
          <w:b/>
          <w:color w:val="000000" w:themeColor="text1"/>
          <w:sz w:val="26"/>
          <w:szCs w:val="26"/>
          <w:lang w:val="es-CO"/>
        </w:rPr>
      </w:pPr>
    </w:p>
    <w:p w14:paraId="5EBB79D0" w14:textId="6A462A98" w:rsidR="0010027E" w:rsidRPr="003C5DE8" w:rsidRDefault="0010027E" w:rsidP="003C5DE8">
      <w:pPr>
        <w:ind w:left="567" w:hanging="567"/>
        <w:jc w:val="both"/>
        <w:rPr>
          <w:rFonts w:ascii="Arial Narrow" w:hAnsi="Arial Narrow" w:cs="Arial"/>
          <w:color w:val="000000" w:themeColor="text1"/>
          <w:sz w:val="26"/>
          <w:szCs w:val="26"/>
          <w:lang w:val="es-CO"/>
        </w:rPr>
      </w:pPr>
      <w:bookmarkStart w:id="50" w:name="_Toc56498176"/>
      <w:r w:rsidRPr="003C5DE8">
        <w:rPr>
          <w:rFonts w:ascii="Arial Narrow" w:hAnsi="Arial Narrow" w:cs="Arial"/>
          <w:b/>
          <w:color w:val="000000" w:themeColor="text1"/>
          <w:sz w:val="26"/>
          <w:szCs w:val="26"/>
          <w:lang w:val="es-CO"/>
        </w:rPr>
        <w:t xml:space="preserve">5.1.5. </w:t>
      </w:r>
      <w:r w:rsidRPr="003C5DE8">
        <w:rPr>
          <w:rFonts w:ascii="Arial Narrow" w:hAnsi="Arial Narrow" w:cs="Arial"/>
          <w:b/>
          <w:color w:val="000000" w:themeColor="text1"/>
          <w:sz w:val="26"/>
          <w:szCs w:val="26"/>
          <w:lang w:val="es-CO"/>
        </w:rPr>
        <w:tab/>
        <w:t>Deterioro</w:t>
      </w:r>
      <w:bookmarkEnd w:id="50"/>
      <w:r w:rsidR="001C0DEB" w:rsidRPr="003C5DE8">
        <w:rPr>
          <w:rFonts w:ascii="Arial Narrow" w:hAnsi="Arial Narrow" w:cs="Arial"/>
          <w:b/>
          <w:color w:val="000000" w:themeColor="text1"/>
          <w:sz w:val="26"/>
          <w:szCs w:val="26"/>
          <w:lang w:val="es-CO"/>
        </w:rPr>
        <w:t xml:space="preserve">: </w:t>
      </w:r>
      <w:r w:rsidRPr="003C5DE8">
        <w:rPr>
          <w:rFonts w:ascii="Arial Narrow" w:hAnsi="Arial Narrow" w:cs="Arial"/>
          <w:color w:val="000000" w:themeColor="text1"/>
          <w:sz w:val="26"/>
          <w:szCs w:val="26"/>
          <w:lang w:val="es-CO"/>
        </w:rPr>
        <w:t xml:space="preserve">Las políticas </w:t>
      </w:r>
      <w:r w:rsidR="009B3A78" w:rsidRPr="003C5DE8">
        <w:rPr>
          <w:rFonts w:ascii="Arial Narrow" w:hAnsi="Arial Narrow" w:cs="Arial"/>
          <w:color w:val="000000" w:themeColor="text1"/>
          <w:sz w:val="26"/>
          <w:szCs w:val="26"/>
          <w:lang w:val="es-CO"/>
        </w:rPr>
        <w:t>debe</w:t>
      </w:r>
      <w:r w:rsidRPr="003C5DE8">
        <w:rPr>
          <w:rFonts w:ascii="Arial Narrow" w:hAnsi="Arial Narrow" w:cs="Arial"/>
          <w:color w:val="000000" w:themeColor="text1"/>
          <w:sz w:val="26"/>
          <w:szCs w:val="26"/>
          <w:lang w:val="es-CO"/>
        </w:rPr>
        <w:t xml:space="preserve"> prever el cubrimiento del riesgo crediticio, mediante la constitución de deterioros generales e individuales, derivados de la exposición crediticia, y estimados mediante metodologías y análisis desarrollados en el SARC.</w:t>
      </w:r>
    </w:p>
    <w:p w14:paraId="593D0544" w14:textId="77777777" w:rsidR="0010027E" w:rsidRPr="003C5DE8" w:rsidRDefault="0010027E" w:rsidP="003C5DE8">
      <w:pPr>
        <w:ind w:left="567" w:hanging="567"/>
        <w:jc w:val="both"/>
        <w:rPr>
          <w:rFonts w:ascii="Arial Narrow" w:hAnsi="Arial Narrow" w:cs="Arial"/>
          <w:b/>
          <w:color w:val="000000" w:themeColor="text1"/>
          <w:sz w:val="26"/>
          <w:szCs w:val="26"/>
          <w:lang w:val="es-CO"/>
        </w:rPr>
      </w:pPr>
    </w:p>
    <w:p w14:paraId="1DA14FCC" w14:textId="52EEB2CD" w:rsidR="0010027E" w:rsidRPr="003C5DE8" w:rsidRDefault="0010027E" w:rsidP="003C5DE8">
      <w:pPr>
        <w:ind w:left="567" w:hanging="567"/>
        <w:jc w:val="both"/>
        <w:rPr>
          <w:rFonts w:ascii="Arial Narrow" w:hAnsi="Arial Narrow" w:cs="Arial"/>
          <w:bCs/>
          <w:color w:val="000000" w:themeColor="text1"/>
          <w:sz w:val="26"/>
          <w:szCs w:val="26"/>
          <w:lang w:val="es-MX"/>
        </w:rPr>
      </w:pPr>
      <w:bookmarkStart w:id="51" w:name="_Toc56498177"/>
      <w:r w:rsidRPr="003C5DE8">
        <w:rPr>
          <w:rFonts w:ascii="Arial Narrow" w:hAnsi="Arial Narrow" w:cs="Arial"/>
          <w:b/>
          <w:color w:val="000000" w:themeColor="text1"/>
          <w:sz w:val="26"/>
          <w:szCs w:val="26"/>
          <w:lang w:val="es-CO"/>
        </w:rPr>
        <w:t xml:space="preserve">5.1.6. </w:t>
      </w:r>
      <w:r w:rsidRPr="003C5DE8">
        <w:rPr>
          <w:rFonts w:ascii="Arial Narrow" w:hAnsi="Arial Narrow" w:cs="Arial"/>
          <w:b/>
          <w:color w:val="000000" w:themeColor="text1"/>
          <w:sz w:val="26"/>
          <w:szCs w:val="26"/>
          <w:lang w:val="es-CO"/>
        </w:rPr>
        <w:tab/>
        <w:t>Instancias de Aprobación</w:t>
      </w:r>
      <w:bookmarkEnd w:id="51"/>
      <w:r w:rsidR="001C0DEB" w:rsidRPr="003C5DE8">
        <w:rPr>
          <w:rFonts w:ascii="Arial Narrow" w:hAnsi="Arial Narrow" w:cs="Arial"/>
          <w:b/>
          <w:color w:val="000000" w:themeColor="text1"/>
          <w:sz w:val="26"/>
          <w:szCs w:val="26"/>
          <w:lang w:val="es-CO"/>
        </w:rPr>
        <w:t xml:space="preserve">: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 xml:space="preserve"> </w:t>
      </w:r>
      <w:r w:rsidR="009B3A78" w:rsidRPr="003C5DE8">
        <w:rPr>
          <w:rFonts w:ascii="Arial Narrow" w:hAnsi="Arial Narrow" w:cs="Arial"/>
          <w:color w:val="000000" w:themeColor="text1"/>
          <w:sz w:val="26"/>
          <w:szCs w:val="26"/>
          <w:lang w:val="es-CO"/>
        </w:rPr>
        <w:t>debe</w:t>
      </w:r>
      <w:r w:rsidRPr="003C5DE8">
        <w:rPr>
          <w:rFonts w:ascii="Arial Narrow" w:hAnsi="Arial Narrow" w:cs="Arial"/>
          <w:color w:val="000000" w:themeColor="text1"/>
          <w:sz w:val="26"/>
          <w:szCs w:val="26"/>
          <w:lang w:val="es-CO"/>
        </w:rPr>
        <w:t xml:space="preserve"> prever en sus políticas y reglamentos, los estamentos competentes </w:t>
      </w:r>
      <w:r w:rsidRPr="003C5DE8">
        <w:rPr>
          <w:rFonts w:ascii="Arial Narrow" w:hAnsi="Arial Narrow" w:cs="Arial"/>
          <w:bCs/>
          <w:color w:val="000000" w:themeColor="text1"/>
          <w:sz w:val="26"/>
          <w:szCs w:val="26"/>
          <w:lang w:val="es-MX"/>
        </w:rPr>
        <w:t xml:space="preserve">y sus atribuciones </w:t>
      </w:r>
      <w:r w:rsidRPr="003C5DE8">
        <w:rPr>
          <w:rFonts w:ascii="Arial Narrow" w:hAnsi="Arial Narrow" w:cs="Arial"/>
          <w:color w:val="000000" w:themeColor="text1"/>
          <w:sz w:val="26"/>
          <w:szCs w:val="26"/>
          <w:lang w:val="es-CO"/>
        </w:rPr>
        <w:t xml:space="preserve">para la aprobación de créditos, reestructuraciones, novaciones, excepciones y demás decisiones inherentes al manejo de la cartera de créditos. En </w:t>
      </w:r>
      <w:r w:rsidRPr="003C5DE8">
        <w:rPr>
          <w:rFonts w:ascii="Arial Narrow" w:hAnsi="Arial Narrow" w:cs="Arial"/>
          <w:bCs/>
          <w:color w:val="000000" w:themeColor="text1"/>
          <w:sz w:val="26"/>
          <w:szCs w:val="26"/>
          <w:lang w:val="es-MX"/>
        </w:rPr>
        <w:t xml:space="preserve">la solicitud de crédito o en el formato que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diseñe para la aprobación, se deberá dejar constancia de las condiciones mínimas tales como monto, plazo, línea, tasa, garantía, estamento competente.</w:t>
      </w:r>
    </w:p>
    <w:p w14:paraId="507F02C6" w14:textId="77777777" w:rsidR="0010027E" w:rsidRPr="003C5DE8" w:rsidRDefault="0010027E" w:rsidP="003C5DE8">
      <w:pPr>
        <w:adjustRightInd w:val="0"/>
        <w:ind w:left="567" w:hanging="567"/>
        <w:jc w:val="both"/>
        <w:rPr>
          <w:rFonts w:ascii="Arial Narrow" w:hAnsi="Arial Narrow" w:cs="Arial"/>
          <w:color w:val="000000" w:themeColor="text1"/>
          <w:sz w:val="26"/>
          <w:szCs w:val="26"/>
          <w:lang w:val="es-CO"/>
        </w:rPr>
      </w:pPr>
    </w:p>
    <w:p w14:paraId="61340557" w14:textId="186C43B8" w:rsidR="0010027E" w:rsidRPr="003C5DE8" w:rsidRDefault="0010027E" w:rsidP="003C5DE8">
      <w:pPr>
        <w:ind w:left="567" w:hanging="567"/>
        <w:jc w:val="both"/>
        <w:rPr>
          <w:rFonts w:ascii="Arial Narrow" w:hAnsi="Arial Narrow" w:cs="Arial"/>
          <w:color w:val="000000" w:themeColor="text1"/>
          <w:sz w:val="26"/>
          <w:szCs w:val="26"/>
          <w:lang w:val="es-CO" w:bidi="en-US"/>
        </w:rPr>
      </w:pPr>
      <w:bookmarkStart w:id="52" w:name="_Toc56498178"/>
      <w:r w:rsidRPr="003C5DE8">
        <w:rPr>
          <w:rFonts w:ascii="Arial Narrow" w:hAnsi="Arial Narrow" w:cs="Arial"/>
          <w:b/>
          <w:color w:val="000000" w:themeColor="text1"/>
          <w:sz w:val="26"/>
          <w:szCs w:val="26"/>
          <w:lang w:val="es-CO"/>
        </w:rPr>
        <w:t xml:space="preserve">5.1.7. </w:t>
      </w:r>
      <w:r w:rsidRPr="003C5DE8">
        <w:rPr>
          <w:rFonts w:ascii="Arial Narrow" w:hAnsi="Arial Narrow" w:cs="Arial"/>
          <w:b/>
          <w:color w:val="000000" w:themeColor="text1"/>
          <w:sz w:val="26"/>
          <w:szCs w:val="26"/>
          <w:lang w:val="es-CO"/>
        </w:rPr>
        <w:tab/>
        <w:t>Recuperación de Cartera</w:t>
      </w:r>
      <w:bookmarkEnd w:id="52"/>
      <w:r w:rsidR="001C0DEB" w:rsidRPr="003C5DE8">
        <w:rPr>
          <w:rFonts w:ascii="Arial Narrow" w:hAnsi="Arial Narrow" w:cs="Arial"/>
          <w:b/>
          <w:color w:val="000000" w:themeColor="text1"/>
          <w:sz w:val="26"/>
          <w:szCs w:val="26"/>
          <w:lang w:val="es-CO"/>
        </w:rPr>
        <w:t xml:space="preserve">: </w:t>
      </w:r>
      <w:r w:rsidR="009A4C18">
        <w:rPr>
          <w:rFonts w:ascii="Arial Narrow" w:hAnsi="Arial Narrow" w:cs="Arial"/>
          <w:color w:val="000000" w:themeColor="text1"/>
          <w:sz w:val="26"/>
          <w:szCs w:val="26"/>
          <w:lang w:val="es-CO" w:bidi="en-US"/>
        </w:rPr>
        <w:t>FONDEJEMPLO</w:t>
      </w:r>
      <w:r w:rsidRPr="003C5DE8">
        <w:rPr>
          <w:rFonts w:ascii="Arial Narrow" w:hAnsi="Arial Narrow" w:cs="Arial"/>
          <w:color w:val="000000" w:themeColor="text1"/>
          <w:sz w:val="26"/>
          <w:szCs w:val="26"/>
          <w:lang w:val="es-CO" w:bidi="en-US"/>
        </w:rPr>
        <w:t xml:space="preserve"> </w:t>
      </w:r>
      <w:r w:rsidR="002140BF" w:rsidRPr="003C5DE8">
        <w:rPr>
          <w:rFonts w:ascii="Arial Narrow" w:hAnsi="Arial Narrow" w:cs="Arial"/>
          <w:color w:val="000000" w:themeColor="text1"/>
          <w:sz w:val="26"/>
          <w:szCs w:val="26"/>
          <w:lang w:val="es-CO" w:bidi="en-US"/>
        </w:rPr>
        <w:t>deberá</w:t>
      </w:r>
      <w:r w:rsidRPr="003C5DE8">
        <w:rPr>
          <w:rFonts w:ascii="Arial Narrow" w:hAnsi="Arial Narrow" w:cs="Arial"/>
          <w:color w:val="000000" w:themeColor="text1"/>
          <w:sz w:val="26"/>
          <w:szCs w:val="26"/>
          <w:lang w:val="es-CO" w:bidi="en-US"/>
        </w:rPr>
        <w:t xml:space="preserve"> definir políticas y desarrollar procedimientos que aplicarán para la recuperación de la cartera no atendida normalmente. </w:t>
      </w:r>
      <w:proofErr w:type="gramStart"/>
      <w:r w:rsidRPr="003C5DE8">
        <w:rPr>
          <w:rFonts w:ascii="Arial Narrow" w:hAnsi="Arial Narrow" w:cs="Arial"/>
          <w:color w:val="000000" w:themeColor="text1"/>
          <w:sz w:val="26"/>
          <w:szCs w:val="26"/>
          <w:lang w:val="es-CO" w:bidi="en-US"/>
        </w:rPr>
        <w:t xml:space="preserve">Estas políticas </w:t>
      </w:r>
      <w:r w:rsidR="009B3A78" w:rsidRPr="003C5DE8">
        <w:rPr>
          <w:rFonts w:ascii="Arial Narrow" w:hAnsi="Arial Narrow" w:cs="Arial"/>
          <w:color w:val="000000" w:themeColor="text1"/>
          <w:sz w:val="26"/>
          <w:szCs w:val="26"/>
          <w:lang w:val="es-CO" w:bidi="en-US"/>
        </w:rPr>
        <w:t>debe</w:t>
      </w:r>
      <w:proofErr w:type="gramEnd"/>
      <w:r w:rsidRPr="003C5DE8">
        <w:rPr>
          <w:rFonts w:ascii="Arial Narrow" w:hAnsi="Arial Narrow" w:cs="Arial"/>
          <w:color w:val="000000" w:themeColor="text1"/>
          <w:sz w:val="26"/>
          <w:szCs w:val="26"/>
          <w:lang w:val="es-CO" w:bidi="en-US"/>
        </w:rPr>
        <w:t xml:space="preserve"> ser diseñadas con base en la historia de recuperaciones y variables críticas que determinan la minimización de las pérdidas. La información sobre los resultados de estas políticas debe ser almacenada como insumo para el afinamiento de las metodologías y procedimientos desarrollados en el SARC.</w:t>
      </w:r>
    </w:p>
    <w:p w14:paraId="23BDCB26" w14:textId="77777777" w:rsidR="0010027E" w:rsidRPr="003C5DE8" w:rsidRDefault="0010027E" w:rsidP="003C5DE8">
      <w:pPr>
        <w:adjustRightInd w:val="0"/>
        <w:ind w:left="567" w:hanging="567"/>
        <w:jc w:val="both"/>
        <w:rPr>
          <w:rFonts w:ascii="Arial Narrow" w:hAnsi="Arial Narrow" w:cs="Arial"/>
          <w:color w:val="000000" w:themeColor="text1"/>
          <w:sz w:val="26"/>
          <w:szCs w:val="26"/>
          <w:lang w:val="es-CO"/>
        </w:rPr>
      </w:pPr>
    </w:p>
    <w:p w14:paraId="0D04EB33" w14:textId="09D2AD42" w:rsidR="0010027E" w:rsidRPr="003C5DE8" w:rsidRDefault="0010027E" w:rsidP="003C5DE8">
      <w:pPr>
        <w:adjustRightInd w:val="0"/>
        <w:ind w:left="567" w:hanging="567"/>
        <w:jc w:val="both"/>
        <w:rPr>
          <w:rFonts w:ascii="Arial Narrow" w:hAnsi="Arial Narrow" w:cs="Arial"/>
          <w:bCs/>
          <w:color w:val="000000" w:themeColor="text1"/>
          <w:sz w:val="26"/>
          <w:szCs w:val="26"/>
          <w:lang w:val="es-CO"/>
        </w:rPr>
      </w:pPr>
      <w:bookmarkStart w:id="53" w:name="_Toc56498179"/>
      <w:r w:rsidRPr="003C5DE8">
        <w:rPr>
          <w:rFonts w:ascii="Arial Narrow" w:hAnsi="Arial Narrow" w:cs="Arial"/>
          <w:b/>
          <w:color w:val="000000" w:themeColor="text1"/>
          <w:sz w:val="26"/>
          <w:szCs w:val="26"/>
          <w:lang w:val="es-CO"/>
        </w:rPr>
        <w:t xml:space="preserve">5.1.8. </w:t>
      </w:r>
      <w:r w:rsidRPr="003C5DE8">
        <w:rPr>
          <w:rFonts w:ascii="Arial Narrow" w:hAnsi="Arial Narrow" w:cs="Arial"/>
          <w:b/>
          <w:color w:val="000000" w:themeColor="text1"/>
          <w:sz w:val="26"/>
          <w:szCs w:val="26"/>
          <w:lang w:val="es-CO"/>
        </w:rPr>
        <w:tab/>
        <w:t>Bases de datos</w:t>
      </w:r>
      <w:bookmarkEnd w:id="53"/>
      <w:r w:rsidR="001C0DEB" w:rsidRPr="003C5DE8">
        <w:rPr>
          <w:rFonts w:ascii="Arial Narrow" w:hAnsi="Arial Narrow" w:cs="Arial"/>
          <w:b/>
          <w:color w:val="000000" w:themeColor="text1"/>
          <w:sz w:val="26"/>
          <w:szCs w:val="26"/>
          <w:lang w:val="es-CO"/>
        </w:rPr>
        <w:t xml:space="preserve">. </w:t>
      </w:r>
      <w:r w:rsidR="003C5DE8" w:rsidRPr="003C5DE8">
        <w:rPr>
          <w:rFonts w:ascii="Arial Narrow" w:hAnsi="Arial Narrow" w:cs="Arial"/>
          <w:color w:val="000000" w:themeColor="text1"/>
          <w:sz w:val="26"/>
          <w:szCs w:val="26"/>
          <w:lang w:val="es-CO" w:bidi="en-US"/>
        </w:rPr>
        <w:t>Las políticas deben</w:t>
      </w:r>
      <w:r w:rsidRPr="003C5DE8">
        <w:rPr>
          <w:rFonts w:ascii="Arial Narrow" w:hAnsi="Arial Narrow" w:cs="Arial"/>
          <w:color w:val="000000" w:themeColor="text1"/>
          <w:sz w:val="26"/>
          <w:szCs w:val="26"/>
          <w:lang w:val="es-CO" w:bidi="en-US"/>
        </w:rPr>
        <w:t xml:space="preserve"> contener las características requeridas en las bases de datos que soportan el SARC. </w:t>
      </w:r>
      <w:r w:rsidRPr="003C5DE8">
        <w:rPr>
          <w:rFonts w:ascii="Arial Narrow" w:hAnsi="Arial Narrow" w:cs="Arial"/>
          <w:bCs/>
          <w:color w:val="000000" w:themeColor="text1"/>
          <w:sz w:val="26"/>
          <w:szCs w:val="26"/>
          <w:lang w:val="es-CO"/>
        </w:rPr>
        <w:t xml:space="preserve">La extensión de las bases de datos que se empleen en el proceso de administración del riesgo de </w:t>
      </w:r>
      <w:r w:rsidR="003C5DE8" w:rsidRPr="003C5DE8">
        <w:rPr>
          <w:rFonts w:ascii="Arial Narrow" w:hAnsi="Arial Narrow" w:cs="Arial"/>
          <w:bCs/>
          <w:color w:val="000000" w:themeColor="text1"/>
          <w:sz w:val="26"/>
          <w:szCs w:val="26"/>
          <w:lang w:val="es-CO"/>
        </w:rPr>
        <w:t>crédito</w:t>
      </w:r>
      <w:r w:rsidRPr="003C5DE8">
        <w:rPr>
          <w:rFonts w:ascii="Arial Narrow" w:hAnsi="Arial Narrow" w:cs="Arial"/>
          <w:bCs/>
          <w:color w:val="000000" w:themeColor="text1"/>
          <w:sz w:val="26"/>
          <w:szCs w:val="26"/>
          <w:lang w:val="es-CO"/>
        </w:rPr>
        <w:t xml:space="preserve"> </w:t>
      </w:r>
      <w:r w:rsidR="009B3A78" w:rsidRPr="003C5DE8">
        <w:rPr>
          <w:rFonts w:ascii="Arial Narrow" w:hAnsi="Arial Narrow" w:cs="Arial"/>
          <w:bCs/>
          <w:color w:val="000000" w:themeColor="text1"/>
          <w:sz w:val="26"/>
          <w:szCs w:val="26"/>
          <w:lang w:val="es-CO"/>
        </w:rPr>
        <w:t>debe</w:t>
      </w:r>
      <w:r w:rsidRPr="003C5DE8">
        <w:rPr>
          <w:rFonts w:ascii="Arial Narrow" w:hAnsi="Arial Narrow" w:cs="Arial"/>
          <w:bCs/>
          <w:color w:val="000000" w:themeColor="text1"/>
          <w:sz w:val="26"/>
          <w:szCs w:val="26"/>
          <w:lang w:val="es-CO"/>
        </w:rPr>
        <w:t xml:space="preserve"> contar con mecanismos de seguridad que garanticen la confiabilidad de la información y tener una longitud mínima de 5 años.</w:t>
      </w:r>
      <w:r w:rsidR="00C05390" w:rsidRPr="003C5DE8">
        <w:rPr>
          <w:rFonts w:ascii="Arial Narrow" w:hAnsi="Arial Narrow" w:cs="Arial"/>
          <w:bCs/>
          <w:color w:val="000000" w:themeColor="text1"/>
          <w:sz w:val="26"/>
          <w:szCs w:val="26"/>
          <w:lang w:val="es-CO"/>
        </w:rPr>
        <w:t xml:space="preserve"> </w:t>
      </w:r>
      <w:r w:rsidR="009A4C18">
        <w:rPr>
          <w:rFonts w:ascii="Arial Narrow" w:hAnsi="Arial Narrow" w:cs="Arial"/>
          <w:color w:val="000000" w:themeColor="text1"/>
          <w:sz w:val="26"/>
          <w:szCs w:val="26"/>
          <w:lang w:val="es-CO" w:bidi="en-US"/>
        </w:rPr>
        <w:t>FONDEJEMPLO</w:t>
      </w:r>
      <w:r w:rsidRPr="003C5DE8">
        <w:rPr>
          <w:rFonts w:ascii="Arial Narrow" w:hAnsi="Arial Narrow" w:cs="Arial"/>
          <w:color w:val="000000" w:themeColor="text1"/>
          <w:sz w:val="26"/>
          <w:szCs w:val="26"/>
          <w:lang w:val="es-CO" w:bidi="en-US"/>
        </w:rPr>
        <w:t xml:space="preserve"> cuyas bases de datos no cumplan con la longitud exigida en el presente numeral, </w:t>
      </w:r>
      <w:r w:rsidR="002140BF" w:rsidRPr="003C5DE8">
        <w:rPr>
          <w:rFonts w:ascii="Arial Narrow" w:hAnsi="Arial Narrow" w:cs="Arial"/>
          <w:color w:val="000000" w:themeColor="text1"/>
          <w:sz w:val="26"/>
          <w:szCs w:val="26"/>
          <w:lang w:val="es-CO" w:bidi="en-US"/>
        </w:rPr>
        <w:t>deberá</w:t>
      </w:r>
      <w:r w:rsidRPr="003C5DE8">
        <w:rPr>
          <w:rFonts w:ascii="Arial Narrow" w:hAnsi="Arial Narrow" w:cs="Arial"/>
          <w:color w:val="000000" w:themeColor="text1"/>
          <w:sz w:val="26"/>
          <w:szCs w:val="26"/>
          <w:lang w:val="es-CO" w:bidi="en-US"/>
        </w:rPr>
        <w:t xml:space="preserve"> presentar ante </w:t>
      </w:r>
      <w:r w:rsidR="002140BF" w:rsidRPr="003C5DE8">
        <w:rPr>
          <w:rFonts w:ascii="Arial Narrow" w:hAnsi="Arial Narrow" w:cs="Arial"/>
          <w:color w:val="000000" w:themeColor="text1"/>
          <w:sz w:val="26"/>
          <w:szCs w:val="26"/>
          <w:lang w:val="es-CO" w:bidi="en-US"/>
        </w:rPr>
        <w:t>la Supersolidaria</w:t>
      </w:r>
      <w:r w:rsidRPr="003C5DE8">
        <w:rPr>
          <w:rFonts w:ascii="Arial Narrow" w:hAnsi="Arial Narrow" w:cs="Arial"/>
          <w:color w:val="000000" w:themeColor="text1"/>
          <w:sz w:val="26"/>
          <w:szCs w:val="26"/>
          <w:lang w:val="es-CO" w:bidi="en-US"/>
        </w:rPr>
        <w:t xml:space="preserve"> un plan de ajuste en el cual se expongan los procedimientos y fechas en las cuales se logrará cumplir con este requisito, sobre el cual se realizará el pronunciamiento correspondiente.</w:t>
      </w:r>
    </w:p>
    <w:p w14:paraId="10BFB642" w14:textId="77777777" w:rsidR="0010027E" w:rsidRPr="003C5DE8" w:rsidRDefault="0010027E" w:rsidP="003C5DE8">
      <w:pPr>
        <w:ind w:left="567" w:hanging="567"/>
        <w:jc w:val="both"/>
        <w:rPr>
          <w:rFonts w:ascii="Arial Narrow" w:hAnsi="Arial Narrow" w:cs="Arial"/>
          <w:color w:val="000000" w:themeColor="text1"/>
          <w:sz w:val="26"/>
          <w:szCs w:val="26"/>
          <w:lang w:val="es-CO" w:eastAsia="ar-SA"/>
        </w:rPr>
      </w:pPr>
    </w:p>
    <w:p w14:paraId="78EC7FDD" w14:textId="218F106A" w:rsidR="0010027E" w:rsidRPr="003C5DE8" w:rsidRDefault="0010027E" w:rsidP="003C5DE8">
      <w:pPr>
        <w:adjustRightInd w:val="0"/>
        <w:ind w:left="567" w:hanging="567"/>
        <w:jc w:val="both"/>
        <w:rPr>
          <w:rFonts w:ascii="Arial Narrow" w:hAnsi="Arial Narrow" w:cs="Arial"/>
          <w:color w:val="000000" w:themeColor="text1"/>
          <w:sz w:val="26"/>
          <w:szCs w:val="26"/>
          <w:lang w:val="es-CO"/>
        </w:rPr>
      </w:pPr>
      <w:bookmarkStart w:id="54" w:name="_Toc56498180"/>
      <w:r w:rsidRPr="003C5DE8">
        <w:rPr>
          <w:rFonts w:ascii="Arial Narrow" w:hAnsi="Arial Narrow" w:cs="Arial"/>
          <w:b/>
          <w:color w:val="000000" w:themeColor="text1"/>
          <w:sz w:val="26"/>
          <w:szCs w:val="26"/>
          <w:lang w:val="es-CO"/>
        </w:rPr>
        <w:t xml:space="preserve">5.1.9. </w:t>
      </w:r>
      <w:r w:rsidRPr="003C5DE8">
        <w:rPr>
          <w:rFonts w:ascii="Arial Narrow" w:hAnsi="Arial Narrow" w:cs="Arial"/>
          <w:b/>
          <w:color w:val="000000" w:themeColor="text1"/>
          <w:sz w:val="26"/>
          <w:szCs w:val="26"/>
          <w:lang w:val="es-CO"/>
        </w:rPr>
        <w:tab/>
        <w:t>Calidad e integridad de la información</w:t>
      </w:r>
      <w:bookmarkEnd w:id="54"/>
      <w:r w:rsidR="00C05390" w:rsidRPr="003C5DE8">
        <w:rPr>
          <w:rFonts w:ascii="Arial Narrow" w:hAnsi="Arial Narrow" w:cs="Arial"/>
          <w:b/>
          <w:color w:val="000000" w:themeColor="text1"/>
          <w:sz w:val="26"/>
          <w:szCs w:val="26"/>
          <w:lang w:val="es-CO"/>
        </w:rPr>
        <w:t xml:space="preserve">. </w:t>
      </w:r>
      <w:r w:rsidR="00E92C3E" w:rsidRPr="003C5DE8">
        <w:rPr>
          <w:rFonts w:ascii="Arial Narrow" w:hAnsi="Arial Narrow" w:cs="Arial"/>
          <w:color w:val="000000" w:themeColor="text1"/>
          <w:sz w:val="26"/>
          <w:szCs w:val="26"/>
          <w:lang w:val="es-CO"/>
        </w:rPr>
        <w:t>El órgano permanente de administración</w:t>
      </w:r>
      <w:r w:rsidRPr="003C5DE8">
        <w:rPr>
          <w:rFonts w:ascii="Arial Narrow" w:hAnsi="Arial Narrow" w:cs="Arial"/>
          <w:color w:val="000000" w:themeColor="text1"/>
          <w:sz w:val="26"/>
          <w:szCs w:val="26"/>
          <w:lang w:val="es-CO"/>
        </w:rPr>
        <w:t xml:space="preserve"> según corresponda, </w:t>
      </w:r>
      <w:r w:rsidR="002140BF" w:rsidRPr="003C5DE8">
        <w:rPr>
          <w:rFonts w:ascii="Arial Narrow" w:hAnsi="Arial Narrow" w:cs="Arial"/>
          <w:color w:val="000000" w:themeColor="text1"/>
          <w:sz w:val="26"/>
          <w:szCs w:val="26"/>
          <w:lang w:val="es-CO"/>
        </w:rPr>
        <w:t>deberá</w:t>
      </w:r>
      <w:r w:rsidRPr="003C5DE8">
        <w:rPr>
          <w:rFonts w:ascii="Arial Narrow" w:hAnsi="Arial Narrow" w:cs="Arial"/>
          <w:color w:val="000000" w:themeColor="text1"/>
          <w:sz w:val="26"/>
          <w:szCs w:val="26"/>
          <w:lang w:val="es-CO"/>
        </w:rPr>
        <w:t xml:space="preserve"> establecer políticas y lineamientos claros que promuevan la calidad e integridad de la información base, con la cual se definan los lineamientos, criterios y modelos para el otorgamiento de crédito y comportamiento de la cartera y se tomen decisiones al interior de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w:t>
      </w:r>
      <w:r w:rsidR="00C05390" w:rsidRPr="003C5DE8">
        <w:rPr>
          <w:rFonts w:ascii="Arial Narrow" w:hAnsi="Arial Narrow" w:cs="Arial"/>
          <w:color w:val="000000" w:themeColor="text1"/>
          <w:sz w:val="26"/>
          <w:szCs w:val="26"/>
          <w:lang w:val="es-CO"/>
        </w:rPr>
        <w:t xml:space="preserve"> </w:t>
      </w:r>
      <w:r w:rsidRPr="003C5DE8">
        <w:rPr>
          <w:rFonts w:ascii="Arial Narrow" w:hAnsi="Arial Narrow" w:cs="Arial"/>
          <w:color w:val="000000" w:themeColor="text1"/>
          <w:sz w:val="26"/>
          <w:szCs w:val="26"/>
          <w:lang w:val="es-CO"/>
        </w:rPr>
        <w:t xml:space="preserve">Para ello </w:t>
      </w:r>
      <w:r w:rsidR="002140BF" w:rsidRPr="003C5DE8">
        <w:rPr>
          <w:rFonts w:ascii="Arial Narrow" w:hAnsi="Arial Narrow" w:cs="Arial"/>
          <w:color w:val="000000" w:themeColor="text1"/>
          <w:sz w:val="26"/>
          <w:szCs w:val="26"/>
          <w:lang w:val="es-CO"/>
        </w:rPr>
        <w:t>deberá</w:t>
      </w:r>
      <w:r w:rsidRPr="003C5DE8">
        <w:rPr>
          <w:rFonts w:ascii="Arial Narrow" w:hAnsi="Arial Narrow" w:cs="Arial"/>
          <w:color w:val="000000" w:themeColor="text1"/>
          <w:sz w:val="26"/>
          <w:szCs w:val="26"/>
          <w:lang w:val="es-CO"/>
        </w:rPr>
        <w:t>:</w:t>
      </w:r>
    </w:p>
    <w:p w14:paraId="23F235CD" w14:textId="77777777" w:rsidR="0010027E" w:rsidRPr="003C5DE8" w:rsidRDefault="0010027E" w:rsidP="003C5DE8">
      <w:pPr>
        <w:ind w:left="567" w:hanging="567"/>
        <w:jc w:val="both"/>
        <w:rPr>
          <w:rFonts w:ascii="Arial Narrow" w:hAnsi="Arial Narrow" w:cs="Arial"/>
          <w:color w:val="000000" w:themeColor="text1"/>
          <w:sz w:val="26"/>
          <w:szCs w:val="26"/>
          <w:lang w:val="es-CO"/>
        </w:rPr>
      </w:pPr>
    </w:p>
    <w:p w14:paraId="1E06BE56" w14:textId="1FDE0C48" w:rsidR="0010027E" w:rsidRPr="003C5DE8" w:rsidRDefault="0010027E" w:rsidP="003C5DE8">
      <w:pPr>
        <w:pStyle w:val="Prrafodelista"/>
        <w:widowControl/>
        <w:numPr>
          <w:ilvl w:val="0"/>
          <w:numId w:val="29"/>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Promover la cultura del autocontrol al interior de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 para que sus colaboradores o funcionarios apliquen controles sobre las actividades laborales que realizan diariamente, asociadas a la recolección y registro de información.</w:t>
      </w:r>
    </w:p>
    <w:p w14:paraId="03C099F3" w14:textId="77777777" w:rsidR="0010027E" w:rsidRPr="003C5DE8" w:rsidRDefault="0010027E" w:rsidP="003C5DE8">
      <w:pPr>
        <w:pStyle w:val="Prrafodelista"/>
        <w:ind w:left="567" w:hanging="567"/>
        <w:jc w:val="both"/>
        <w:rPr>
          <w:rFonts w:ascii="Arial Narrow" w:hAnsi="Arial Narrow" w:cs="Arial"/>
          <w:color w:val="000000" w:themeColor="text1"/>
          <w:sz w:val="26"/>
          <w:szCs w:val="26"/>
          <w:lang w:val="es-CO"/>
        </w:rPr>
      </w:pPr>
    </w:p>
    <w:p w14:paraId="0EDEB54E" w14:textId="20B37E7A" w:rsidR="0010027E" w:rsidRPr="003C5DE8" w:rsidRDefault="0010027E" w:rsidP="003C5DE8">
      <w:pPr>
        <w:pStyle w:val="Prrafodelista"/>
        <w:widowControl/>
        <w:numPr>
          <w:ilvl w:val="0"/>
          <w:numId w:val="29"/>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lastRenderedPageBreak/>
        <w:t xml:space="preserve">Establecer lineamientos sancionatorios sobre aquellos colaboradores y/o funcionarios que incumplan las políticas adoptadas por </w:t>
      </w:r>
      <w:r w:rsidR="00E92C3E" w:rsidRPr="003C5DE8">
        <w:rPr>
          <w:rFonts w:ascii="Arial Narrow" w:hAnsi="Arial Narrow" w:cs="Arial"/>
          <w:color w:val="000000" w:themeColor="text1"/>
          <w:sz w:val="26"/>
          <w:szCs w:val="26"/>
          <w:lang w:val="es-CO"/>
        </w:rPr>
        <w:t>el órgano permanente de administración</w:t>
      </w:r>
      <w:r w:rsidRPr="003C5DE8">
        <w:rPr>
          <w:rFonts w:ascii="Arial Narrow" w:hAnsi="Arial Narrow" w:cs="Arial"/>
          <w:color w:val="000000" w:themeColor="text1"/>
          <w:sz w:val="26"/>
          <w:szCs w:val="26"/>
          <w:lang w:val="es-CO"/>
        </w:rPr>
        <w:t xml:space="preserve"> frente al registro, custodia y en general sobre la administración de la información.</w:t>
      </w:r>
    </w:p>
    <w:p w14:paraId="10DE2364" w14:textId="77777777" w:rsidR="0010027E" w:rsidRPr="003C5DE8" w:rsidRDefault="0010027E" w:rsidP="003C5DE8">
      <w:pPr>
        <w:pStyle w:val="Prrafodelista"/>
        <w:ind w:left="567" w:hanging="567"/>
        <w:jc w:val="both"/>
        <w:rPr>
          <w:rFonts w:ascii="Arial Narrow" w:hAnsi="Arial Narrow" w:cs="Arial"/>
          <w:color w:val="000000" w:themeColor="text1"/>
          <w:sz w:val="26"/>
          <w:szCs w:val="26"/>
          <w:lang w:val="es-CO"/>
        </w:rPr>
      </w:pPr>
    </w:p>
    <w:p w14:paraId="350073B1" w14:textId="5C65745C" w:rsidR="0010027E" w:rsidRPr="003C5DE8" w:rsidRDefault="0010027E" w:rsidP="003C5DE8">
      <w:pPr>
        <w:pStyle w:val="Prrafodelista"/>
        <w:widowControl/>
        <w:numPr>
          <w:ilvl w:val="0"/>
          <w:numId w:val="29"/>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Establecer políticas, metodologías e indicadores de evaluación de la calidad e integridad de la base de datos de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 xml:space="preserve">, que permita determinar el estado actual de la data en términos de poblamiento, e integridad, nivel de actualización de la información y establecer en caso de requerirse, planes de acción y mejora, y monitoreo de su cumplimiento. </w:t>
      </w:r>
    </w:p>
    <w:p w14:paraId="100C7FD0" w14:textId="77777777" w:rsidR="0010027E" w:rsidRPr="003C5DE8" w:rsidRDefault="0010027E" w:rsidP="003C5DE8">
      <w:pPr>
        <w:pStyle w:val="Prrafodelista"/>
        <w:ind w:left="567" w:hanging="567"/>
        <w:jc w:val="both"/>
        <w:rPr>
          <w:rFonts w:ascii="Arial Narrow" w:hAnsi="Arial Narrow" w:cs="Arial"/>
          <w:color w:val="000000" w:themeColor="text1"/>
          <w:sz w:val="26"/>
          <w:szCs w:val="26"/>
          <w:lang w:val="es-CO"/>
        </w:rPr>
      </w:pPr>
    </w:p>
    <w:p w14:paraId="4A901093" w14:textId="77777777" w:rsidR="0010027E" w:rsidRPr="003C5DE8" w:rsidRDefault="0010027E" w:rsidP="003C5DE8">
      <w:pPr>
        <w:pStyle w:val="Ttulo2"/>
        <w:numPr>
          <w:ilvl w:val="1"/>
          <w:numId w:val="13"/>
        </w:numPr>
        <w:spacing w:before="0"/>
        <w:ind w:left="567" w:hanging="567"/>
        <w:jc w:val="both"/>
        <w:rPr>
          <w:rFonts w:ascii="Arial Narrow" w:hAnsi="Arial Narrow"/>
          <w:b/>
          <w:bCs/>
          <w:color w:val="000000" w:themeColor="text1"/>
          <w:lang w:val="es-CO" w:eastAsia="ar-SA"/>
        </w:rPr>
      </w:pPr>
      <w:bookmarkStart w:id="55" w:name="_Toc28362786"/>
      <w:bookmarkStart w:id="56" w:name="_Toc56498181"/>
      <w:bookmarkStart w:id="57" w:name="_Toc97966914"/>
      <w:bookmarkEnd w:id="55"/>
      <w:r w:rsidRPr="003C5DE8">
        <w:rPr>
          <w:rFonts w:ascii="Arial Narrow" w:hAnsi="Arial Narrow"/>
          <w:b/>
          <w:bCs/>
          <w:color w:val="000000" w:themeColor="text1"/>
          <w:lang w:val="es-CO" w:eastAsia="ar-SA"/>
        </w:rPr>
        <w:t>PROCESOS DE ADMINISTRACIÓN DEL RC</w:t>
      </w:r>
      <w:bookmarkEnd w:id="56"/>
      <w:bookmarkEnd w:id="57"/>
      <w:r w:rsidRPr="003C5DE8">
        <w:rPr>
          <w:rFonts w:ascii="Arial Narrow" w:hAnsi="Arial Narrow"/>
          <w:b/>
          <w:bCs/>
          <w:color w:val="000000" w:themeColor="text1"/>
          <w:lang w:val="es-CO" w:eastAsia="ar-SA"/>
        </w:rPr>
        <w:t xml:space="preserve"> </w:t>
      </w:r>
    </w:p>
    <w:p w14:paraId="13D8B238" w14:textId="77777777" w:rsidR="0010027E" w:rsidRPr="003C5DE8" w:rsidRDefault="0010027E" w:rsidP="003C5DE8">
      <w:pPr>
        <w:ind w:left="567" w:hanging="567"/>
        <w:jc w:val="both"/>
        <w:rPr>
          <w:rFonts w:ascii="Arial Narrow" w:hAnsi="Arial Narrow" w:cs="Arial"/>
          <w:color w:val="000000" w:themeColor="text1"/>
          <w:sz w:val="26"/>
          <w:szCs w:val="26"/>
          <w:lang w:val="es-CO" w:eastAsia="ar-SA"/>
        </w:rPr>
      </w:pPr>
    </w:p>
    <w:p w14:paraId="7B39C783" w14:textId="0AAA127B" w:rsidR="0010027E" w:rsidRPr="003C5DE8" w:rsidRDefault="0010027E" w:rsidP="003C5DE8">
      <w:pPr>
        <w:tabs>
          <w:tab w:val="left" w:pos="3932"/>
          <w:tab w:val="center" w:pos="4536"/>
        </w:tabs>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Para administrar adecuadamente el riesgo de crédito, se </w:t>
      </w:r>
      <w:r w:rsidR="009B3A78" w:rsidRPr="003C5DE8">
        <w:rPr>
          <w:rFonts w:ascii="Arial Narrow" w:hAnsi="Arial Narrow" w:cs="Arial"/>
          <w:bCs/>
          <w:color w:val="000000" w:themeColor="text1"/>
          <w:sz w:val="26"/>
          <w:szCs w:val="26"/>
          <w:lang w:val="es-MX"/>
        </w:rPr>
        <w:t>debe</w:t>
      </w:r>
      <w:r w:rsidRPr="003C5DE8">
        <w:rPr>
          <w:rFonts w:ascii="Arial Narrow" w:hAnsi="Arial Narrow" w:cs="Arial"/>
          <w:bCs/>
          <w:color w:val="000000" w:themeColor="text1"/>
          <w:sz w:val="26"/>
          <w:szCs w:val="26"/>
          <w:lang w:val="es-MX"/>
        </w:rPr>
        <w:t xml:space="preserve"> tener procesos debidamente identificados en el ciclo de crédito (otorgamiento, seguimiento, control y recuperación) de forma tal que, en cada uno de ellos, se desarrollen las etapas y elementos del SARC aquí previstos. </w:t>
      </w:r>
    </w:p>
    <w:p w14:paraId="72A7DD21" w14:textId="77777777" w:rsidR="0010027E" w:rsidRPr="003C5DE8" w:rsidRDefault="0010027E" w:rsidP="003C5DE8">
      <w:pPr>
        <w:adjustRightInd w:val="0"/>
        <w:ind w:left="567" w:hanging="567"/>
        <w:jc w:val="both"/>
        <w:rPr>
          <w:rFonts w:ascii="Arial Narrow" w:hAnsi="Arial Narrow" w:cs="Arial"/>
          <w:b/>
          <w:color w:val="000000" w:themeColor="text1"/>
          <w:sz w:val="26"/>
          <w:szCs w:val="26"/>
          <w:lang w:val="es-CO"/>
        </w:rPr>
      </w:pPr>
    </w:p>
    <w:p w14:paraId="2CDB3499" w14:textId="77777777" w:rsidR="0010027E" w:rsidRPr="003C5DE8" w:rsidRDefault="0010027E" w:rsidP="003C5DE8">
      <w:pPr>
        <w:adjustRightInd w:val="0"/>
        <w:ind w:left="567" w:hanging="567"/>
        <w:jc w:val="both"/>
        <w:rPr>
          <w:rFonts w:ascii="Arial Narrow" w:hAnsi="Arial Narrow" w:cs="Arial"/>
          <w:b/>
          <w:color w:val="000000" w:themeColor="text1"/>
          <w:sz w:val="26"/>
          <w:szCs w:val="26"/>
          <w:lang w:val="es-CO"/>
        </w:rPr>
      </w:pPr>
      <w:bookmarkStart w:id="58" w:name="_Toc56498182"/>
      <w:r w:rsidRPr="003C5DE8">
        <w:rPr>
          <w:rFonts w:ascii="Arial Narrow" w:hAnsi="Arial Narrow" w:cs="Arial"/>
          <w:b/>
          <w:color w:val="000000" w:themeColor="text1"/>
          <w:sz w:val="26"/>
          <w:szCs w:val="26"/>
          <w:lang w:val="es-CO"/>
        </w:rPr>
        <w:t xml:space="preserve">5.2.1. </w:t>
      </w:r>
      <w:r w:rsidRPr="003C5DE8">
        <w:rPr>
          <w:rFonts w:ascii="Arial Narrow" w:hAnsi="Arial Narrow" w:cs="Arial"/>
          <w:b/>
          <w:color w:val="000000" w:themeColor="text1"/>
          <w:sz w:val="26"/>
          <w:szCs w:val="26"/>
          <w:lang w:val="es-CO"/>
        </w:rPr>
        <w:tab/>
        <w:t>Proceso de Otorgamiento</w:t>
      </w:r>
      <w:bookmarkEnd w:id="58"/>
      <w:r w:rsidRPr="003C5DE8">
        <w:rPr>
          <w:rFonts w:ascii="Arial Narrow" w:hAnsi="Arial Narrow" w:cs="Arial"/>
          <w:b/>
          <w:color w:val="000000" w:themeColor="text1"/>
          <w:sz w:val="26"/>
          <w:szCs w:val="26"/>
          <w:lang w:val="es-CO"/>
        </w:rPr>
        <w:t xml:space="preserve"> </w:t>
      </w:r>
    </w:p>
    <w:p w14:paraId="707DA3ED" w14:textId="77777777" w:rsidR="0010027E" w:rsidRPr="003C5DE8" w:rsidRDefault="0010027E" w:rsidP="003C5DE8">
      <w:pPr>
        <w:adjustRightInd w:val="0"/>
        <w:ind w:left="567" w:hanging="567"/>
        <w:jc w:val="both"/>
        <w:rPr>
          <w:rFonts w:ascii="Arial Narrow" w:hAnsi="Arial Narrow" w:cs="Arial"/>
          <w:b/>
          <w:color w:val="000000" w:themeColor="text1"/>
          <w:sz w:val="26"/>
          <w:szCs w:val="26"/>
          <w:lang w:val="es-CO"/>
        </w:rPr>
      </w:pPr>
    </w:p>
    <w:p w14:paraId="46C8602D" w14:textId="0EECAE94" w:rsidR="0010027E" w:rsidRPr="003C5DE8" w:rsidRDefault="0010027E" w:rsidP="003C5DE8">
      <w:pPr>
        <w:tabs>
          <w:tab w:val="left" w:pos="3932"/>
          <w:tab w:val="center" w:pos="4536"/>
        </w:tabs>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El otorgamiento de crédito debe soportarse en el conocimiento del deudor o contraparte, de su capacidad de pago y de las condiciones financieras del crédito, las garantías, fuentes de pago y las condiciones macroeconómicas a las que puede verse expuesto.</w:t>
      </w:r>
      <w:r w:rsidR="009B3A78" w:rsidRPr="003C5DE8">
        <w:rPr>
          <w:rFonts w:ascii="Arial Narrow" w:hAnsi="Arial Narrow" w:cs="Arial"/>
          <w:bCs/>
          <w:color w:val="000000" w:themeColor="text1"/>
          <w:sz w:val="26"/>
          <w:szCs w:val="26"/>
          <w:lang w:val="es-MX"/>
        </w:rPr>
        <w:t xml:space="preserve"> </w:t>
      </w:r>
      <w:r w:rsidRPr="003C5DE8">
        <w:rPr>
          <w:rFonts w:ascii="Arial Narrow" w:hAnsi="Arial Narrow" w:cs="Arial"/>
          <w:bCs/>
          <w:color w:val="000000" w:themeColor="text1"/>
          <w:sz w:val="26"/>
          <w:szCs w:val="26"/>
          <w:lang w:val="es-MX"/>
        </w:rPr>
        <w:t xml:space="preserve">Todas las referencias que se realicen al </w:t>
      </w:r>
      <w:proofErr w:type="gramStart"/>
      <w:r w:rsidRPr="003C5DE8">
        <w:rPr>
          <w:rFonts w:ascii="Arial Narrow" w:hAnsi="Arial Narrow" w:cs="Arial"/>
          <w:bCs/>
          <w:color w:val="000000" w:themeColor="text1"/>
          <w:sz w:val="26"/>
          <w:szCs w:val="26"/>
          <w:lang w:val="es-MX"/>
        </w:rPr>
        <w:t>deudor,</w:t>
      </w:r>
      <w:proofErr w:type="gramEnd"/>
      <w:r w:rsidRPr="003C5DE8">
        <w:rPr>
          <w:rFonts w:ascii="Arial Narrow" w:hAnsi="Arial Narrow" w:cs="Arial"/>
          <w:bCs/>
          <w:color w:val="000000" w:themeColor="text1"/>
          <w:sz w:val="26"/>
          <w:szCs w:val="26"/>
          <w:lang w:val="es-MX"/>
        </w:rPr>
        <w:t xml:space="preserve"> se </w:t>
      </w:r>
      <w:r w:rsidR="003C5DE8" w:rsidRPr="003C5DE8">
        <w:rPr>
          <w:rFonts w:ascii="Arial Narrow" w:hAnsi="Arial Narrow" w:cs="Arial"/>
          <w:bCs/>
          <w:color w:val="000000" w:themeColor="text1"/>
          <w:sz w:val="26"/>
          <w:szCs w:val="26"/>
          <w:lang w:val="es-MX"/>
        </w:rPr>
        <w:t>deben</w:t>
      </w:r>
      <w:r w:rsidRPr="003C5DE8">
        <w:rPr>
          <w:rFonts w:ascii="Arial Narrow" w:hAnsi="Arial Narrow" w:cs="Arial"/>
          <w:bCs/>
          <w:color w:val="000000" w:themeColor="text1"/>
          <w:sz w:val="26"/>
          <w:szCs w:val="26"/>
          <w:lang w:val="es-MX"/>
        </w:rPr>
        <w:t xml:space="preserve"> entender igualmente aplicables al codeudor o deudores solidarios que estén vinculados a la respectiva operación de crédito, considerando como mínimo los siguientes aspectos: </w:t>
      </w:r>
    </w:p>
    <w:p w14:paraId="101E68C1" w14:textId="77777777" w:rsidR="0010027E" w:rsidRPr="003C5DE8" w:rsidRDefault="0010027E" w:rsidP="003C5DE8">
      <w:pPr>
        <w:adjustRightInd w:val="0"/>
        <w:ind w:left="567" w:hanging="567"/>
        <w:jc w:val="both"/>
        <w:rPr>
          <w:rFonts w:ascii="Arial Narrow" w:hAnsi="Arial Narrow" w:cs="Arial"/>
          <w:b/>
          <w:color w:val="000000" w:themeColor="text1"/>
          <w:sz w:val="26"/>
          <w:szCs w:val="26"/>
          <w:lang w:val="es-CO"/>
        </w:rPr>
      </w:pPr>
    </w:p>
    <w:p w14:paraId="79A575BF" w14:textId="02617904" w:rsidR="0010027E" w:rsidRPr="003C5DE8" w:rsidRDefault="0010027E" w:rsidP="003C5DE8">
      <w:pPr>
        <w:pStyle w:val="Ttulo4"/>
        <w:numPr>
          <w:ilvl w:val="3"/>
          <w:numId w:val="13"/>
        </w:numPr>
        <w:suppressAutoHyphens/>
        <w:spacing w:before="0"/>
        <w:ind w:left="567" w:hanging="567"/>
        <w:jc w:val="both"/>
        <w:rPr>
          <w:rFonts w:ascii="Arial Narrow" w:hAnsi="Arial Narrow"/>
          <w:b/>
          <w:bCs/>
          <w:i w:val="0"/>
          <w:iCs w:val="0"/>
          <w:color w:val="000000" w:themeColor="text1"/>
          <w:sz w:val="26"/>
          <w:szCs w:val="26"/>
          <w:lang w:val="es-CO" w:bidi="en-US"/>
        </w:rPr>
      </w:pPr>
      <w:bookmarkStart w:id="59" w:name="_Toc56498183"/>
      <w:bookmarkStart w:id="60" w:name="_Hlk82167786"/>
      <w:r w:rsidRPr="003C5DE8">
        <w:rPr>
          <w:rFonts w:ascii="Arial Narrow" w:hAnsi="Arial Narrow"/>
          <w:b/>
          <w:bCs/>
          <w:i w:val="0"/>
          <w:iCs w:val="0"/>
          <w:color w:val="000000" w:themeColor="text1"/>
          <w:sz w:val="26"/>
          <w:szCs w:val="26"/>
          <w:lang w:val="es-CO" w:bidi="en-US"/>
        </w:rPr>
        <w:t>Información previa al otorgamiento de un crédito</w:t>
      </w:r>
      <w:bookmarkEnd w:id="59"/>
      <w:r w:rsidR="00E92C3E" w:rsidRPr="003C5DE8">
        <w:rPr>
          <w:rFonts w:ascii="Arial Narrow" w:hAnsi="Arial Narrow"/>
          <w:b/>
          <w:bCs/>
          <w:i w:val="0"/>
          <w:iCs w:val="0"/>
          <w:color w:val="000000" w:themeColor="text1"/>
          <w:sz w:val="26"/>
          <w:szCs w:val="26"/>
          <w:lang w:val="es-CO" w:bidi="en-US"/>
        </w:rPr>
        <w:t xml:space="preserve">. </w:t>
      </w:r>
    </w:p>
    <w:p w14:paraId="5BA32515" w14:textId="77777777" w:rsidR="0010027E" w:rsidRPr="003C5DE8" w:rsidRDefault="0010027E" w:rsidP="003C5DE8">
      <w:pPr>
        <w:ind w:left="567" w:hanging="567"/>
        <w:jc w:val="both"/>
        <w:rPr>
          <w:rFonts w:ascii="Arial Narrow" w:hAnsi="Arial Narrow" w:cs="Arial"/>
          <w:color w:val="000000" w:themeColor="text1"/>
          <w:sz w:val="26"/>
          <w:szCs w:val="26"/>
          <w:lang w:val="es-CO" w:bidi="en-US"/>
        </w:rPr>
      </w:pPr>
    </w:p>
    <w:p w14:paraId="1CD28AD8" w14:textId="3F7895C8" w:rsidR="0010027E" w:rsidRPr="003C5DE8" w:rsidRDefault="009A4C18" w:rsidP="003C5DE8">
      <w:pPr>
        <w:tabs>
          <w:tab w:val="left" w:pos="3932"/>
          <w:tab w:val="center" w:pos="4536"/>
        </w:tabs>
        <w:jc w:val="both"/>
        <w:rPr>
          <w:rFonts w:ascii="Arial Narrow" w:hAnsi="Arial Narrow" w:cs="Arial"/>
          <w:bCs/>
          <w:color w:val="000000" w:themeColor="text1"/>
          <w:sz w:val="26"/>
          <w:szCs w:val="26"/>
          <w:lang w:val="es-MX"/>
        </w:rPr>
      </w:pPr>
      <w:r>
        <w:rPr>
          <w:rFonts w:ascii="Arial Narrow" w:hAnsi="Arial Narrow" w:cs="Arial"/>
          <w:bCs/>
          <w:color w:val="000000" w:themeColor="text1"/>
          <w:sz w:val="26"/>
          <w:szCs w:val="26"/>
          <w:lang w:val="es-MX"/>
        </w:rPr>
        <w:t>FONDEJEMPLO</w:t>
      </w:r>
      <w:r w:rsidR="0010027E" w:rsidRPr="003C5DE8">
        <w:rPr>
          <w:rFonts w:ascii="Arial Narrow" w:hAnsi="Arial Narrow" w:cs="Arial"/>
          <w:bCs/>
          <w:color w:val="000000" w:themeColor="text1"/>
          <w:sz w:val="26"/>
          <w:szCs w:val="26"/>
          <w:lang w:val="es-MX"/>
        </w:rPr>
        <w:t xml:space="preserve"> </w:t>
      </w:r>
      <w:r w:rsidR="009B3A78" w:rsidRPr="003C5DE8">
        <w:rPr>
          <w:rFonts w:ascii="Arial Narrow" w:hAnsi="Arial Narrow" w:cs="Arial"/>
          <w:bCs/>
          <w:color w:val="000000" w:themeColor="text1"/>
          <w:sz w:val="26"/>
          <w:szCs w:val="26"/>
          <w:lang w:val="es-MX"/>
        </w:rPr>
        <w:t>debe</w:t>
      </w:r>
      <w:r w:rsidR="0010027E" w:rsidRPr="003C5DE8">
        <w:rPr>
          <w:rFonts w:ascii="Arial Narrow" w:hAnsi="Arial Narrow" w:cs="Arial"/>
          <w:bCs/>
          <w:color w:val="000000" w:themeColor="text1"/>
          <w:sz w:val="26"/>
          <w:szCs w:val="26"/>
          <w:lang w:val="es-MX"/>
        </w:rPr>
        <w:t xml:space="preserve"> facilitar el entendimiento por parte del deudor potencial de los términos y condiciones del contrato de crédito. Por lo tanto, antes de que el deudor firme los documentos mediante los cuales se instrumente un crédito o manifieste su aceptación, </w:t>
      </w:r>
      <w:r>
        <w:rPr>
          <w:rFonts w:ascii="Arial Narrow" w:hAnsi="Arial Narrow" w:cs="Arial"/>
          <w:bCs/>
          <w:color w:val="000000" w:themeColor="text1"/>
          <w:sz w:val="26"/>
          <w:szCs w:val="26"/>
          <w:lang w:val="es-MX"/>
        </w:rPr>
        <w:t>FONDEJEMPLO</w:t>
      </w:r>
      <w:r w:rsidR="0010027E" w:rsidRPr="003C5DE8">
        <w:rPr>
          <w:rFonts w:ascii="Arial Narrow" w:hAnsi="Arial Narrow" w:cs="Arial"/>
          <w:bCs/>
          <w:color w:val="000000" w:themeColor="text1"/>
          <w:sz w:val="26"/>
          <w:szCs w:val="26"/>
          <w:lang w:val="es-MX"/>
        </w:rPr>
        <w:t xml:space="preserve"> deberá suministrar al deudor potencial en forma comprensible y legible, como mínimo la siguiente información, que deberá conservarse en los archivos de </w:t>
      </w:r>
      <w:r>
        <w:rPr>
          <w:rFonts w:ascii="Arial Narrow" w:hAnsi="Arial Narrow" w:cs="Arial"/>
          <w:bCs/>
          <w:color w:val="000000" w:themeColor="text1"/>
          <w:sz w:val="26"/>
          <w:szCs w:val="26"/>
          <w:lang w:val="es-MX"/>
        </w:rPr>
        <w:t>FONDEJEMPLO</w:t>
      </w:r>
      <w:r w:rsidR="0010027E" w:rsidRPr="003C5DE8">
        <w:rPr>
          <w:rFonts w:ascii="Arial Narrow" w:hAnsi="Arial Narrow" w:cs="Arial"/>
          <w:bCs/>
          <w:color w:val="000000" w:themeColor="text1"/>
          <w:sz w:val="26"/>
          <w:szCs w:val="26"/>
          <w:lang w:val="es-MX"/>
        </w:rPr>
        <w:t>:</w:t>
      </w:r>
    </w:p>
    <w:p w14:paraId="54254FBE"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36710C9B" w14:textId="77777777" w:rsidR="0010027E" w:rsidRPr="003C5DE8" w:rsidRDefault="0010027E" w:rsidP="003C5DE8">
      <w:pPr>
        <w:pStyle w:val="Prrafodelista"/>
        <w:widowControl/>
        <w:numPr>
          <w:ilvl w:val="0"/>
          <w:numId w:val="45"/>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Monto del crédito.</w:t>
      </w:r>
    </w:p>
    <w:p w14:paraId="29FD7552" w14:textId="77777777" w:rsidR="0010027E" w:rsidRPr="003C5DE8" w:rsidRDefault="0010027E" w:rsidP="003C5DE8">
      <w:pPr>
        <w:pStyle w:val="Prrafodelista"/>
        <w:widowControl/>
        <w:numPr>
          <w:ilvl w:val="0"/>
          <w:numId w:val="45"/>
        </w:numPr>
        <w:tabs>
          <w:tab w:val="left" w:pos="3932"/>
          <w:tab w:val="center" w:pos="4536"/>
        </w:tabs>
        <w:autoSpaceDE/>
        <w:autoSpaceDN/>
        <w:contextualSpacing/>
        <w:jc w:val="both"/>
        <w:rPr>
          <w:rFonts w:ascii="Arial Narrow" w:hAnsi="Arial Narrow" w:cs="Arial"/>
          <w:b/>
          <w:color w:val="000000" w:themeColor="text1"/>
          <w:sz w:val="26"/>
          <w:szCs w:val="26"/>
          <w:lang w:val="es-MX"/>
        </w:rPr>
      </w:pPr>
      <w:r w:rsidRPr="003C5DE8">
        <w:rPr>
          <w:rFonts w:ascii="Arial Narrow" w:hAnsi="Arial Narrow" w:cs="Arial"/>
          <w:bCs/>
          <w:color w:val="000000" w:themeColor="text1"/>
          <w:sz w:val="26"/>
          <w:szCs w:val="26"/>
          <w:lang w:val="es-MX"/>
        </w:rPr>
        <w:t>Tasa de interés remuneratoria y moratoria expresada en efectiva anual.</w:t>
      </w:r>
    </w:p>
    <w:p w14:paraId="7B8A8A8D" w14:textId="77777777" w:rsidR="0010027E" w:rsidRPr="003C5DE8" w:rsidRDefault="0010027E" w:rsidP="003C5DE8">
      <w:pPr>
        <w:pStyle w:val="Prrafodelista"/>
        <w:widowControl/>
        <w:numPr>
          <w:ilvl w:val="0"/>
          <w:numId w:val="45"/>
        </w:numPr>
        <w:tabs>
          <w:tab w:val="left" w:pos="3932"/>
          <w:tab w:val="center" w:pos="4536"/>
        </w:tabs>
        <w:autoSpaceDE/>
        <w:autoSpaceDN/>
        <w:contextualSpacing/>
        <w:jc w:val="both"/>
        <w:rPr>
          <w:rFonts w:ascii="Arial Narrow" w:hAnsi="Arial Narrow" w:cs="Arial"/>
          <w:color w:val="000000" w:themeColor="text1"/>
          <w:sz w:val="26"/>
          <w:szCs w:val="26"/>
          <w:lang w:val="es-MX"/>
        </w:rPr>
      </w:pPr>
      <w:r w:rsidRPr="003C5DE8">
        <w:rPr>
          <w:rFonts w:ascii="Arial Narrow" w:hAnsi="Arial Narrow" w:cs="Arial"/>
          <w:color w:val="000000" w:themeColor="text1"/>
          <w:sz w:val="26"/>
          <w:szCs w:val="26"/>
          <w:lang w:val="es-MX"/>
        </w:rPr>
        <w:t>Sistema de amortización</w:t>
      </w:r>
    </w:p>
    <w:p w14:paraId="0CF2332B" w14:textId="77777777" w:rsidR="0010027E" w:rsidRPr="003C5DE8" w:rsidRDefault="0010027E" w:rsidP="003C5DE8">
      <w:pPr>
        <w:pStyle w:val="Prrafodelista"/>
        <w:widowControl/>
        <w:numPr>
          <w:ilvl w:val="0"/>
          <w:numId w:val="45"/>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Plazo de amortización, incluyendo períodos muertos, periodos de gracia, etc.</w:t>
      </w:r>
    </w:p>
    <w:p w14:paraId="42A1BA7C" w14:textId="77777777" w:rsidR="0010027E" w:rsidRPr="003C5DE8" w:rsidRDefault="0010027E" w:rsidP="003C5DE8">
      <w:pPr>
        <w:pStyle w:val="Prrafodelista"/>
        <w:widowControl/>
        <w:numPr>
          <w:ilvl w:val="0"/>
          <w:numId w:val="45"/>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Modalidad de la cuota (fija, variable, otras); si la tasa es variable, se debe informar el índice al cual quedará atada su variación y el margen, de igual forma, se deberá informar las implicaciones que tiene la variación de estas tasas en el mercado frente al valor de su cuota y la tabla de amortización del crédito.  </w:t>
      </w:r>
    </w:p>
    <w:p w14:paraId="517BF3EC" w14:textId="77777777" w:rsidR="0010027E" w:rsidRPr="003C5DE8" w:rsidRDefault="0010027E" w:rsidP="003C5DE8">
      <w:pPr>
        <w:pStyle w:val="Prrafodelista"/>
        <w:widowControl/>
        <w:numPr>
          <w:ilvl w:val="0"/>
          <w:numId w:val="45"/>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Forma de pago (descuento por nómina, pago por caja, otras).</w:t>
      </w:r>
    </w:p>
    <w:p w14:paraId="1B498C83" w14:textId="77777777" w:rsidR="0010027E" w:rsidRPr="003C5DE8" w:rsidRDefault="0010027E" w:rsidP="003C5DE8">
      <w:pPr>
        <w:pStyle w:val="Prrafodelista"/>
        <w:widowControl/>
        <w:numPr>
          <w:ilvl w:val="0"/>
          <w:numId w:val="45"/>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Periodicidad en el pago de capital y de intereses. </w:t>
      </w:r>
    </w:p>
    <w:p w14:paraId="6FA04704" w14:textId="77777777" w:rsidR="0010027E" w:rsidRPr="003C5DE8" w:rsidRDefault="0010027E" w:rsidP="003C5DE8">
      <w:pPr>
        <w:pStyle w:val="Prrafodelista"/>
        <w:widowControl/>
        <w:numPr>
          <w:ilvl w:val="0"/>
          <w:numId w:val="45"/>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Tipo y cobertura de la garantía solicitada.</w:t>
      </w:r>
    </w:p>
    <w:p w14:paraId="72D164F4" w14:textId="77777777" w:rsidR="0010027E" w:rsidRPr="003C5DE8" w:rsidRDefault="0010027E" w:rsidP="003C5DE8">
      <w:pPr>
        <w:pStyle w:val="Prrafodelista"/>
        <w:widowControl/>
        <w:numPr>
          <w:ilvl w:val="0"/>
          <w:numId w:val="45"/>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Información sobre las condiciones para prepagar la obligación o para realizar pagos anticipados.</w:t>
      </w:r>
    </w:p>
    <w:p w14:paraId="661AD242" w14:textId="77777777" w:rsidR="0010027E" w:rsidRPr="003C5DE8" w:rsidRDefault="0010027E" w:rsidP="003C5DE8">
      <w:pPr>
        <w:pStyle w:val="Prrafodelista"/>
        <w:widowControl/>
        <w:numPr>
          <w:ilvl w:val="0"/>
          <w:numId w:val="45"/>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Comisiones, recargos y demás conceptos que se aplicarán en la estimación de la cuota.</w:t>
      </w:r>
    </w:p>
    <w:p w14:paraId="2E01244A" w14:textId="77777777" w:rsidR="0010027E" w:rsidRPr="003C5DE8" w:rsidRDefault="0010027E" w:rsidP="003C5DE8">
      <w:pPr>
        <w:pStyle w:val="Prrafodelista"/>
        <w:widowControl/>
        <w:numPr>
          <w:ilvl w:val="0"/>
          <w:numId w:val="45"/>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color w:val="000000" w:themeColor="text1"/>
          <w:sz w:val="26"/>
          <w:szCs w:val="26"/>
          <w:lang w:val="es-CO" w:bidi="en-US"/>
        </w:rPr>
        <w:t>Entregar al asociado el plan de amortización del crédito y poner en su conocimiento el reglamento de crédito.</w:t>
      </w:r>
    </w:p>
    <w:p w14:paraId="7CD9FD73" w14:textId="0C28223B" w:rsidR="0010027E" w:rsidRPr="003C5DE8" w:rsidRDefault="0010027E" w:rsidP="003C5DE8">
      <w:pPr>
        <w:pStyle w:val="Prrafodelista"/>
        <w:widowControl/>
        <w:numPr>
          <w:ilvl w:val="0"/>
          <w:numId w:val="45"/>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Al momento del desembolso se </w:t>
      </w:r>
      <w:r w:rsidR="002140BF" w:rsidRPr="003C5DE8">
        <w:rPr>
          <w:rFonts w:ascii="Arial Narrow" w:hAnsi="Arial Narrow" w:cs="Arial"/>
          <w:bCs/>
          <w:color w:val="000000" w:themeColor="text1"/>
          <w:sz w:val="26"/>
          <w:szCs w:val="26"/>
          <w:lang w:val="es-MX"/>
        </w:rPr>
        <w:t>deberá</w:t>
      </w:r>
      <w:r w:rsidRPr="003C5DE8">
        <w:rPr>
          <w:rFonts w:ascii="Arial Narrow" w:hAnsi="Arial Narrow" w:cs="Arial"/>
          <w:bCs/>
          <w:color w:val="000000" w:themeColor="text1"/>
          <w:sz w:val="26"/>
          <w:szCs w:val="26"/>
          <w:lang w:val="es-MX"/>
        </w:rPr>
        <w:t xml:space="preserve"> indicar los descuentos. </w:t>
      </w:r>
    </w:p>
    <w:p w14:paraId="51DD2B6C" w14:textId="4D41770C" w:rsidR="0010027E" w:rsidRPr="003C5DE8" w:rsidRDefault="0010027E" w:rsidP="003C5DE8">
      <w:pPr>
        <w:pStyle w:val="Prrafodelista"/>
        <w:widowControl/>
        <w:numPr>
          <w:ilvl w:val="0"/>
          <w:numId w:val="45"/>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lastRenderedPageBreak/>
        <w:t xml:space="preserve">En caso de créditos reestructurados, se deberá mencionar el número de veces y condiciones propias de la reestructuración. Igualmente </w:t>
      </w:r>
      <w:r w:rsidR="009B3A78" w:rsidRPr="003C5DE8">
        <w:rPr>
          <w:rFonts w:ascii="Arial Narrow" w:hAnsi="Arial Narrow" w:cs="Arial"/>
          <w:bCs/>
          <w:color w:val="000000" w:themeColor="text1"/>
          <w:sz w:val="26"/>
          <w:szCs w:val="26"/>
          <w:lang w:val="es-MX"/>
        </w:rPr>
        <w:t>debe</w:t>
      </w:r>
      <w:r w:rsidRPr="003C5DE8">
        <w:rPr>
          <w:rFonts w:ascii="Arial Narrow" w:hAnsi="Arial Narrow" w:cs="Arial"/>
          <w:bCs/>
          <w:color w:val="000000" w:themeColor="text1"/>
          <w:sz w:val="26"/>
          <w:szCs w:val="26"/>
          <w:lang w:val="es-MX"/>
        </w:rPr>
        <w:t xml:space="preserve"> suministrar al deudor la información necesaria que le permita comprender las implicaciones de estas reestructuraciones en términos de costos, calificación crediticia, y los efectos de incumplir en el pago de la obligación.</w:t>
      </w:r>
    </w:p>
    <w:p w14:paraId="2CD7B7CF" w14:textId="5BE13CCC" w:rsidR="0010027E" w:rsidRPr="003C5DE8" w:rsidRDefault="0010027E" w:rsidP="003C5DE8">
      <w:pPr>
        <w:pStyle w:val="Prrafodelista"/>
        <w:widowControl/>
        <w:numPr>
          <w:ilvl w:val="0"/>
          <w:numId w:val="45"/>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En caso de otros tipos de modificaciones de un crédito, se debe suministrar al deudor la información necesaria que le permita comprender las implicaciones de dicha modificación en términos de costos y calificación crediticia, así como un comparativo entre las condiciones actuales y las del crédito una vez sea modificado. Para el efecto </w:t>
      </w:r>
      <w:r w:rsidR="009B3A78" w:rsidRPr="003C5DE8">
        <w:rPr>
          <w:rFonts w:ascii="Arial Narrow" w:hAnsi="Arial Narrow" w:cs="Arial"/>
          <w:bCs/>
          <w:color w:val="000000" w:themeColor="text1"/>
          <w:sz w:val="26"/>
          <w:szCs w:val="26"/>
          <w:lang w:val="es-MX"/>
        </w:rPr>
        <w:t>debe</w:t>
      </w:r>
      <w:r w:rsidRPr="003C5DE8">
        <w:rPr>
          <w:rFonts w:ascii="Arial Narrow" w:hAnsi="Arial Narrow" w:cs="Arial"/>
          <w:bCs/>
          <w:color w:val="000000" w:themeColor="text1"/>
          <w:sz w:val="26"/>
          <w:szCs w:val="26"/>
          <w:lang w:val="es-MX"/>
        </w:rPr>
        <w:t xml:space="preserve"> suministrar como mínimo información respecto de las nuevas condiciones establecidas, los efectos de incumplir en el pago de la obligación bajo las nuevas condiciones, así como el costo total de la operación. Los derechos de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en caso de incumplimiento por parte del deudor.</w:t>
      </w:r>
    </w:p>
    <w:p w14:paraId="6AB3576A" w14:textId="20C5EB5E" w:rsidR="0010027E" w:rsidRPr="003C5DE8" w:rsidRDefault="0010027E" w:rsidP="003C5DE8">
      <w:pPr>
        <w:pStyle w:val="Prrafodelista"/>
        <w:widowControl/>
        <w:numPr>
          <w:ilvl w:val="0"/>
          <w:numId w:val="45"/>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Los derechos del deudor, en particular, los que se refieren al acceso a la información sobre la calificación de riesgo de sus obligaciones con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w:t>
      </w:r>
    </w:p>
    <w:p w14:paraId="55FA97F5" w14:textId="77777777" w:rsidR="00EF7343" w:rsidRPr="003C5DE8" w:rsidRDefault="0010027E" w:rsidP="003C5DE8">
      <w:pPr>
        <w:pStyle w:val="Prrafodelista"/>
        <w:widowControl/>
        <w:numPr>
          <w:ilvl w:val="0"/>
          <w:numId w:val="45"/>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En el caso de los descuentos por libranza, se deberá tener en cuenta el tope máximo señalado en la normatividad vigente, lo cual podrá limitar el monto a otorgar.</w:t>
      </w:r>
    </w:p>
    <w:p w14:paraId="44D4D6D9" w14:textId="21239F8D" w:rsidR="0010027E" w:rsidRPr="003C5DE8" w:rsidRDefault="0010027E" w:rsidP="003C5DE8">
      <w:pPr>
        <w:pStyle w:val="Prrafodelista"/>
        <w:widowControl/>
        <w:numPr>
          <w:ilvl w:val="0"/>
          <w:numId w:val="45"/>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En general,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deberá entregar toda la información que resulte relevante y necesaria para facilitar la adecuada comprensión del alcance de los derechos y obligaciones de su acreedor.</w:t>
      </w:r>
    </w:p>
    <w:p w14:paraId="0EE35652" w14:textId="71A898A4" w:rsidR="0010027E" w:rsidRPr="003C5DE8" w:rsidRDefault="0010027E" w:rsidP="003C5DE8">
      <w:pPr>
        <w:pStyle w:val="Prrafodelista"/>
        <w:numPr>
          <w:ilvl w:val="0"/>
          <w:numId w:val="45"/>
        </w:numPr>
        <w:tabs>
          <w:tab w:val="left" w:pos="3932"/>
          <w:tab w:val="center" w:pos="4536"/>
        </w:tabs>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Frente a los aspectos antes mencionados,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w:t>
      </w:r>
      <w:r w:rsidR="009B3A78" w:rsidRPr="003C5DE8">
        <w:rPr>
          <w:rFonts w:ascii="Arial Narrow" w:hAnsi="Arial Narrow" w:cs="Arial"/>
          <w:b/>
          <w:color w:val="000000" w:themeColor="text1"/>
          <w:sz w:val="26"/>
          <w:szCs w:val="26"/>
          <w:lang w:val="es-MX"/>
        </w:rPr>
        <w:t>debe</w:t>
      </w:r>
      <w:r w:rsidRPr="003C5DE8">
        <w:rPr>
          <w:rFonts w:ascii="Arial Narrow" w:hAnsi="Arial Narrow" w:cs="Arial"/>
          <w:b/>
          <w:color w:val="000000" w:themeColor="text1"/>
          <w:sz w:val="26"/>
          <w:szCs w:val="26"/>
          <w:lang w:val="es-MX"/>
        </w:rPr>
        <w:t xml:space="preserve"> dejar evidencia</w:t>
      </w:r>
      <w:r w:rsidRPr="003C5DE8">
        <w:rPr>
          <w:rFonts w:ascii="Arial Narrow" w:hAnsi="Arial Narrow" w:cs="Arial"/>
          <w:bCs/>
          <w:color w:val="000000" w:themeColor="text1"/>
          <w:sz w:val="26"/>
          <w:szCs w:val="26"/>
          <w:lang w:val="es-MX"/>
        </w:rPr>
        <w:t xml:space="preserve">, a través de formatos u otro tipo de comunicaciones que consideren pertinentes, con el fin de informar al deudor de dichas condiciones </w:t>
      </w:r>
      <w:r w:rsidRPr="003C5DE8">
        <w:rPr>
          <w:rFonts w:ascii="Arial Narrow" w:hAnsi="Arial Narrow" w:cs="Arial"/>
          <w:b/>
          <w:color w:val="000000" w:themeColor="text1"/>
          <w:sz w:val="26"/>
          <w:szCs w:val="26"/>
          <w:lang w:val="es-MX"/>
        </w:rPr>
        <w:t>de manera previa a la aceptación del crédito</w:t>
      </w:r>
      <w:r w:rsidRPr="003C5DE8">
        <w:rPr>
          <w:rFonts w:ascii="Arial Narrow" w:hAnsi="Arial Narrow" w:cs="Arial"/>
          <w:bCs/>
          <w:color w:val="000000" w:themeColor="text1"/>
          <w:sz w:val="26"/>
          <w:szCs w:val="26"/>
          <w:lang w:val="es-MX"/>
        </w:rPr>
        <w:t xml:space="preserve">, para lo que también podrán utilizar herramientas de tipo virtual (correos electrónicos, mensajes de texto, página web, entre otras), con las medidas de seguridad suficientes. </w:t>
      </w:r>
    </w:p>
    <w:p w14:paraId="5C8CB0A7" w14:textId="269FA769" w:rsidR="0010027E" w:rsidRPr="003C5DE8" w:rsidRDefault="0010027E" w:rsidP="003C5DE8">
      <w:pPr>
        <w:pStyle w:val="Prrafodelista"/>
        <w:numPr>
          <w:ilvl w:val="0"/>
          <w:numId w:val="45"/>
        </w:numPr>
        <w:jc w:val="both"/>
        <w:rPr>
          <w:rFonts w:ascii="Arial Narrow" w:hAnsi="Arial Narrow" w:cs="Arial"/>
          <w:color w:val="000000" w:themeColor="text1"/>
          <w:sz w:val="26"/>
          <w:szCs w:val="26"/>
          <w:lang w:val="es-CO" w:bidi="en-US"/>
        </w:rPr>
      </w:pPr>
      <w:r w:rsidRPr="003C5DE8">
        <w:rPr>
          <w:rFonts w:ascii="Arial Narrow" w:hAnsi="Arial Narrow" w:cs="Arial"/>
          <w:bCs/>
          <w:color w:val="000000" w:themeColor="text1"/>
          <w:sz w:val="26"/>
          <w:szCs w:val="26"/>
          <w:lang w:val="es-MX"/>
        </w:rPr>
        <w:t>Así mismo, y e</w:t>
      </w:r>
      <w:r w:rsidRPr="003C5DE8">
        <w:rPr>
          <w:rFonts w:ascii="Arial Narrow" w:hAnsi="Arial Narrow" w:cs="Arial"/>
          <w:color w:val="000000" w:themeColor="text1"/>
          <w:sz w:val="26"/>
          <w:szCs w:val="26"/>
          <w:lang w:val="es-CO" w:bidi="en-US"/>
        </w:rPr>
        <w:t xml:space="preserve">n virtud de lo dispuesto en la Ley 2032 de 2020, los usuarios de los créditos de </w:t>
      </w:r>
      <w:r w:rsidR="009A4C18">
        <w:rPr>
          <w:rFonts w:ascii="Arial Narrow" w:hAnsi="Arial Narrow" w:cs="Arial"/>
          <w:color w:val="000000" w:themeColor="text1"/>
          <w:sz w:val="26"/>
          <w:szCs w:val="26"/>
          <w:lang w:val="es-CO" w:bidi="en-US"/>
        </w:rPr>
        <w:t>FONDEJEMPLO</w:t>
      </w:r>
      <w:r w:rsidRPr="003C5DE8">
        <w:rPr>
          <w:rFonts w:ascii="Arial Narrow" w:hAnsi="Arial Narrow" w:cs="Arial"/>
          <w:color w:val="000000" w:themeColor="text1"/>
          <w:sz w:val="26"/>
          <w:szCs w:val="26"/>
          <w:lang w:val="es-CO" w:bidi="en-US"/>
        </w:rPr>
        <w:t xml:space="preserve"> tendrán el beneficio de pago anticipado de las cuotas o saldos en forma total o parcial, en toda operación de crédito en moneda nacional, sin incurrir en ningún tipo de penalización o compensación por lucro cesante. </w:t>
      </w:r>
    </w:p>
    <w:p w14:paraId="7431C73A" w14:textId="78221139" w:rsidR="0010027E" w:rsidRPr="003C5DE8" w:rsidRDefault="0010027E" w:rsidP="003C5DE8">
      <w:pPr>
        <w:pStyle w:val="Prrafodelista"/>
        <w:numPr>
          <w:ilvl w:val="0"/>
          <w:numId w:val="45"/>
        </w:numPr>
        <w:jc w:val="both"/>
        <w:rPr>
          <w:rFonts w:ascii="Arial Narrow" w:hAnsi="Arial Narrow" w:cs="Arial"/>
          <w:color w:val="000000" w:themeColor="text1"/>
          <w:sz w:val="26"/>
          <w:szCs w:val="26"/>
          <w:lang w:val="es-CO" w:bidi="en-US"/>
        </w:rPr>
      </w:pPr>
      <w:r w:rsidRPr="003C5DE8">
        <w:rPr>
          <w:rFonts w:ascii="Arial Narrow" w:hAnsi="Arial Narrow" w:cs="Arial"/>
          <w:color w:val="000000" w:themeColor="text1"/>
          <w:sz w:val="26"/>
          <w:szCs w:val="26"/>
          <w:lang w:val="es-CO" w:bidi="en-US"/>
        </w:rPr>
        <w:t xml:space="preserve">En todo caso, el reglamento de crédito, plan de amortización y pago anticipado de obligaciones debe estar a disposición de los asociados mediante los mecanismos de publicidad que para tal efecto diseñe </w:t>
      </w:r>
      <w:r w:rsidR="009A4C18">
        <w:rPr>
          <w:rFonts w:ascii="Arial Narrow" w:hAnsi="Arial Narrow" w:cs="Arial"/>
          <w:color w:val="000000" w:themeColor="text1"/>
          <w:sz w:val="26"/>
          <w:szCs w:val="26"/>
          <w:lang w:val="es-CO" w:bidi="en-US"/>
        </w:rPr>
        <w:t>FONDEJEMPLO</w:t>
      </w:r>
      <w:r w:rsidRPr="003C5DE8">
        <w:rPr>
          <w:rFonts w:ascii="Arial Narrow" w:hAnsi="Arial Narrow" w:cs="Arial"/>
          <w:color w:val="000000" w:themeColor="text1"/>
          <w:sz w:val="26"/>
          <w:szCs w:val="26"/>
          <w:lang w:val="es-CO" w:bidi="en-US"/>
        </w:rPr>
        <w:t xml:space="preserve">, los cuales </w:t>
      </w:r>
      <w:r w:rsidR="009B3A78" w:rsidRPr="003C5DE8">
        <w:rPr>
          <w:rFonts w:ascii="Arial Narrow" w:hAnsi="Arial Narrow" w:cs="Arial"/>
          <w:color w:val="000000" w:themeColor="text1"/>
          <w:sz w:val="26"/>
          <w:szCs w:val="26"/>
          <w:lang w:val="es-CO" w:bidi="en-US"/>
        </w:rPr>
        <w:t>debe</w:t>
      </w:r>
      <w:r w:rsidRPr="003C5DE8">
        <w:rPr>
          <w:rFonts w:ascii="Arial Narrow" w:hAnsi="Arial Narrow" w:cs="Arial"/>
          <w:color w:val="000000" w:themeColor="text1"/>
          <w:sz w:val="26"/>
          <w:szCs w:val="26"/>
          <w:lang w:val="es-CO" w:bidi="en-US"/>
        </w:rPr>
        <w:t xml:space="preserve"> ser idóneos, adecuados, permanentes y que garanticen que la información que se suministre sea veraz, completa, exacta, actualizada, comprobable y comprensible.</w:t>
      </w:r>
    </w:p>
    <w:p w14:paraId="1AD7E24A" w14:textId="4BD40283" w:rsidR="0010027E" w:rsidRPr="003C5DE8" w:rsidRDefault="0010027E" w:rsidP="003C5DE8">
      <w:pPr>
        <w:pStyle w:val="Prrafodelista"/>
        <w:numPr>
          <w:ilvl w:val="0"/>
          <w:numId w:val="45"/>
        </w:numPr>
        <w:jc w:val="both"/>
        <w:rPr>
          <w:rFonts w:ascii="Arial Narrow" w:hAnsi="Arial Narrow" w:cs="Arial"/>
          <w:color w:val="000000" w:themeColor="text1"/>
          <w:sz w:val="26"/>
          <w:szCs w:val="26"/>
          <w:lang w:val="es-CO" w:bidi="en-US"/>
        </w:rPr>
      </w:pPr>
      <w:r w:rsidRPr="003C5DE8">
        <w:rPr>
          <w:rFonts w:ascii="Arial Narrow" w:hAnsi="Arial Narrow" w:cs="Arial"/>
          <w:color w:val="000000" w:themeColor="text1"/>
          <w:sz w:val="26"/>
          <w:szCs w:val="26"/>
          <w:lang w:val="es-CO" w:bidi="en-US"/>
        </w:rPr>
        <w:t xml:space="preserve">Cuando </w:t>
      </w:r>
      <w:r w:rsidR="009A4C18">
        <w:rPr>
          <w:rFonts w:ascii="Arial Narrow" w:hAnsi="Arial Narrow" w:cs="Arial"/>
          <w:color w:val="000000" w:themeColor="text1"/>
          <w:sz w:val="26"/>
          <w:szCs w:val="26"/>
          <w:lang w:val="es-CO" w:bidi="en-US"/>
        </w:rPr>
        <w:t>FONDEJEMPLO</w:t>
      </w:r>
      <w:r w:rsidRPr="003C5DE8">
        <w:rPr>
          <w:rFonts w:ascii="Arial Narrow" w:hAnsi="Arial Narrow" w:cs="Arial"/>
          <w:color w:val="000000" w:themeColor="text1"/>
          <w:sz w:val="26"/>
          <w:szCs w:val="26"/>
          <w:lang w:val="es-CO" w:bidi="en-US"/>
        </w:rPr>
        <w:t xml:space="preserve"> otorgue créditos respaldados mediante AVAL, se deberá informar de manera expresa al asociado mediante documento anexo o incorporado al pagaré de esa circunstancia, haciéndole conocer las condiciones del aval, particularmente del costo y de las consecuencias del no pago oportuno de una o varias cuotas.</w:t>
      </w:r>
    </w:p>
    <w:p w14:paraId="6710F8F6" w14:textId="77777777" w:rsidR="0010027E" w:rsidRPr="003C5DE8" w:rsidRDefault="0010027E" w:rsidP="003C5DE8">
      <w:pPr>
        <w:ind w:left="567" w:hanging="567"/>
        <w:jc w:val="both"/>
        <w:rPr>
          <w:rFonts w:ascii="Arial Narrow" w:hAnsi="Arial Narrow" w:cs="Arial"/>
          <w:color w:val="000000" w:themeColor="text1"/>
          <w:sz w:val="26"/>
          <w:szCs w:val="26"/>
          <w:lang w:val="es-CO" w:bidi="en-US"/>
        </w:rPr>
      </w:pPr>
    </w:p>
    <w:p w14:paraId="112BEB88" w14:textId="77777777" w:rsidR="0010027E" w:rsidRPr="003C5DE8" w:rsidRDefault="0010027E" w:rsidP="003C5DE8">
      <w:pPr>
        <w:pStyle w:val="Ttulo4"/>
        <w:numPr>
          <w:ilvl w:val="3"/>
          <w:numId w:val="13"/>
        </w:numPr>
        <w:tabs>
          <w:tab w:val="left" w:pos="1134"/>
        </w:tabs>
        <w:suppressAutoHyphens/>
        <w:spacing w:before="0"/>
        <w:ind w:left="567" w:hanging="567"/>
        <w:jc w:val="both"/>
        <w:rPr>
          <w:rFonts w:ascii="Arial Narrow" w:hAnsi="Arial Narrow"/>
          <w:b/>
          <w:bCs/>
          <w:i w:val="0"/>
          <w:iCs w:val="0"/>
          <w:color w:val="000000" w:themeColor="text1"/>
          <w:sz w:val="26"/>
          <w:szCs w:val="26"/>
          <w:lang w:val="es-CO" w:bidi="en-US"/>
        </w:rPr>
      </w:pPr>
      <w:bookmarkStart w:id="61" w:name="_Toc56498184"/>
      <w:bookmarkEnd w:id="60"/>
      <w:r w:rsidRPr="003C5DE8">
        <w:rPr>
          <w:rFonts w:ascii="Arial Narrow" w:hAnsi="Arial Narrow"/>
          <w:b/>
          <w:bCs/>
          <w:i w:val="0"/>
          <w:iCs w:val="0"/>
          <w:color w:val="000000" w:themeColor="text1"/>
          <w:sz w:val="26"/>
          <w:szCs w:val="26"/>
          <w:lang w:val="es-CO" w:bidi="en-US"/>
        </w:rPr>
        <w:t>Selección de variables y segmentación de líneas de crédito</w:t>
      </w:r>
      <w:bookmarkEnd w:id="61"/>
    </w:p>
    <w:p w14:paraId="5CF7850A" w14:textId="77777777" w:rsidR="0010027E" w:rsidRPr="003C5DE8" w:rsidRDefault="0010027E" w:rsidP="003C5DE8">
      <w:pPr>
        <w:pStyle w:val="Ttulo4"/>
        <w:suppressAutoHyphens/>
        <w:spacing w:before="0"/>
        <w:ind w:left="567" w:hanging="567"/>
        <w:jc w:val="both"/>
        <w:rPr>
          <w:rFonts w:ascii="Arial Narrow" w:hAnsi="Arial Narrow"/>
          <w:b/>
          <w:i w:val="0"/>
          <w:iCs w:val="0"/>
          <w:color w:val="000000" w:themeColor="text1"/>
          <w:sz w:val="26"/>
          <w:szCs w:val="26"/>
          <w:lang w:val="es-CO" w:bidi="en-US"/>
        </w:rPr>
      </w:pPr>
    </w:p>
    <w:p w14:paraId="10A20ECF" w14:textId="382F3EB2" w:rsidR="0010027E" w:rsidRPr="003C5DE8" w:rsidRDefault="0010027E" w:rsidP="003C5DE8">
      <w:pPr>
        <w:tabs>
          <w:tab w:val="left" w:pos="3932"/>
          <w:tab w:val="center" w:pos="4536"/>
        </w:tabs>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En el proceso de otorgamiento se </w:t>
      </w:r>
      <w:r w:rsidR="009B3A78" w:rsidRPr="003C5DE8">
        <w:rPr>
          <w:rFonts w:ascii="Arial Narrow" w:hAnsi="Arial Narrow" w:cs="Arial"/>
          <w:bCs/>
          <w:color w:val="000000" w:themeColor="text1"/>
          <w:sz w:val="26"/>
          <w:szCs w:val="26"/>
          <w:lang w:val="es-MX"/>
        </w:rPr>
        <w:t>debe</w:t>
      </w:r>
      <w:r w:rsidRPr="003C5DE8">
        <w:rPr>
          <w:rFonts w:ascii="Arial Narrow" w:hAnsi="Arial Narrow" w:cs="Arial"/>
          <w:bCs/>
          <w:color w:val="000000" w:themeColor="text1"/>
          <w:sz w:val="26"/>
          <w:szCs w:val="26"/>
          <w:lang w:val="es-MX"/>
        </w:rPr>
        <w:t xml:space="preserve"> establecer, las variables que con mayor significancia permitan discriminar los sujetos de crédito que se ajustan al perfil de riesgo de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La selección de estas variables de discriminación y la importancia relativa que se dé a cada una de ellas debe ser un elemento determinante tanto en el otorgamiento como en el seguimiento de cada línea de crédito y como base para su calificación.</w:t>
      </w:r>
      <w:r w:rsidR="00E92C3E" w:rsidRPr="003C5DE8">
        <w:rPr>
          <w:rFonts w:ascii="Arial Narrow" w:hAnsi="Arial Narrow" w:cs="Arial"/>
          <w:bCs/>
          <w:color w:val="000000" w:themeColor="text1"/>
          <w:sz w:val="26"/>
          <w:szCs w:val="26"/>
          <w:lang w:val="es-MX"/>
        </w:rPr>
        <w:t xml:space="preserve"> </w:t>
      </w:r>
      <w:r w:rsidRPr="003C5DE8">
        <w:rPr>
          <w:rFonts w:ascii="Arial Narrow" w:hAnsi="Arial Narrow" w:cs="Arial"/>
          <w:bCs/>
          <w:color w:val="000000" w:themeColor="text1"/>
          <w:sz w:val="26"/>
          <w:szCs w:val="26"/>
          <w:lang w:val="es-MX"/>
        </w:rPr>
        <w:t xml:space="preserve">Esta metodología deberá permitir monitorear y controlar la exposición crediticia de las diferentes líneas de crédito, así como la del portafolio agregado de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de conformidad con los límites establecidos por </w:t>
      </w:r>
      <w:r w:rsidR="00E92C3E" w:rsidRPr="003C5DE8">
        <w:rPr>
          <w:rFonts w:ascii="Arial Narrow" w:hAnsi="Arial Narrow" w:cs="Arial"/>
          <w:bCs/>
          <w:color w:val="000000" w:themeColor="text1"/>
          <w:sz w:val="26"/>
          <w:szCs w:val="26"/>
          <w:lang w:val="es-MX"/>
        </w:rPr>
        <w:t>el órgano permanente de administración</w:t>
      </w:r>
      <w:r w:rsidRPr="003C5DE8">
        <w:rPr>
          <w:rFonts w:ascii="Arial Narrow" w:hAnsi="Arial Narrow" w:cs="Arial"/>
          <w:bCs/>
          <w:color w:val="000000" w:themeColor="text1"/>
          <w:sz w:val="26"/>
          <w:szCs w:val="26"/>
          <w:lang w:val="es-MX"/>
        </w:rPr>
        <w:t>.</w:t>
      </w:r>
    </w:p>
    <w:p w14:paraId="341EDCB0"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1F051C57" w14:textId="77777777" w:rsidR="0010027E" w:rsidRPr="003C5DE8" w:rsidRDefault="0010027E" w:rsidP="003C5DE8">
      <w:pPr>
        <w:pStyle w:val="Ttulo4"/>
        <w:numPr>
          <w:ilvl w:val="3"/>
          <w:numId w:val="13"/>
        </w:numPr>
        <w:suppressAutoHyphens/>
        <w:spacing w:before="0"/>
        <w:ind w:left="567" w:hanging="567"/>
        <w:jc w:val="both"/>
        <w:rPr>
          <w:rFonts w:ascii="Arial Narrow" w:hAnsi="Arial Narrow"/>
          <w:b/>
          <w:bCs/>
          <w:i w:val="0"/>
          <w:iCs w:val="0"/>
          <w:color w:val="000000" w:themeColor="text1"/>
          <w:sz w:val="26"/>
          <w:szCs w:val="26"/>
          <w:lang w:bidi="en-US"/>
        </w:rPr>
      </w:pPr>
      <w:bookmarkStart w:id="62" w:name="_Toc56498185"/>
      <w:proofErr w:type="spellStart"/>
      <w:r w:rsidRPr="003C5DE8">
        <w:rPr>
          <w:rFonts w:ascii="Arial Narrow" w:hAnsi="Arial Narrow"/>
          <w:b/>
          <w:bCs/>
          <w:i w:val="0"/>
          <w:iCs w:val="0"/>
          <w:color w:val="000000" w:themeColor="text1"/>
          <w:sz w:val="26"/>
          <w:szCs w:val="26"/>
          <w:lang w:bidi="en-US"/>
        </w:rPr>
        <w:lastRenderedPageBreak/>
        <w:t>Perfil</w:t>
      </w:r>
      <w:proofErr w:type="spellEnd"/>
      <w:r w:rsidRPr="003C5DE8">
        <w:rPr>
          <w:rFonts w:ascii="Arial Narrow" w:hAnsi="Arial Narrow"/>
          <w:b/>
          <w:bCs/>
          <w:i w:val="0"/>
          <w:iCs w:val="0"/>
          <w:color w:val="000000" w:themeColor="text1"/>
          <w:sz w:val="26"/>
          <w:szCs w:val="26"/>
          <w:lang w:bidi="en-US"/>
        </w:rPr>
        <w:t xml:space="preserve"> </w:t>
      </w:r>
      <w:proofErr w:type="spellStart"/>
      <w:r w:rsidRPr="003C5DE8">
        <w:rPr>
          <w:rFonts w:ascii="Arial Narrow" w:hAnsi="Arial Narrow"/>
          <w:b/>
          <w:bCs/>
          <w:i w:val="0"/>
          <w:iCs w:val="0"/>
          <w:color w:val="000000" w:themeColor="text1"/>
          <w:sz w:val="26"/>
          <w:szCs w:val="26"/>
          <w:lang w:bidi="en-US"/>
        </w:rPr>
        <w:t>deudor</w:t>
      </w:r>
      <w:bookmarkEnd w:id="62"/>
      <w:proofErr w:type="spellEnd"/>
    </w:p>
    <w:p w14:paraId="221CE543"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06F136AC" w14:textId="143AF9B0" w:rsidR="0010027E" w:rsidRPr="003C5DE8" w:rsidRDefault="009A4C18" w:rsidP="003C5DE8">
      <w:pPr>
        <w:tabs>
          <w:tab w:val="left" w:pos="3932"/>
          <w:tab w:val="center" w:pos="4536"/>
        </w:tabs>
        <w:jc w:val="both"/>
        <w:rPr>
          <w:rFonts w:ascii="Arial Narrow" w:hAnsi="Arial Narrow" w:cs="Arial"/>
          <w:bCs/>
          <w:color w:val="000000" w:themeColor="text1"/>
          <w:sz w:val="26"/>
          <w:szCs w:val="26"/>
          <w:lang w:val="es-MX"/>
        </w:rPr>
      </w:pPr>
      <w:r>
        <w:rPr>
          <w:rFonts w:ascii="Arial Narrow" w:hAnsi="Arial Narrow" w:cs="Arial"/>
          <w:bCs/>
          <w:color w:val="000000" w:themeColor="text1"/>
          <w:sz w:val="26"/>
          <w:szCs w:val="26"/>
          <w:lang w:val="es-MX"/>
        </w:rPr>
        <w:t>FONDEJEMPLO</w:t>
      </w:r>
      <w:r w:rsidR="0010027E" w:rsidRPr="003C5DE8">
        <w:rPr>
          <w:rFonts w:ascii="Arial Narrow" w:hAnsi="Arial Narrow" w:cs="Arial"/>
          <w:bCs/>
          <w:color w:val="000000" w:themeColor="text1"/>
          <w:sz w:val="26"/>
          <w:szCs w:val="26"/>
          <w:lang w:val="es-MX"/>
        </w:rPr>
        <w:t xml:space="preserve"> </w:t>
      </w:r>
      <w:r w:rsidR="002140BF" w:rsidRPr="003C5DE8">
        <w:rPr>
          <w:rFonts w:ascii="Arial Narrow" w:hAnsi="Arial Narrow" w:cs="Arial"/>
          <w:bCs/>
          <w:color w:val="000000" w:themeColor="text1"/>
          <w:sz w:val="26"/>
          <w:szCs w:val="26"/>
          <w:lang w:val="es-MX"/>
        </w:rPr>
        <w:t>deberá</w:t>
      </w:r>
      <w:r w:rsidR="0010027E" w:rsidRPr="003C5DE8">
        <w:rPr>
          <w:rFonts w:ascii="Arial Narrow" w:hAnsi="Arial Narrow" w:cs="Arial"/>
          <w:bCs/>
          <w:color w:val="000000" w:themeColor="text1"/>
          <w:sz w:val="26"/>
          <w:szCs w:val="26"/>
          <w:lang w:val="es-MX"/>
        </w:rPr>
        <w:t xml:space="preserve"> evaluar las características que </w:t>
      </w:r>
      <w:r w:rsidR="002140BF" w:rsidRPr="003C5DE8">
        <w:rPr>
          <w:rFonts w:ascii="Arial Narrow" w:hAnsi="Arial Narrow" w:cs="Arial"/>
          <w:bCs/>
          <w:color w:val="000000" w:themeColor="text1"/>
          <w:sz w:val="26"/>
          <w:szCs w:val="26"/>
          <w:lang w:val="es-MX"/>
        </w:rPr>
        <w:t>deberá</w:t>
      </w:r>
      <w:r w:rsidR="0010027E" w:rsidRPr="003C5DE8">
        <w:rPr>
          <w:rFonts w:ascii="Arial Narrow" w:hAnsi="Arial Narrow" w:cs="Arial"/>
          <w:bCs/>
          <w:color w:val="000000" w:themeColor="text1"/>
          <w:sz w:val="26"/>
          <w:szCs w:val="26"/>
          <w:lang w:val="es-MX"/>
        </w:rPr>
        <w:t xml:space="preserve"> cumplir los asociados para acceder al crédito, teniendo en cuenta la selección de variables ya efectuada en el numeral anterior.</w:t>
      </w:r>
      <w:r w:rsidR="00E92C3E" w:rsidRPr="003C5DE8">
        <w:rPr>
          <w:rFonts w:ascii="Arial Narrow" w:hAnsi="Arial Narrow" w:cs="Arial"/>
          <w:bCs/>
          <w:color w:val="000000" w:themeColor="text1"/>
          <w:sz w:val="26"/>
          <w:szCs w:val="26"/>
          <w:lang w:val="es-MX"/>
        </w:rPr>
        <w:t xml:space="preserve"> </w:t>
      </w:r>
      <w:r w:rsidR="0010027E" w:rsidRPr="003C5DE8">
        <w:rPr>
          <w:rFonts w:ascii="Arial Narrow" w:hAnsi="Arial Narrow" w:cs="Arial"/>
          <w:bCs/>
          <w:color w:val="000000" w:themeColor="text1"/>
          <w:sz w:val="26"/>
          <w:szCs w:val="26"/>
          <w:lang w:val="es-MX"/>
        </w:rPr>
        <w:t xml:space="preserve">El perfil deudor debe ser acorde con el mercado objetivo y al apetito al riesgo definido por </w:t>
      </w:r>
      <w:r w:rsidR="00E92C3E" w:rsidRPr="003C5DE8">
        <w:rPr>
          <w:rFonts w:ascii="Arial Narrow" w:hAnsi="Arial Narrow" w:cs="Arial"/>
          <w:bCs/>
          <w:color w:val="000000" w:themeColor="text1"/>
          <w:sz w:val="26"/>
          <w:szCs w:val="26"/>
          <w:lang w:val="es-MX"/>
        </w:rPr>
        <w:t>el órgano permanente de administración</w:t>
      </w:r>
      <w:r w:rsidR="0010027E" w:rsidRPr="003C5DE8">
        <w:rPr>
          <w:rFonts w:ascii="Arial Narrow" w:hAnsi="Arial Narrow" w:cs="Arial"/>
          <w:bCs/>
          <w:color w:val="000000" w:themeColor="text1"/>
          <w:sz w:val="26"/>
          <w:szCs w:val="26"/>
          <w:lang w:val="es-MX"/>
        </w:rPr>
        <w:t xml:space="preserve"> para cada modalidad y producto. </w:t>
      </w:r>
    </w:p>
    <w:p w14:paraId="6ECB2405"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0231D539" w14:textId="77777777" w:rsidR="0010027E" w:rsidRPr="003C5DE8" w:rsidRDefault="0010027E" w:rsidP="003C5DE8">
      <w:pPr>
        <w:pStyle w:val="Ttulo4"/>
        <w:numPr>
          <w:ilvl w:val="3"/>
          <w:numId w:val="13"/>
        </w:numPr>
        <w:suppressAutoHyphens/>
        <w:spacing w:before="0"/>
        <w:ind w:left="567" w:hanging="567"/>
        <w:jc w:val="both"/>
        <w:rPr>
          <w:rFonts w:ascii="Arial Narrow" w:hAnsi="Arial Narrow"/>
          <w:b/>
          <w:bCs/>
          <w:i w:val="0"/>
          <w:iCs w:val="0"/>
          <w:color w:val="000000" w:themeColor="text1"/>
          <w:sz w:val="26"/>
          <w:szCs w:val="26"/>
          <w:lang w:val="es-CO" w:bidi="en-US"/>
        </w:rPr>
      </w:pPr>
      <w:bookmarkStart w:id="63" w:name="_Toc56498186"/>
      <w:r w:rsidRPr="003C5DE8">
        <w:rPr>
          <w:rFonts w:ascii="Arial Narrow" w:hAnsi="Arial Narrow"/>
          <w:b/>
          <w:bCs/>
          <w:i w:val="0"/>
          <w:iCs w:val="0"/>
          <w:color w:val="000000" w:themeColor="text1"/>
          <w:sz w:val="26"/>
          <w:szCs w:val="26"/>
          <w:lang w:val="es-CO" w:bidi="en-US"/>
        </w:rPr>
        <w:t>Criterios mínimos para el otorgamiento de créditos</w:t>
      </w:r>
      <w:bookmarkEnd w:id="63"/>
      <w:r w:rsidRPr="003C5DE8">
        <w:rPr>
          <w:rFonts w:ascii="Arial Narrow" w:hAnsi="Arial Narrow"/>
          <w:b/>
          <w:bCs/>
          <w:i w:val="0"/>
          <w:iCs w:val="0"/>
          <w:color w:val="000000" w:themeColor="text1"/>
          <w:sz w:val="26"/>
          <w:szCs w:val="26"/>
          <w:lang w:val="es-CO" w:bidi="en-US"/>
        </w:rPr>
        <w:t xml:space="preserve"> </w:t>
      </w:r>
    </w:p>
    <w:p w14:paraId="4CCD937E" w14:textId="77777777" w:rsidR="0010027E" w:rsidRPr="003C5DE8" w:rsidRDefault="0010027E" w:rsidP="003C5DE8">
      <w:pPr>
        <w:pStyle w:val="Estilo1"/>
        <w:spacing w:before="0" w:after="0"/>
        <w:ind w:left="567" w:hanging="567"/>
        <w:jc w:val="both"/>
        <w:rPr>
          <w:rFonts w:ascii="Arial Narrow" w:hAnsi="Arial Narrow"/>
          <w:color w:val="000000" w:themeColor="text1"/>
          <w:sz w:val="26"/>
          <w:szCs w:val="26"/>
        </w:rPr>
      </w:pPr>
    </w:p>
    <w:p w14:paraId="05A033ED" w14:textId="79822DD2" w:rsidR="0010027E" w:rsidRPr="003C5DE8" w:rsidRDefault="009A4C18" w:rsidP="003C5DE8">
      <w:pPr>
        <w:tabs>
          <w:tab w:val="left" w:pos="3932"/>
          <w:tab w:val="center" w:pos="4536"/>
        </w:tabs>
        <w:jc w:val="both"/>
        <w:rPr>
          <w:rFonts w:ascii="Arial Narrow" w:hAnsi="Arial Narrow" w:cs="Arial"/>
          <w:bCs/>
          <w:color w:val="000000" w:themeColor="text1"/>
          <w:sz w:val="26"/>
          <w:szCs w:val="26"/>
          <w:lang w:val="es-MX"/>
        </w:rPr>
      </w:pPr>
      <w:r>
        <w:rPr>
          <w:rFonts w:ascii="Arial Narrow" w:hAnsi="Arial Narrow" w:cs="Arial"/>
          <w:bCs/>
          <w:color w:val="000000" w:themeColor="text1"/>
          <w:sz w:val="26"/>
          <w:szCs w:val="26"/>
          <w:lang w:val="es-MX"/>
        </w:rPr>
        <w:t>FONDEJEMPLO</w:t>
      </w:r>
      <w:r w:rsidR="0010027E" w:rsidRPr="003C5DE8">
        <w:rPr>
          <w:rFonts w:ascii="Arial Narrow" w:hAnsi="Arial Narrow" w:cs="Arial"/>
          <w:bCs/>
          <w:color w:val="000000" w:themeColor="text1"/>
          <w:sz w:val="26"/>
          <w:szCs w:val="26"/>
          <w:lang w:val="es-MX"/>
        </w:rPr>
        <w:t xml:space="preserve"> a las que se refiere el </w:t>
      </w:r>
      <w:r w:rsidR="001C0DEB" w:rsidRPr="003C5DE8">
        <w:rPr>
          <w:rFonts w:ascii="Arial Narrow" w:hAnsi="Arial Narrow" w:cs="Arial"/>
          <w:bCs/>
          <w:color w:val="000000" w:themeColor="text1"/>
          <w:sz w:val="26"/>
          <w:szCs w:val="26"/>
          <w:lang w:val="es-MX"/>
        </w:rPr>
        <w:t>presente manual</w:t>
      </w:r>
      <w:r w:rsidR="0010027E" w:rsidRPr="003C5DE8">
        <w:rPr>
          <w:rFonts w:ascii="Arial Narrow" w:hAnsi="Arial Narrow" w:cs="Arial"/>
          <w:bCs/>
          <w:color w:val="000000" w:themeColor="text1"/>
          <w:sz w:val="26"/>
          <w:szCs w:val="26"/>
          <w:lang w:val="es-MX"/>
        </w:rPr>
        <w:t xml:space="preserve">, </w:t>
      </w:r>
      <w:r w:rsidR="002140BF" w:rsidRPr="003C5DE8">
        <w:rPr>
          <w:rFonts w:ascii="Arial Narrow" w:hAnsi="Arial Narrow" w:cs="Arial"/>
          <w:bCs/>
          <w:color w:val="000000" w:themeColor="text1"/>
          <w:sz w:val="26"/>
          <w:szCs w:val="26"/>
          <w:lang w:val="es-MX"/>
        </w:rPr>
        <w:t>deberá</w:t>
      </w:r>
      <w:r w:rsidR="0010027E" w:rsidRPr="003C5DE8">
        <w:rPr>
          <w:rFonts w:ascii="Arial Narrow" w:hAnsi="Arial Narrow" w:cs="Arial"/>
          <w:bCs/>
          <w:color w:val="000000" w:themeColor="text1"/>
          <w:sz w:val="26"/>
          <w:szCs w:val="26"/>
          <w:lang w:val="es-MX"/>
        </w:rPr>
        <w:t xml:space="preserve"> observar como </w:t>
      </w:r>
      <w:r w:rsidR="0010027E" w:rsidRPr="003C5DE8">
        <w:rPr>
          <w:rFonts w:ascii="Arial Narrow" w:hAnsi="Arial Narrow" w:cs="Arial"/>
          <w:b/>
          <w:color w:val="000000" w:themeColor="text1"/>
          <w:sz w:val="26"/>
          <w:szCs w:val="26"/>
          <w:lang w:val="es-MX"/>
        </w:rPr>
        <w:t>mínimo, y obligatoriamente</w:t>
      </w:r>
      <w:r w:rsidR="0010027E" w:rsidRPr="003C5DE8">
        <w:rPr>
          <w:rFonts w:ascii="Arial Narrow" w:hAnsi="Arial Narrow" w:cs="Arial"/>
          <w:bCs/>
          <w:color w:val="000000" w:themeColor="text1"/>
          <w:sz w:val="26"/>
          <w:szCs w:val="26"/>
          <w:lang w:val="es-MX"/>
        </w:rPr>
        <w:t>, los siguientes criterios para el otorgamiento de créditos a sus asociados:</w:t>
      </w:r>
    </w:p>
    <w:p w14:paraId="6DF4CBD5"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633CA82F" w14:textId="77777777" w:rsidR="0010027E" w:rsidRPr="003C5DE8" w:rsidRDefault="0010027E" w:rsidP="003C5DE8">
      <w:pPr>
        <w:pStyle w:val="Estilo1"/>
        <w:keepNext w:val="0"/>
        <w:numPr>
          <w:ilvl w:val="4"/>
          <w:numId w:val="13"/>
        </w:numPr>
        <w:spacing w:before="0" w:after="0"/>
        <w:ind w:left="567" w:hanging="567"/>
        <w:contextualSpacing/>
        <w:jc w:val="both"/>
        <w:outlineLvl w:val="9"/>
        <w:rPr>
          <w:rFonts w:ascii="Arial Narrow" w:hAnsi="Arial Narrow"/>
          <w:b/>
          <w:color w:val="000000" w:themeColor="text1"/>
          <w:sz w:val="26"/>
          <w:szCs w:val="26"/>
        </w:rPr>
      </w:pPr>
      <w:r w:rsidRPr="003C5DE8">
        <w:rPr>
          <w:rFonts w:ascii="Arial Narrow" w:hAnsi="Arial Narrow"/>
          <w:b/>
          <w:color w:val="000000" w:themeColor="text1"/>
          <w:sz w:val="26"/>
          <w:szCs w:val="26"/>
        </w:rPr>
        <w:t xml:space="preserve">Capacidad de pago </w:t>
      </w:r>
    </w:p>
    <w:p w14:paraId="290CEC04"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6FC7203B" w14:textId="29E47C2E" w:rsidR="0010027E" w:rsidRPr="003C5DE8" w:rsidRDefault="0010027E" w:rsidP="003C5DE8">
      <w:pPr>
        <w:tabs>
          <w:tab w:val="left" w:pos="3932"/>
          <w:tab w:val="center" w:pos="4536"/>
        </w:tabs>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La evaluación de capacidad de pago de un deudor o proyecto a financiar es fundamental para determinar la probabilidad de incumplimiento del respectivo crédito el cual debe realizarse también a los codeudores, avalistas, deudores solidarios y en general a cualquier persona natural o jurídica que resulte o pueda resultar directa o indirectamente obligada al pago de los créditos. Para evaluar esta capacidad de pago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debe analizar como mínimo la siguiente información:</w:t>
      </w:r>
    </w:p>
    <w:p w14:paraId="452C5BEA" w14:textId="77777777" w:rsidR="0010027E" w:rsidRPr="003C5DE8" w:rsidRDefault="0010027E" w:rsidP="003C5DE8">
      <w:pPr>
        <w:ind w:left="567" w:hanging="567"/>
        <w:jc w:val="both"/>
        <w:rPr>
          <w:rFonts w:ascii="Arial Narrow" w:hAnsi="Arial Narrow" w:cs="Arial"/>
          <w:bCs/>
          <w:color w:val="000000" w:themeColor="text1"/>
          <w:sz w:val="26"/>
          <w:szCs w:val="26"/>
          <w:lang w:val="es-MX"/>
        </w:rPr>
      </w:pPr>
    </w:p>
    <w:p w14:paraId="51CEE9D0" w14:textId="77777777" w:rsidR="0010027E" w:rsidRPr="003C5DE8" w:rsidRDefault="0010027E" w:rsidP="003C5DE8">
      <w:pPr>
        <w:pStyle w:val="Sangra3detindependiente"/>
        <w:widowControl/>
        <w:numPr>
          <w:ilvl w:val="0"/>
          <w:numId w:val="46"/>
        </w:numPr>
        <w:autoSpaceDE/>
        <w:autoSpaceDN/>
        <w:spacing w:after="0"/>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Los flujos de ingresos y egresos, así como el flujo de caja del deudor y/o del proyecto financiado o a financiar. </w:t>
      </w:r>
    </w:p>
    <w:p w14:paraId="08D82CE2" w14:textId="0170D70E" w:rsidR="00F96725" w:rsidRPr="003C5DE8" w:rsidRDefault="0010027E" w:rsidP="003C5DE8">
      <w:pPr>
        <w:pStyle w:val="Prrafodelista"/>
        <w:widowControl/>
        <w:numPr>
          <w:ilvl w:val="0"/>
          <w:numId w:val="46"/>
        </w:numPr>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Los posibles efectos de los riesgos financieros a los que está expuesto el flujo de caja del deudor y/o del proyecto a financiar según aplique, considerando distintos escenarios en función de variables económicas (tasas de interés, tasas de cambio, crecimiento de los mercados, etc.) y el comportamiento del sector económico al que pertenece, que puedan afectar el negocio o la capacidad de pago del deudor, según el caso. Igualmente, se debe examinar la calidad de los flujos de caja teniendo en cuenta la volatilidad de los mismos. Dentro de estos riesgos se </w:t>
      </w:r>
      <w:r w:rsidR="009B3A78" w:rsidRPr="003C5DE8">
        <w:rPr>
          <w:rFonts w:ascii="Arial Narrow" w:hAnsi="Arial Narrow" w:cs="Arial"/>
          <w:bCs/>
          <w:color w:val="000000" w:themeColor="text1"/>
          <w:sz w:val="26"/>
          <w:szCs w:val="26"/>
          <w:lang w:val="es-MX"/>
        </w:rPr>
        <w:t>debe</w:t>
      </w:r>
      <w:r w:rsidRPr="003C5DE8">
        <w:rPr>
          <w:rFonts w:ascii="Arial Narrow" w:hAnsi="Arial Narrow" w:cs="Arial"/>
          <w:bCs/>
          <w:color w:val="000000" w:themeColor="text1"/>
          <w:sz w:val="26"/>
          <w:szCs w:val="26"/>
          <w:lang w:val="es-MX"/>
        </w:rPr>
        <w:t xml:space="preserve"> analizar, según resulten relevantes</w:t>
      </w:r>
      <w:r w:rsidR="00F96725" w:rsidRPr="003C5DE8">
        <w:rPr>
          <w:rFonts w:ascii="Arial Narrow" w:hAnsi="Arial Narrow" w:cs="Arial"/>
          <w:bCs/>
          <w:color w:val="000000" w:themeColor="text1"/>
          <w:sz w:val="26"/>
          <w:szCs w:val="26"/>
          <w:lang w:val="es-MX"/>
        </w:rPr>
        <w:t>.</w:t>
      </w:r>
    </w:p>
    <w:p w14:paraId="2E8E9A2F" w14:textId="744019C0" w:rsidR="0010027E" w:rsidRPr="003C5DE8" w:rsidRDefault="0010027E" w:rsidP="003C5DE8">
      <w:pPr>
        <w:pStyle w:val="Prrafodelista"/>
        <w:widowControl/>
        <w:numPr>
          <w:ilvl w:val="0"/>
          <w:numId w:val="46"/>
        </w:numPr>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Cuando se trate de microcréditos,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debe contar con una metodología que le permita evaluar de manera adecuada la capacidad de pago del deudor y cuyos elementos permitan compensar las deficiencias de información, según sus características y grado de informalidad.</w:t>
      </w:r>
    </w:p>
    <w:p w14:paraId="2FBDBBB7"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1CD72FA1" w14:textId="77777777" w:rsidR="0010027E" w:rsidRPr="003C5DE8" w:rsidRDefault="0010027E" w:rsidP="003C5DE8">
      <w:pPr>
        <w:pStyle w:val="Estilo1"/>
        <w:keepNext w:val="0"/>
        <w:numPr>
          <w:ilvl w:val="4"/>
          <w:numId w:val="13"/>
        </w:numPr>
        <w:spacing w:before="0" w:after="0"/>
        <w:ind w:left="567" w:hanging="567"/>
        <w:contextualSpacing/>
        <w:jc w:val="both"/>
        <w:outlineLvl w:val="9"/>
        <w:rPr>
          <w:rFonts w:ascii="Arial Narrow" w:hAnsi="Arial Narrow"/>
          <w:b/>
          <w:color w:val="000000" w:themeColor="text1"/>
          <w:sz w:val="26"/>
          <w:szCs w:val="26"/>
          <w:lang w:bidi="en-US"/>
        </w:rPr>
      </w:pPr>
      <w:r w:rsidRPr="003C5DE8">
        <w:rPr>
          <w:rFonts w:ascii="Arial Narrow" w:hAnsi="Arial Narrow"/>
          <w:b/>
          <w:color w:val="000000" w:themeColor="text1"/>
          <w:sz w:val="26"/>
          <w:szCs w:val="26"/>
          <w:lang w:bidi="en-US"/>
        </w:rPr>
        <w:t>Solvencia</w:t>
      </w:r>
    </w:p>
    <w:p w14:paraId="4894840D" w14:textId="77777777" w:rsidR="00F96725" w:rsidRPr="003C5DE8" w:rsidRDefault="00F96725" w:rsidP="003C5DE8">
      <w:pPr>
        <w:tabs>
          <w:tab w:val="left" w:pos="0"/>
        </w:tabs>
        <w:ind w:left="567" w:hanging="567"/>
        <w:jc w:val="both"/>
        <w:rPr>
          <w:rFonts w:ascii="Arial Narrow" w:hAnsi="Arial Narrow" w:cs="Arial"/>
          <w:bCs/>
          <w:color w:val="000000" w:themeColor="text1"/>
          <w:sz w:val="26"/>
          <w:szCs w:val="26"/>
          <w:lang w:val="es-MX"/>
        </w:rPr>
      </w:pPr>
    </w:p>
    <w:p w14:paraId="064AE64B" w14:textId="01C047F0" w:rsidR="0010027E" w:rsidRPr="003C5DE8" w:rsidRDefault="0010027E" w:rsidP="003C5DE8">
      <w:pPr>
        <w:tabs>
          <w:tab w:val="left" w:pos="0"/>
        </w:tabs>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Se debe analizar a través de variables como el nivel de endeudamiento y la calidad y composición de los activos, pasivos, patrimonio y contingencias del deudor y/o del proyecto según aplique.</w:t>
      </w:r>
    </w:p>
    <w:p w14:paraId="02718492" w14:textId="77777777" w:rsidR="0010027E" w:rsidRPr="003C5DE8" w:rsidRDefault="0010027E" w:rsidP="003C5DE8">
      <w:pPr>
        <w:tabs>
          <w:tab w:val="left" w:pos="0"/>
        </w:tabs>
        <w:ind w:left="567" w:hanging="567"/>
        <w:jc w:val="both"/>
        <w:rPr>
          <w:rFonts w:ascii="Arial Narrow" w:hAnsi="Arial Narrow" w:cs="Arial"/>
          <w:bCs/>
          <w:color w:val="000000" w:themeColor="text1"/>
          <w:sz w:val="26"/>
          <w:szCs w:val="26"/>
          <w:lang w:val="es-MX"/>
        </w:rPr>
      </w:pPr>
    </w:p>
    <w:p w14:paraId="57F786CA" w14:textId="6A1D0E90" w:rsidR="0010027E" w:rsidRPr="003C5DE8" w:rsidRDefault="0010027E" w:rsidP="003C5DE8">
      <w:pPr>
        <w:pStyle w:val="Estilo1"/>
        <w:keepNext w:val="0"/>
        <w:numPr>
          <w:ilvl w:val="4"/>
          <w:numId w:val="13"/>
        </w:numPr>
        <w:spacing w:before="0" w:after="0"/>
        <w:ind w:left="567" w:hanging="567"/>
        <w:contextualSpacing/>
        <w:jc w:val="both"/>
        <w:outlineLvl w:val="9"/>
        <w:rPr>
          <w:rFonts w:ascii="Arial Narrow" w:hAnsi="Arial Narrow"/>
          <w:b/>
          <w:color w:val="000000" w:themeColor="text1"/>
          <w:sz w:val="26"/>
          <w:szCs w:val="26"/>
          <w:lang w:bidi="en-US"/>
        </w:rPr>
      </w:pPr>
      <w:r w:rsidRPr="003C5DE8">
        <w:rPr>
          <w:rFonts w:ascii="Arial Narrow" w:hAnsi="Arial Narrow"/>
          <w:b/>
          <w:color w:val="000000" w:themeColor="text1"/>
          <w:sz w:val="26"/>
          <w:szCs w:val="26"/>
          <w:lang w:bidi="en-US"/>
        </w:rPr>
        <w:t xml:space="preserve">Consulta a las centrales de riesgo y demás fuentes que disponga </w:t>
      </w:r>
      <w:r w:rsidR="009A4C18">
        <w:rPr>
          <w:rFonts w:ascii="Arial Narrow" w:hAnsi="Arial Narrow"/>
          <w:b/>
          <w:color w:val="000000" w:themeColor="text1"/>
          <w:sz w:val="26"/>
          <w:szCs w:val="26"/>
          <w:lang w:bidi="en-US"/>
        </w:rPr>
        <w:t>FONDEJEMPLO</w:t>
      </w:r>
    </w:p>
    <w:p w14:paraId="396BA2F8" w14:textId="77777777" w:rsidR="00F96725" w:rsidRPr="003C5DE8" w:rsidRDefault="00F96725"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56D2729C" w14:textId="73572B98" w:rsidR="0010027E" w:rsidRPr="003C5DE8" w:rsidRDefault="0010027E" w:rsidP="003C5DE8">
      <w:pPr>
        <w:tabs>
          <w:tab w:val="left" w:pos="3932"/>
          <w:tab w:val="center" w:pos="4536"/>
        </w:tabs>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Corresponde a la información sobre el cumplimiento actual y pasado de las obligaciones del deudor. La atención oportuna de todas las cuotas o instalamentos, entendiéndose como tales, cualquier pago derivado de una operación activa de crédito, que deba efectuar el deudor en una fecha determinada, independientemente de los conceptos que comprenda (capital, intereses, o cualquier otro). Adicionalmente, la historia financiera y crediticia del deudor, proveniente de centrales de riesgo, calificadoras de riesgo, del deudor o de cualquier otra fuente que resulte relevante.</w:t>
      </w:r>
      <w:r w:rsidR="00F96725" w:rsidRPr="003C5DE8">
        <w:rPr>
          <w:rFonts w:ascii="Arial Narrow" w:hAnsi="Arial Narrow" w:cs="Arial"/>
          <w:bCs/>
          <w:color w:val="000000" w:themeColor="text1"/>
          <w:sz w:val="26"/>
          <w:szCs w:val="26"/>
          <w:lang w:val="es-MX"/>
        </w:rPr>
        <w:t xml:space="preserve"> </w:t>
      </w:r>
      <w:r w:rsidRPr="003C5DE8">
        <w:rPr>
          <w:rFonts w:ascii="Arial Narrow" w:hAnsi="Arial Narrow" w:cs="Arial"/>
          <w:color w:val="000000" w:themeColor="text1"/>
          <w:sz w:val="26"/>
          <w:szCs w:val="26"/>
          <w:lang w:val="es-CO"/>
        </w:rPr>
        <w:t xml:space="preserve">En todo caso, se </w:t>
      </w:r>
      <w:r w:rsidRPr="003C5DE8">
        <w:rPr>
          <w:rFonts w:ascii="Arial Narrow" w:hAnsi="Arial Narrow" w:cs="Arial"/>
          <w:color w:val="000000" w:themeColor="text1"/>
          <w:sz w:val="26"/>
          <w:szCs w:val="26"/>
          <w:lang w:val="es-CO"/>
        </w:rPr>
        <w:lastRenderedPageBreak/>
        <w:t>deberá contar con la autorización previa del solicitante y su(s) codeudor(es) para la realización de la consulta y reporte, así como el deber de informarles previamente sobre el reporte negativo ante el incumplimiento de la obligación contraída</w:t>
      </w:r>
      <w:r w:rsidR="00F96725" w:rsidRPr="003C5DE8">
        <w:rPr>
          <w:rFonts w:ascii="Arial Narrow" w:hAnsi="Arial Narrow" w:cs="Arial"/>
          <w:color w:val="000000" w:themeColor="text1"/>
          <w:sz w:val="26"/>
          <w:szCs w:val="26"/>
          <w:lang w:val="es-CO"/>
        </w:rPr>
        <w:t xml:space="preserve">. </w:t>
      </w:r>
      <w:r w:rsidRPr="003C5DE8">
        <w:rPr>
          <w:rFonts w:ascii="Arial Narrow" w:hAnsi="Arial Narrow" w:cs="Arial"/>
          <w:bCs/>
          <w:color w:val="000000" w:themeColor="text1"/>
          <w:sz w:val="26"/>
          <w:szCs w:val="26"/>
          <w:lang w:val="es-MX"/>
        </w:rPr>
        <w:t xml:space="preserve">De igual forma, se deberá evaluar tanto interna como externamente, el número de veces que el deudor ha sido reestructurado y las características de la(s) respectiva(s) reestructuración(es). Se entenderá que entre más operaciones reestructuradas tenga un mismo deudor, mayor será el riesgo de no pago de la obligación. La condición de deudor reestructurado no puede ser la única variable </w:t>
      </w:r>
      <w:proofErr w:type="gramStart"/>
      <w:r w:rsidRPr="003C5DE8">
        <w:rPr>
          <w:rFonts w:ascii="Arial Narrow" w:hAnsi="Arial Narrow" w:cs="Arial"/>
          <w:bCs/>
          <w:color w:val="000000" w:themeColor="text1"/>
          <w:sz w:val="26"/>
          <w:szCs w:val="26"/>
          <w:lang w:val="es-MX"/>
        </w:rPr>
        <w:t>a</w:t>
      </w:r>
      <w:proofErr w:type="gramEnd"/>
      <w:r w:rsidRPr="003C5DE8">
        <w:rPr>
          <w:rFonts w:ascii="Arial Narrow" w:hAnsi="Arial Narrow" w:cs="Arial"/>
          <w:bCs/>
          <w:color w:val="000000" w:themeColor="text1"/>
          <w:sz w:val="26"/>
          <w:szCs w:val="26"/>
          <w:lang w:val="es-MX"/>
        </w:rPr>
        <w:t xml:space="preserve"> tener en cuenta en el proceso de otorgamiento.</w:t>
      </w:r>
    </w:p>
    <w:p w14:paraId="62839FDD" w14:textId="77777777" w:rsidR="0010027E" w:rsidRPr="003C5DE8" w:rsidRDefault="0010027E" w:rsidP="003C5DE8">
      <w:pPr>
        <w:tabs>
          <w:tab w:val="left" w:pos="0"/>
        </w:tabs>
        <w:ind w:left="567" w:hanging="567"/>
        <w:jc w:val="both"/>
        <w:rPr>
          <w:rFonts w:ascii="Arial Narrow" w:hAnsi="Arial Narrow" w:cs="Arial"/>
          <w:bCs/>
          <w:color w:val="000000" w:themeColor="text1"/>
          <w:sz w:val="26"/>
          <w:szCs w:val="26"/>
          <w:lang w:val="es-MX"/>
        </w:rPr>
      </w:pPr>
    </w:p>
    <w:p w14:paraId="6E98CF47" w14:textId="77777777" w:rsidR="0010027E" w:rsidRPr="003C5DE8" w:rsidRDefault="0010027E" w:rsidP="003C5DE8">
      <w:pPr>
        <w:pStyle w:val="Estilo1"/>
        <w:keepNext w:val="0"/>
        <w:numPr>
          <w:ilvl w:val="4"/>
          <w:numId w:val="13"/>
        </w:numPr>
        <w:spacing w:before="0" w:after="0"/>
        <w:ind w:left="567" w:hanging="567"/>
        <w:contextualSpacing/>
        <w:jc w:val="both"/>
        <w:outlineLvl w:val="9"/>
        <w:rPr>
          <w:rFonts w:ascii="Arial Narrow" w:hAnsi="Arial Narrow"/>
          <w:b/>
          <w:color w:val="000000" w:themeColor="text1"/>
          <w:sz w:val="26"/>
          <w:szCs w:val="26"/>
          <w:lang w:bidi="en-US"/>
        </w:rPr>
      </w:pPr>
      <w:r w:rsidRPr="003C5DE8">
        <w:rPr>
          <w:rFonts w:ascii="Arial Narrow" w:hAnsi="Arial Narrow"/>
          <w:b/>
          <w:color w:val="000000" w:themeColor="text1"/>
          <w:sz w:val="26"/>
          <w:szCs w:val="26"/>
          <w:lang w:bidi="en-US"/>
        </w:rPr>
        <w:t xml:space="preserve">Garantías </w:t>
      </w:r>
    </w:p>
    <w:p w14:paraId="453E1DDF" w14:textId="77777777" w:rsidR="00F96725" w:rsidRPr="003C5DE8" w:rsidRDefault="00F96725" w:rsidP="003C5DE8">
      <w:pPr>
        <w:tabs>
          <w:tab w:val="left" w:pos="3932"/>
          <w:tab w:val="center" w:pos="4536"/>
        </w:tabs>
        <w:jc w:val="both"/>
        <w:rPr>
          <w:rFonts w:ascii="Arial Narrow" w:hAnsi="Arial Narrow" w:cs="Arial"/>
          <w:bCs/>
          <w:color w:val="000000" w:themeColor="text1"/>
          <w:sz w:val="26"/>
          <w:szCs w:val="26"/>
          <w:lang w:val="es-MX"/>
        </w:rPr>
      </w:pPr>
      <w:bookmarkStart w:id="64" w:name="_Hlk82504325"/>
    </w:p>
    <w:p w14:paraId="5446FC6A" w14:textId="66B9A03B" w:rsidR="0010027E" w:rsidRPr="003C5DE8" w:rsidRDefault="0010027E" w:rsidP="003C5DE8">
      <w:pPr>
        <w:tabs>
          <w:tab w:val="left" w:pos="3932"/>
          <w:tab w:val="center" w:pos="4536"/>
        </w:tabs>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Las garantías que respaldan la </w:t>
      </w:r>
      <w:r w:rsidR="00F96725" w:rsidRPr="003C5DE8">
        <w:rPr>
          <w:rFonts w:ascii="Arial Narrow" w:hAnsi="Arial Narrow" w:cs="Arial"/>
          <w:bCs/>
          <w:color w:val="000000" w:themeColor="text1"/>
          <w:sz w:val="26"/>
          <w:szCs w:val="26"/>
          <w:lang w:val="es-MX"/>
        </w:rPr>
        <w:t>operación</w:t>
      </w:r>
      <w:r w:rsidRPr="003C5DE8">
        <w:rPr>
          <w:rFonts w:ascii="Arial Narrow" w:hAnsi="Arial Narrow" w:cs="Arial"/>
          <w:bCs/>
          <w:color w:val="000000" w:themeColor="text1"/>
          <w:sz w:val="26"/>
          <w:szCs w:val="26"/>
          <w:lang w:val="es-MX"/>
        </w:rPr>
        <w:t xml:space="preserve"> son necesarias para calcular las pérdidas esperadas en el evento de no pago y, por consiguiente, para determinar el nivel de deterioro. </w:t>
      </w:r>
      <w:r w:rsidR="00F96725" w:rsidRPr="003C5DE8">
        <w:rPr>
          <w:rFonts w:ascii="Arial Narrow" w:hAnsi="Arial Narrow" w:cs="Arial"/>
          <w:bCs/>
          <w:color w:val="000000" w:themeColor="text1"/>
          <w:sz w:val="26"/>
          <w:szCs w:val="26"/>
          <w:lang w:val="es-MX"/>
        </w:rPr>
        <w:t xml:space="preserve"> </w:t>
      </w:r>
      <w:r w:rsidRPr="003C5DE8">
        <w:rPr>
          <w:rFonts w:ascii="Arial Narrow" w:hAnsi="Arial Narrow" w:cs="Arial"/>
          <w:color w:val="000000" w:themeColor="text1"/>
          <w:sz w:val="26"/>
          <w:szCs w:val="26"/>
          <w:lang w:val="es-MX"/>
        </w:rPr>
        <w:t>Para</w:t>
      </w:r>
      <w:r w:rsidRPr="003C5DE8">
        <w:rPr>
          <w:rFonts w:ascii="Arial Narrow" w:hAnsi="Arial Narrow" w:cs="Arial"/>
          <w:b/>
          <w:color w:val="000000" w:themeColor="text1"/>
          <w:sz w:val="26"/>
          <w:szCs w:val="26"/>
          <w:lang w:val="es-MX"/>
        </w:rPr>
        <w:t xml:space="preserve"> </w:t>
      </w:r>
      <w:r w:rsidRPr="003C5DE8">
        <w:rPr>
          <w:rFonts w:ascii="Arial Narrow" w:hAnsi="Arial Narrow" w:cs="Arial"/>
          <w:bCs/>
          <w:color w:val="000000" w:themeColor="text1"/>
          <w:sz w:val="26"/>
          <w:szCs w:val="26"/>
          <w:lang w:val="es-MX"/>
        </w:rPr>
        <w:t xml:space="preserve">las garantías idóneas se debe establecer un valor con base en criterios técnicos y objetivos, que ofrezcan un respaldo jurídicamente eficaz al pago de la obligación garantizada cuya posibilidad de realización sea razonablemente adecuada y, para su clasificación, independientemente si aplica modelos de referencia o no, se deberá tener en cuenta las clases de garantías previstas en el </w:t>
      </w:r>
      <w:r w:rsidR="001C0DEB" w:rsidRPr="003C5DE8">
        <w:rPr>
          <w:rFonts w:ascii="Arial Narrow" w:hAnsi="Arial Narrow" w:cs="Arial"/>
          <w:bCs/>
          <w:color w:val="000000" w:themeColor="text1"/>
          <w:sz w:val="26"/>
          <w:szCs w:val="26"/>
          <w:lang w:val="es-MX"/>
        </w:rPr>
        <w:t>presente manual</w:t>
      </w:r>
      <w:r w:rsidRPr="003C5DE8">
        <w:rPr>
          <w:rFonts w:ascii="Arial Narrow" w:hAnsi="Arial Narrow" w:cs="Arial"/>
          <w:bCs/>
          <w:color w:val="000000" w:themeColor="text1"/>
          <w:sz w:val="26"/>
          <w:szCs w:val="26"/>
          <w:lang w:val="es-MX"/>
        </w:rPr>
        <w:t>.</w:t>
      </w:r>
      <w:r w:rsidR="00F96725" w:rsidRPr="003C5DE8">
        <w:rPr>
          <w:rFonts w:ascii="Arial Narrow" w:hAnsi="Arial Narrow" w:cs="Arial"/>
          <w:bCs/>
          <w:color w:val="000000" w:themeColor="text1"/>
          <w:sz w:val="26"/>
          <w:szCs w:val="26"/>
          <w:lang w:val="es-MX"/>
        </w:rPr>
        <w:t xml:space="preserve"> </w:t>
      </w:r>
      <w:r w:rsidRPr="003C5DE8">
        <w:rPr>
          <w:rFonts w:ascii="Arial Narrow" w:hAnsi="Arial Narrow" w:cs="Arial"/>
          <w:color w:val="000000" w:themeColor="text1"/>
          <w:sz w:val="26"/>
          <w:szCs w:val="26"/>
          <w:lang w:val="es-CO" w:eastAsia="es-CO"/>
        </w:rPr>
        <w:t xml:space="preserve">Es pertinente señalar, que los avalúos de los bienes inmuebles que se utilicen por parte de </w:t>
      </w:r>
      <w:r w:rsidR="009A4C18">
        <w:rPr>
          <w:rFonts w:ascii="Arial Narrow" w:hAnsi="Arial Narrow" w:cs="Arial"/>
          <w:color w:val="000000" w:themeColor="text1"/>
          <w:sz w:val="26"/>
          <w:szCs w:val="26"/>
          <w:lang w:val="es-CO" w:eastAsia="es-CO"/>
        </w:rPr>
        <w:t>FONDEJEMPLO</w:t>
      </w:r>
      <w:r w:rsidRPr="003C5DE8">
        <w:rPr>
          <w:rFonts w:ascii="Arial Narrow" w:hAnsi="Arial Narrow" w:cs="Arial"/>
          <w:color w:val="000000" w:themeColor="text1"/>
          <w:sz w:val="26"/>
          <w:szCs w:val="26"/>
          <w:lang w:val="es-CO" w:eastAsia="es-CO"/>
        </w:rPr>
        <w:t xml:space="preserve">, </w:t>
      </w:r>
      <w:r w:rsidR="009B3A78" w:rsidRPr="003C5DE8">
        <w:rPr>
          <w:rFonts w:ascii="Arial Narrow" w:hAnsi="Arial Narrow" w:cs="Arial"/>
          <w:color w:val="000000" w:themeColor="text1"/>
          <w:sz w:val="26"/>
          <w:szCs w:val="26"/>
          <w:lang w:val="es-CO" w:eastAsia="es-CO"/>
        </w:rPr>
        <w:t>debe</w:t>
      </w:r>
      <w:r w:rsidRPr="003C5DE8">
        <w:rPr>
          <w:rFonts w:ascii="Arial Narrow" w:hAnsi="Arial Narrow" w:cs="Arial"/>
          <w:color w:val="000000" w:themeColor="text1"/>
          <w:sz w:val="26"/>
          <w:szCs w:val="26"/>
          <w:lang w:val="es-CO" w:eastAsia="es-CO"/>
        </w:rPr>
        <w:t xml:space="preserve"> ser practicados por peritos o avaluadores autorizados del Instituto Geográfico Agustín Codazzi, </w:t>
      </w:r>
      <w:r w:rsidR="009A4C18">
        <w:rPr>
          <w:rFonts w:ascii="Arial Narrow" w:hAnsi="Arial Narrow" w:cs="Arial"/>
          <w:color w:val="000000" w:themeColor="text1"/>
          <w:sz w:val="26"/>
          <w:szCs w:val="26"/>
          <w:lang w:val="es-CO" w:eastAsia="es-CO"/>
        </w:rPr>
        <w:t>FONDEJEMPLO</w:t>
      </w:r>
      <w:r w:rsidRPr="003C5DE8">
        <w:rPr>
          <w:rFonts w:ascii="Arial Narrow" w:hAnsi="Arial Narrow" w:cs="Arial"/>
          <w:color w:val="000000" w:themeColor="text1"/>
          <w:sz w:val="26"/>
          <w:szCs w:val="26"/>
          <w:lang w:val="es-CO" w:eastAsia="es-CO"/>
        </w:rPr>
        <w:t xml:space="preserve"> que haga sus veces o las personas naturales o jurídicas de carácter privado registradas en el Registro Abierto de Avaluadores o autorizadas por las lonjas de propiedad raíz del lugar donde se ubiquen los bienes objeto de la valoración. Cuando se trate de bienes muebles, éstos se recibirán por el valor comercial o de realización técnicamente establecido.</w:t>
      </w:r>
      <w:r w:rsidR="00F96725" w:rsidRPr="003C5DE8">
        <w:rPr>
          <w:rFonts w:ascii="Arial Narrow" w:hAnsi="Arial Narrow" w:cs="Arial"/>
          <w:color w:val="000000" w:themeColor="text1"/>
          <w:sz w:val="26"/>
          <w:szCs w:val="26"/>
          <w:lang w:val="es-CO" w:eastAsia="es-CO"/>
        </w:rPr>
        <w:t xml:space="preserve"> </w:t>
      </w:r>
      <w:r w:rsidRPr="003C5DE8">
        <w:rPr>
          <w:rFonts w:ascii="Arial Narrow" w:hAnsi="Arial Narrow" w:cs="Arial"/>
          <w:bCs/>
          <w:color w:val="000000" w:themeColor="text1"/>
          <w:sz w:val="26"/>
          <w:szCs w:val="26"/>
          <w:lang w:val="es-MX"/>
        </w:rPr>
        <w:t xml:space="preserve">Para evaluar el respaldo ofrecido y la posibilidad de realización de cada garantía se deberá tener en cuenta su naturaleza, idoneidad, liquidez, valor y cobertura.  Adicionalmente,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w:t>
      </w:r>
      <w:r w:rsidR="009B3A78" w:rsidRPr="003C5DE8">
        <w:rPr>
          <w:rFonts w:ascii="Arial Narrow" w:hAnsi="Arial Narrow" w:cs="Arial"/>
          <w:bCs/>
          <w:color w:val="000000" w:themeColor="text1"/>
          <w:sz w:val="26"/>
          <w:szCs w:val="26"/>
          <w:lang w:val="es-MX"/>
        </w:rPr>
        <w:t>debe</w:t>
      </w:r>
      <w:r w:rsidRPr="003C5DE8">
        <w:rPr>
          <w:rFonts w:ascii="Arial Narrow" w:hAnsi="Arial Narrow" w:cs="Arial"/>
          <w:bCs/>
          <w:color w:val="000000" w:themeColor="text1"/>
          <w:sz w:val="26"/>
          <w:szCs w:val="26"/>
          <w:lang w:val="es-MX"/>
        </w:rPr>
        <w:t xml:space="preserve"> estimar los potenciales costos de su realización, los requisitos de orden jurídico necesarios para hacerlas exigibles y tener en cuenta las siguientes instrucciones para establecer el valor de la garantía en el momento del otorgamiento y su posterior actualización:</w:t>
      </w:r>
    </w:p>
    <w:p w14:paraId="424E4413" w14:textId="77777777" w:rsidR="0010027E" w:rsidRPr="003C5DE8" w:rsidRDefault="0010027E" w:rsidP="003C5DE8">
      <w:pPr>
        <w:ind w:left="567" w:hanging="567"/>
        <w:jc w:val="both"/>
        <w:rPr>
          <w:rFonts w:ascii="Arial Narrow" w:hAnsi="Arial Narrow" w:cs="Arial"/>
          <w:bCs/>
          <w:color w:val="000000" w:themeColor="text1"/>
          <w:sz w:val="26"/>
          <w:szCs w:val="26"/>
          <w:lang w:val="es-MX"/>
        </w:rPr>
      </w:pPr>
    </w:p>
    <w:p w14:paraId="5A6E7BFC" w14:textId="6308DC96" w:rsidR="0010027E" w:rsidRPr="003C5DE8" w:rsidRDefault="0010027E" w:rsidP="003C5DE8">
      <w:pPr>
        <w:pStyle w:val="Prrafodelista"/>
        <w:widowControl/>
        <w:numPr>
          <w:ilvl w:val="0"/>
          <w:numId w:val="14"/>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El valor de las garantías sobre inmuebles al momento del </w:t>
      </w:r>
      <w:proofErr w:type="gramStart"/>
      <w:r w:rsidRPr="003C5DE8">
        <w:rPr>
          <w:rFonts w:ascii="Arial Narrow" w:hAnsi="Arial Narrow" w:cs="Arial"/>
          <w:bCs/>
          <w:color w:val="000000" w:themeColor="text1"/>
          <w:sz w:val="26"/>
          <w:szCs w:val="26"/>
          <w:lang w:val="es-MX"/>
        </w:rPr>
        <w:t>otorgamiento,</w:t>
      </w:r>
      <w:proofErr w:type="gramEnd"/>
      <w:r w:rsidRPr="003C5DE8">
        <w:rPr>
          <w:rFonts w:ascii="Arial Narrow" w:hAnsi="Arial Narrow" w:cs="Arial"/>
          <w:bCs/>
          <w:color w:val="000000" w:themeColor="text1"/>
          <w:sz w:val="26"/>
          <w:szCs w:val="26"/>
          <w:lang w:val="es-MX"/>
        </w:rPr>
        <w:t xml:space="preserve"> corresponderá al obtenido mediante un avalúo técnico</w:t>
      </w:r>
      <w:r w:rsidRPr="003C5DE8">
        <w:rPr>
          <w:rStyle w:val="Refdenotaalpie"/>
          <w:rFonts w:ascii="Arial Narrow" w:hAnsi="Arial Narrow" w:cs="Arial"/>
          <w:bCs/>
          <w:color w:val="000000" w:themeColor="text1"/>
          <w:sz w:val="26"/>
          <w:szCs w:val="26"/>
          <w:lang w:val="es-MX"/>
        </w:rPr>
        <w:footnoteReference w:id="5"/>
      </w:r>
      <w:r w:rsidR="00F96725" w:rsidRPr="003C5DE8">
        <w:rPr>
          <w:rFonts w:ascii="Arial Narrow" w:hAnsi="Arial Narrow" w:cs="Arial"/>
          <w:bCs/>
          <w:color w:val="000000" w:themeColor="text1"/>
          <w:sz w:val="26"/>
          <w:szCs w:val="26"/>
          <w:lang w:val="es-MX"/>
        </w:rPr>
        <w:t xml:space="preserve">. </w:t>
      </w:r>
      <w:r w:rsidRPr="003C5DE8">
        <w:rPr>
          <w:rFonts w:ascii="Arial Narrow" w:hAnsi="Arial Narrow" w:cs="Arial"/>
          <w:bCs/>
          <w:color w:val="000000" w:themeColor="text1"/>
          <w:sz w:val="26"/>
          <w:szCs w:val="26"/>
          <w:lang w:val="es-MX"/>
        </w:rPr>
        <w:t>Cuando se trate de inmuebles destinados a vivienda, la vigencia del avalúo será máximo de un (1) año. Este valor se deberá actualizar anualmente teniendo en cuenta los siguientes mecanismos:</w:t>
      </w:r>
    </w:p>
    <w:p w14:paraId="5B9751C8"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5ADEA022" w14:textId="6EA4A2EF" w:rsidR="0010027E" w:rsidRPr="003C5DE8" w:rsidRDefault="0010027E" w:rsidP="003C5DE8">
      <w:pPr>
        <w:pStyle w:val="Prrafodelista"/>
        <w:widowControl/>
        <w:numPr>
          <w:ilvl w:val="0"/>
          <w:numId w:val="15"/>
        </w:numPr>
        <w:tabs>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Para inmuebles ubicados en Bogotá D.C, se debe aplicar los valores de reajuste anual del Índice de Valoración Inmobiliaria Urbana y Rural (VIUR) adoptado por la Alcaldía Mayor de Bogotá para la vigencia fiscal y el estrato residencial (si se trata de inmuebles destinados a vivienda) o el tipo de predio (comercial, depósitos, industria, oficinas y otros usos y bodegas) correspondiente. </w:t>
      </w:r>
      <w:r w:rsidRPr="003C5DE8">
        <w:rPr>
          <w:rFonts w:ascii="Arial Narrow" w:hAnsi="Arial Narrow" w:cs="Arial"/>
          <w:bCs/>
          <w:color w:val="000000" w:themeColor="text1"/>
          <w:sz w:val="26"/>
          <w:szCs w:val="26"/>
          <w:lang w:val="es-MX"/>
        </w:rPr>
        <w:tab/>
        <w:t>Esta metodología también se aplicará para actualizar el valor de las garantías constituidas sobre bienes inmuebles no destinados a vivienda.</w:t>
      </w:r>
    </w:p>
    <w:p w14:paraId="29B21317" w14:textId="77777777" w:rsidR="0010027E" w:rsidRPr="003C5DE8" w:rsidRDefault="0010027E" w:rsidP="003C5DE8">
      <w:pPr>
        <w:pStyle w:val="Prrafodelista"/>
        <w:tabs>
          <w:tab w:val="left" w:pos="3932"/>
          <w:tab w:val="center" w:pos="4536"/>
        </w:tabs>
        <w:ind w:left="567" w:hanging="567"/>
        <w:jc w:val="both"/>
        <w:rPr>
          <w:rFonts w:ascii="Arial Narrow" w:hAnsi="Arial Narrow" w:cs="Arial"/>
          <w:bCs/>
          <w:color w:val="000000" w:themeColor="text1"/>
          <w:sz w:val="26"/>
          <w:szCs w:val="26"/>
          <w:lang w:val="es-MX"/>
        </w:rPr>
      </w:pPr>
    </w:p>
    <w:p w14:paraId="45F58619" w14:textId="77777777" w:rsidR="00F96725" w:rsidRPr="003C5DE8" w:rsidRDefault="0010027E" w:rsidP="003C5DE8">
      <w:pPr>
        <w:pStyle w:val="Prrafodelista"/>
        <w:widowControl/>
        <w:numPr>
          <w:ilvl w:val="0"/>
          <w:numId w:val="15"/>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Para inmuebles ubicados fuera de Bogotá D.C, se debe aplicar los valores de reajuste anual del Índice de Valoración Predial (IVP) publicado por el Departamento Administrativo Nacional de Estadística (DANE) para la ciudad respectiva, o en su defecto, los valores de reajuste anual del IVP para el total nacional.</w:t>
      </w:r>
    </w:p>
    <w:p w14:paraId="772643EC" w14:textId="77777777" w:rsidR="00F96725" w:rsidRPr="003C5DE8" w:rsidRDefault="00F96725" w:rsidP="003C5DE8">
      <w:pPr>
        <w:pStyle w:val="Prrafodelista"/>
        <w:rPr>
          <w:rFonts w:ascii="Arial Narrow" w:hAnsi="Arial Narrow" w:cs="Arial"/>
          <w:bCs/>
          <w:color w:val="000000" w:themeColor="text1"/>
          <w:sz w:val="26"/>
          <w:szCs w:val="26"/>
          <w:lang w:val="es-MX"/>
        </w:rPr>
      </w:pPr>
    </w:p>
    <w:p w14:paraId="3CEEF909" w14:textId="6D5DE3B5" w:rsidR="0010027E" w:rsidRPr="003C5DE8" w:rsidRDefault="0010027E" w:rsidP="003C5DE8">
      <w:pPr>
        <w:pStyle w:val="Prrafodelista"/>
        <w:widowControl/>
        <w:numPr>
          <w:ilvl w:val="0"/>
          <w:numId w:val="15"/>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Cuando se trate de inmuebles no destinados a vivienda ubicados fuera de Bogotá D.C., el avalúo técnico inicial tendrá una vigencia máxima de tres (3) años. Al cabo de este período se deberá realizar un nuevo avalúo técnico por lo menos cada tres años para mantener actualizado el valor de la garantía. </w:t>
      </w:r>
    </w:p>
    <w:p w14:paraId="36D4A0FE" w14:textId="77777777" w:rsidR="0010027E" w:rsidRPr="003C5DE8" w:rsidRDefault="0010027E" w:rsidP="003C5DE8">
      <w:pPr>
        <w:pStyle w:val="Prrafodelista"/>
        <w:tabs>
          <w:tab w:val="left" w:pos="3932"/>
          <w:tab w:val="center" w:pos="4536"/>
        </w:tabs>
        <w:ind w:left="567" w:hanging="567"/>
        <w:jc w:val="both"/>
        <w:rPr>
          <w:rFonts w:ascii="Arial Narrow" w:hAnsi="Arial Narrow" w:cs="Arial"/>
          <w:bCs/>
          <w:color w:val="000000" w:themeColor="text1"/>
          <w:sz w:val="26"/>
          <w:szCs w:val="26"/>
          <w:lang w:val="es-MX"/>
        </w:rPr>
      </w:pPr>
    </w:p>
    <w:p w14:paraId="1630F822" w14:textId="2A90BC56" w:rsidR="0010027E" w:rsidRPr="003C5DE8" w:rsidRDefault="0010027E" w:rsidP="003C5DE8">
      <w:pPr>
        <w:pStyle w:val="Prrafodelista"/>
        <w:widowControl/>
        <w:numPr>
          <w:ilvl w:val="0"/>
          <w:numId w:val="14"/>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En el caso de garantías constituidas bienes diferentes a hipotecas o vehículos, se </w:t>
      </w:r>
      <w:r w:rsidR="009B3A78" w:rsidRPr="003C5DE8">
        <w:rPr>
          <w:rFonts w:ascii="Arial Narrow" w:hAnsi="Arial Narrow" w:cs="Arial"/>
          <w:bCs/>
          <w:color w:val="000000" w:themeColor="text1"/>
          <w:sz w:val="26"/>
          <w:szCs w:val="26"/>
          <w:lang w:val="es-MX"/>
        </w:rPr>
        <w:t>debe</w:t>
      </w:r>
      <w:r w:rsidRPr="003C5DE8">
        <w:rPr>
          <w:rFonts w:ascii="Arial Narrow" w:hAnsi="Arial Narrow" w:cs="Arial"/>
          <w:bCs/>
          <w:color w:val="000000" w:themeColor="text1"/>
          <w:sz w:val="26"/>
          <w:szCs w:val="26"/>
          <w:lang w:val="es-MX"/>
        </w:rPr>
        <w:t xml:space="preserve"> atender las instrucciones establecidas a continuación, según corresponda:</w:t>
      </w:r>
    </w:p>
    <w:p w14:paraId="6FABEB3E" w14:textId="77777777" w:rsidR="0010027E" w:rsidRPr="003C5DE8" w:rsidRDefault="0010027E" w:rsidP="003C5DE8">
      <w:pPr>
        <w:pStyle w:val="Prrafodelista"/>
        <w:tabs>
          <w:tab w:val="left" w:pos="3932"/>
          <w:tab w:val="center" w:pos="4536"/>
        </w:tabs>
        <w:ind w:left="567" w:hanging="567"/>
        <w:jc w:val="both"/>
        <w:rPr>
          <w:rFonts w:ascii="Arial Narrow" w:hAnsi="Arial Narrow" w:cs="Arial"/>
          <w:bCs/>
          <w:color w:val="000000" w:themeColor="text1"/>
          <w:sz w:val="26"/>
          <w:szCs w:val="26"/>
          <w:lang w:val="es-MX"/>
        </w:rPr>
      </w:pPr>
    </w:p>
    <w:p w14:paraId="316CA0E3" w14:textId="42A93C37" w:rsidR="0010027E" w:rsidRPr="003C5DE8" w:rsidRDefault="0010027E" w:rsidP="003C5DE8">
      <w:pPr>
        <w:pStyle w:val="Prrafodelista"/>
        <w:widowControl/>
        <w:numPr>
          <w:ilvl w:val="0"/>
          <w:numId w:val="20"/>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Bienes nuevos o con una antigüedad menor a un año: </w:t>
      </w:r>
      <w:r w:rsidR="009A4C18">
        <w:rPr>
          <w:rFonts w:ascii="Arial Narrow" w:hAnsi="Arial Narrow" w:cs="Arial"/>
          <w:bCs/>
          <w:color w:val="000000" w:themeColor="text1"/>
          <w:sz w:val="26"/>
          <w:szCs w:val="26"/>
          <w:lang w:val="es-MX"/>
        </w:rPr>
        <w:t>FONDEJEMPLO</w:t>
      </w:r>
      <w:r w:rsidRPr="003C5DE8">
        <w:rPr>
          <w:rFonts w:ascii="Arial Narrow" w:hAnsi="Arial Narrow" w:cs="Arial"/>
          <w:color w:val="000000" w:themeColor="text1"/>
          <w:sz w:val="26"/>
          <w:szCs w:val="26"/>
          <w:lang w:val="es-CO"/>
        </w:rPr>
        <w:t xml:space="preserve"> </w:t>
      </w:r>
      <w:r w:rsidRPr="003C5DE8">
        <w:rPr>
          <w:rFonts w:ascii="Arial Narrow" w:hAnsi="Arial Narrow" w:cs="Arial"/>
          <w:bCs/>
          <w:color w:val="000000" w:themeColor="text1"/>
          <w:sz w:val="26"/>
          <w:szCs w:val="26"/>
          <w:lang w:val="es-MX"/>
        </w:rPr>
        <w:t xml:space="preserve">debe utilizar como valor de la garantía al momento del otorgamiento, el valor de compra registrado en la factura correspondiente; este valor será válido por un (1) año. Al cabo de este periodo se debe actualizar anualmente su valor, aplicando la metodología de depreciación en línea recta y acorde con la vida útil del respectivo bien. </w:t>
      </w:r>
    </w:p>
    <w:p w14:paraId="3B05191C" w14:textId="1EF8C623" w:rsidR="00F96725" w:rsidRPr="003C5DE8" w:rsidRDefault="0010027E" w:rsidP="003C5DE8">
      <w:pPr>
        <w:pStyle w:val="Prrafodelista"/>
        <w:widowControl/>
        <w:numPr>
          <w:ilvl w:val="0"/>
          <w:numId w:val="20"/>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Bienes con una antigüedad mayor a un año: </w:t>
      </w:r>
      <w:r w:rsidR="009A4C18">
        <w:rPr>
          <w:rFonts w:ascii="Arial Narrow" w:hAnsi="Arial Narrow" w:cs="Arial"/>
          <w:bCs/>
          <w:color w:val="000000" w:themeColor="text1"/>
          <w:sz w:val="26"/>
          <w:szCs w:val="26"/>
          <w:lang w:val="es-MX"/>
        </w:rPr>
        <w:t>FONDEJEMPLO</w:t>
      </w:r>
      <w:r w:rsidRPr="003C5DE8">
        <w:rPr>
          <w:rFonts w:ascii="Arial Narrow" w:hAnsi="Arial Narrow" w:cs="Arial"/>
          <w:color w:val="000000" w:themeColor="text1"/>
          <w:sz w:val="26"/>
          <w:szCs w:val="26"/>
          <w:lang w:val="es-CO"/>
        </w:rPr>
        <w:t xml:space="preserve"> </w:t>
      </w:r>
      <w:r w:rsidRPr="003C5DE8">
        <w:rPr>
          <w:rFonts w:ascii="Arial Narrow" w:hAnsi="Arial Narrow" w:cs="Arial"/>
          <w:bCs/>
          <w:color w:val="000000" w:themeColor="text1"/>
          <w:sz w:val="26"/>
          <w:szCs w:val="26"/>
          <w:lang w:val="es-MX"/>
        </w:rPr>
        <w:t xml:space="preserve">debe utilizar como valor de la garantía al momento del otorgamiento, el obtenido en un avalúo técnico, este valor será válido por un (1) año. Al cabo de este periodo se debe actualizar anualmente su valor, aplicando la metodología de depreciación en línea recta y acorde con la vida útil del respectivo bien. </w:t>
      </w:r>
    </w:p>
    <w:p w14:paraId="4C8A033D" w14:textId="77777777" w:rsidR="00F96725" w:rsidRPr="003C5DE8" w:rsidRDefault="0010027E" w:rsidP="003C5DE8">
      <w:pPr>
        <w:pStyle w:val="Prrafodelista"/>
        <w:widowControl/>
        <w:numPr>
          <w:ilvl w:val="0"/>
          <w:numId w:val="20"/>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En el caso en que el bien sea objeto de una modificación o una repotenciación que incremente su vida útil, se debe realizar un nuevo avalúo técnico para ajustar el valor de la garantía, este valor será válido por un (1) año. Al cabo de este periodo se debe actualizar anualmente su valor, con base en la metodología de depreciación en línea recta y conforme a la vida útil del respectivo bien.</w:t>
      </w:r>
    </w:p>
    <w:p w14:paraId="2983AE9C" w14:textId="51AFF655" w:rsidR="0010027E" w:rsidRPr="003C5DE8" w:rsidRDefault="0010027E" w:rsidP="003C5DE8">
      <w:pPr>
        <w:pStyle w:val="Prrafodelista"/>
        <w:widowControl/>
        <w:numPr>
          <w:ilvl w:val="0"/>
          <w:numId w:val="20"/>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Sin perjuicio de lo anterior, a juicio de </w:t>
      </w:r>
      <w:r w:rsidR="009A4C18">
        <w:rPr>
          <w:rFonts w:ascii="Arial Narrow" w:hAnsi="Arial Narrow" w:cs="Arial"/>
          <w:bCs/>
          <w:color w:val="000000" w:themeColor="text1"/>
          <w:sz w:val="26"/>
          <w:szCs w:val="26"/>
          <w:lang w:val="es-MX"/>
        </w:rPr>
        <w:t>FONDEJEMPLO</w:t>
      </w:r>
      <w:r w:rsidRPr="003C5DE8">
        <w:rPr>
          <w:rFonts w:ascii="Arial Narrow" w:hAnsi="Arial Narrow" w:cs="Arial"/>
          <w:color w:val="000000" w:themeColor="text1"/>
          <w:sz w:val="26"/>
          <w:szCs w:val="26"/>
          <w:lang w:val="es-CO"/>
        </w:rPr>
        <w:t xml:space="preserve"> </w:t>
      </w:r>
      <w:r w:rsidRPr="003C5DE8">
        <w:rPr>
          <w:rFonts w:ascii="Arial Narrow" w:hAnsi="Arial Narrow" w:cs="Arial"/>
          <w:bCs/>
          <w:color w:val="000000" w:themeColor="text1"/>
          <w:sz w:val="26"/>
          <w:szCs w:val="26"/>
          <w:lang w:val="es-MX"/>
        </w:rPr>
        <w:t>se pueden realizar avalúos técnicos de los bienes que trata el presente numeral, a efectos de valorar las garantías. Este avalúo será válido por un (1) año. Al cabo de este periodo se debe actualizar anualmente su valor con base en la metodología de depreciación en línea recta y conforme a la vida útil del respectivo bien.</w:t>
      </w:r>
    </w:p>
    <w:p w14:paraId="3BCE6C17" w14:textId="77777777" w:rsidR="0010027E" w:rsidRPr="003C5DE8" w:rsidRDefault="0010027E" w:rsidP="003C5DE8">
      <w:pPr>
        <w:pStyle w:val="Prrafodelista"/>
        <w:tabs>
          <w:tab w:val="left" w:pos="3932"/>
          <w:tab w:val="center" w:pos="4536"/>
        </w:tabs>
        <w:ind w:left="567" w:hanging="567"/>
        <w:jc w:val="both"/>
        <w:rPr>
          <w:rFonts w:ascii="Arial Narrow" w:hAnsi="Arial Narrow" w:cs="Arial"/>
          <w:bCs/>
          <w:color w:val="000000" w:themeColor="text1"/>
          <w:sz w:val="26"/>
          <w:szCs w:val="26"/>
          <w:lang w:val="es-MX"/>
        </w:rPr>
      </w:pPr>
    </w:p>
    <w:p w14:paraId="79158AE4" w14:textId="77777777" w:rsidR="0010027E" w:rsidRPr="003C5DE8" w:rsidRDefault="0010027E" w:rsidP="003C5DE8">
      <w:pPr>
        <w:pStyle w:val="Prrafodelista"/>
        <w:widowControl/>
        <w:numPr>
          <w:ilvl w:val="0"/>
          <w:numId w:val="14"/>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En el caso de garantías constituidas sobre vehículos, su valor se determinará teniendo en cuenta los siguientes parámetros:</w:t>
      </w:r>
    </w:p>
    <w:p w14:paraId="4A7E332E" w14:textId="77777777" w:rsidR="0010027E" w:rsidRPr="003C5DE8" w:rsidRDefault="0010027E" w:rsidP="003C5DE8">
      <w:pPr>
        <w:pStyle w:val="Prrafodelista"/>
        <w:tabs>
          <w:tab w:val="left" w:pos="3932"/>
          <w:tab w:val="center" w:pos="4536"/>
        </w:tabs>
        <w:ind w:left="567" w:hanging="567"/>
        <w:contextualSpacing/>
        <w:jc w:val="both"/>
        <w:rPr>
          <w:rFonts w:ascii="Arial Narrow" w:hAnsi="Arial Narrow" w:cs="Arial"/>
          <w:bCs/>
          <w:color w:val="000000" w:themeColor="text1"/>
          <w:sz w:val="26"/>
          <w:szCs w:val="26"/>
          <w:lang w:val="es-MX"/>
        </w:rPr>
      </w:pPr>
    </w:p>
    <w:p w14:paraId="3F1FBA95" w14:textId="56024291" w:rsidR="0010027E" w:rsidRPr="003C5DE8" w:rsidRDefault="0010027E" w:rsidP="003C5DE8">
      <w:pPr>
        <w:pStyle w:val="Prrafodelista"/>
        <w:widowControl/>
        <w:numPr>
          <w:ilvl w:val="0"/>
          <w:numId w:val="15"/>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Cuando se trate de vehículos clasificados en la Guía de Valores de </w:t>
      </w:r>
      <w:proofErr w:type="spellStart"/>
      <w:r w:rsidRPr="003C5DE8">
        <w:rPr>
          <w:rFonts w:ascii="Arial Narrow" w:hAnsi="Arial Narrow" w:cs="Arial"/>
          <w:bCs/>
          <w:color w:val="000000" w:themeColor="text1"/>
          <w:sz w:val="26"/>
          <w:szCs w:val="26"/>
          <w:lang w:val="es-MX"/>
        </w:rPr>
        <w:t>Fasecolda</w:t>
      </w:r>
      <w:proofErr w:type="spellEnd"/>
      <w:r w:rsidRPr="003C5DE8">
        <w:rPr>
          <w:rFonts w:ascii="Arial Narrow" w:hAnsi="Arial Narrow" w:cs="Arial"/>
          <w:bCs/>
          <w:color w:val="000000" w:themeColor="text1"/>
          <w:sz w:val="26"/>
          <w:szCs w:val="26"/>
          <w:lang w:val="es-MX"/>
        </w:rPr>
        <w:t xml:space="preserve">, el valor al momento del otorgamiento y las actualizaciones mensuales </w:t>
      </w:r>
      <w:proofErr w:type="gramStart"/>
      <w:r w:rsidRPr="003C5DE8">
        <w:rPr>
          <w:rFonts w:ascii="Arial Narrow" w:hAnsi="Arial Narrow" w:cs="Arial"/>
          <w:bCs/>
          <w:color w:val="000000" w:themeColor="text1"/>
          <w:sz w:val="26"/>
          <w:szCs w:val="26"/>
          <w:lang w:val="es-MX"/>
        </w:rPr>
        <w:t>posteriores,</w:t>
      </w:r>
      <w:proofErr w:type="gramEnd"/>
      <w:r w:rsidRPr="003C5DE8">
        <w:rPr>
          <w:rFonts w:ascii="Arial Narrow" w:hAnsi="Arial Narrow" w:cs="Arial"/>
          <w:bCs/>
          <w:color w:val="000000" w:themeColor="text1"/>
          <w:sz w:val="26"/>
          <w:szCs w:val="26"/>
          <w:lang w:val="es-MX"/>
        </w:rPr>
        <w:t xml:space="preserve"> corresponderá al valor publicado en dicha guía.</w:t>
      </w:r>
      <w:r w:rsidR="00F96725" w:rsidRPr="003C5DE8">
        <w:rPr>
          <w:rFonts w:ascii="Arial Narrow" w:hAnsi="Arial Narrow" w:cs="Arial"/>
          <w:bCs/>
          <w:color w:val="000000" w:themeColor="text1"/>
          <w:sz w:val="26"/>
          <w:szCs w:val="26"/>
          <w:lang w:val="es-MX"/>
        </w:rPr>
        <w:t xml:space="preserve"> </w:t>
      </w:r>
      <w:r w:rsidRPr="003C5DE8">
        <w:rPr>
          <w:rFonts w:ascii="Arial Narrow" w:hAnsi="Arial Narrow" w:cs="Arial"/>
          <w:bCs/>
          <w:color w:val="000000" w:themeColor="text1"/>
          <w:sz w:val="26"/>
          <w:szCs w:val="26"/>
          <w:lang w:val="es-MX"/>
        </w:rPr>
        <w:t xml:space="preserve">Si se trata de vehículos No clasificados en la Guía de Valores de </w:t>
      </w:r>
      <w:proofErr w:type="spellStart"/>
      <w:r w:rsidRPr="003C5DE8">
        <w:rPr>
          <w:rFonts w:ascii="Arial Narrow" w:hAnsi="Arial Narrow" w:cs="Arial"/>
          <w:bCs/>
          <w:color w:val="000000" w:themeColor="text1"/>
          <w:sz w:val="26"/>
          <w:szCs w:val="26"/>
          <w:lang w:val="es-MX"/>
        </w:rPr>
        <w:t>Fasecolda</w:t>
      </w:r>
      <w:proofErr w:type="spellEnd"/>
      <w:r w:rsidRPr="003C5DE8">
        <w:rPr>
          <w:rFonts w:ascii="Arial Narrow" w:hAnsi="Arial Narrow" w:cs="Arial"/>
          <w:bCs/>
          <w:color w:val="000000" w:themeColor="text1"/>
          <w:sz w:val="26"/>
          <w:szCs w:val="26"/>
          <w:lang w:val="es-MX"/>
        </w:rPr>
        <w:t xml:space="preserve">,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podrá utilizar la información de avalúos comerciales publicada por el Ministerio de Transporte.</w:t>
      </w:r>
    </w:p>
    <w:p w14:paraId="73BCA96D" w14:textId="77777777" w:rsidR="0010027E" w:rsidRPr="003C5DE8" w:rsidRDefault="0010027E" w:rsidP="003C5DE8">
      <w:pPr>
        <w:pStyle w:val="Prrafodelista"/>
        <w:widowControl/>
        <w:numPr>
          <w:ilvl w:val="0"/>
          <w:numId w:val="15"/>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Si se trata de vehículos NO incluidos en ninguna de las publicaciones anteriores, el valor inicial de la garantía podrá ser el registrado en la factura de venta correspondiente y será válido por tres (3) meses y deberá actualizarse de acuerdo con los valores contenidos en la Guía de Valores de </w:t>
      </w:r>
      <w:proofErr w:type="spellStart"/>
      <w:r w:rsidRPr="003C5DE8">
        <w:rPr>
          <w:rFonts w:ascii="Arial Narrow" w:hAnsi="Arial Narrow" w:cs="Arial"/>
          <w:bCs/>
          <w:color w:val="000000" w:themeColor="text1"/>
          <w:sz w:val="26"/>
          <w:szCs w:val="26"/>
          <w:lang w:val="es-MX"/>
        </w:rPr>
        <w:t>Fasecolda</w:t>
      </w:r>
      <w:proofErr w:type="spellEnd"/>
      <w:r w:rsidRPr="003C5DE8">
        <w:rPr>
          <w:rFonts w:ascii="Arial Narrow" w:hAnsi="Arial Narrow" w:cs="Arial"/>
          <w:bCs/>
          <w:color w:val="000000" w:themeColor="text1"/>
          <w:sz w:val="26"/>
          <w:szCs w:val="26"/>
          <w:lang w:val="es-MX"/>
        </w:rPr>
        <w:t xml:space="preserve"> o en la información de avalúos comerciales publicada por el Ministerio de Transporte.</w:t>
      </w:r>
    </w:p>
    <w:p w14:paraId="27BC9E8E" w14:textId="77777777" w:rsidR="0010027E" w:rsidRPr="003C5DE8" w:rsidRDefault="0010027E" w:rsidP="003C5DE8">
      <w:pPr>
        <w:pStyle w:val="Prrafodelista"/>
        <w:tabs>
          <w:tab w:val="left" w:pos="3932"/>
          <w:tab w:val="center" w:pos="4536"/>
        </w:tabs>
        <w:ind w:left="567" w:hanging="567"/>
        <w:jc w:val="both"/>
        <w:rPr>
          <w:rFonts w:ascii="Arial Narrow" w:hAnsi="Arial Narrow" w:cs="Arial"/>
          <w:bCs/>
          <w:color w:val="000000" w:themeColor="text1"/>
          <w:sz w:val="26"/>
          <w:szCs w:val="26"/>
          <w:lang w:val="es-MX"/>
        </w:rPr>
      </w:pPr>
    </w:p>
    <w:p w14:paraId="59335FCA" w14:textId="77777777" w:rsidR="0010027E" w:rsidRPr="003C5DE8" w:rsidRDefault="0010027E" w:rsidP="003C5DE8">
      <w:pPr>
        <w:pStyle w:val="Prrafodelista"/>
        <w:tabs>
          <w:tab w:val="left" w:pos="3932"/>
          <w:tab w:val="center" w:pos="4536"/>
        </w:tabs>
        <w:ind w:left="567" w:hanging="567"/>
        <w:jc w:val="both"/>
        <w:rPr>
          <w:rFonts w:ascii="Arial Narrow" w:hAnsi="Arial Narrow" w:cs="Arial"/>
          <w:bCs/>
          <w:color w:val="000000" w:themeColor="text1"/>
          <w:sz w:val="26"/>
          <w:szCs w:val="26"/>
          <w:lang w:val="es-MX"/>
        </w:rPr>
      </w:pPr>
    </w:p>
    <w:p w14:paraId="22EEC0F2" w14:textId="4282C500" w:rsidR="0010027E" w:rsidRPr="003C5DE8" w:rsidRDefault="0010027E" w:rsidP="003C5DE8">
      <w:pPr>
        <w:pStyle w:val="Prrafodelista"/>
        <w:widowControl/>
        <w:numPr>
          <w:ilvl w:val="0"/>
          <w:numId w:val="14"/>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En el caso de garantías constituidas sobre títulos o valores en los términos del artículo 2 de la Ley 964 de 2005, el valor deberá determinarse de conformidad con lo dispuesto por un proveedor de precios para valoración autorizado por la Superintendencia Financiera de Colombia.</w:t>
      </w:r>
    </w:p>
    <w:p w14:paraId="3C6CC15B" w14:textId="77777777" w:rsidR="0010027E" w:rsidRPr="003C5DE8" w:rsidRDefault="0010027E" w:rsidP="003C5DE8">
      <w:pPr>
        <w:pStyle w:val="Prrafodelista"/>
        <w:ind w:left="567" w:hanging="567"/>
        <w:jc w:val="both"/>
        <w:rPr>
          <w:rFonts w:ascii="Arial Narrow" w:hAnsi="Arial Narrow" w:cs="Arial"/>
          <w:bCs/>
          <w:color w:val="000000" w:themeColor="text1"/>
          <w:sz w:val="26"/>
          <w:szCs w:val="26"/>
          <w:lang w:val="es-MX"/>
        </w:rPr>
      </w:pPr>
    </w:p>
    <w:p w14:paraId="1CC661DA" w14:textId="2A3AA90C" w:rsidR="0010027E" w:rsidRPr="003C5DE8" w:rsidRDefault="0010027E" w:rsidP="003C5DE8">
      <w:pPr>
        <w:pStyle w:val="Prrafodelista"/>
        <w:widowControl/>
        <w:numPr>
          <w:ilvl w:val="0"/>
          <w:numId w:val="14"/>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lastRenderedPageBreak/>
        <w:t xml:space="preserve">Para las garantías que no se encuentren incluidas en los numerales anteriores,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debe utilizar como valor de la garantía al momento del otorgamiento, el obtenido mediante un avalúo técnico. Este valor será válido por un año y al cabo de este período se deberá actualizar anualmente con criterios técnicos, dependiendo de las características propias de cada bien conforme a la metodología que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determine para tal efecto. Dicha metodología deberá estar a disposición de la Superintendencia cuando ésta la solicite.</w:t>
      </w:r>
      <w:r w:rsidR="003F5DF1" w:rsidRPr="003C5DE8">
        <w:rPr>
          <w:rFonts w:ascii="Arial Narrow" w:hAnsi="Arial Narrow" w:cs="Arial"/>
          <w:bCs/>
          <w:color w:val="000000" w:themeColor="text1"/>
          <w:sz w:val="26"/>
          <w:szCs w:val="26"/>
          <w:lang w:val="es-MX"/>
        </w:rPr>
        <w:t xml:space="preserve"> </w:t>
      </w:r>
      <w:r w:rsidRPr="003C5DE8">
        <w:rPr>
          <w:rFonts w:ascii="Arial Narrow" w:hAnsi="Arial Narrow" w:cs="Arial"/>
          <w:bCs/>
          <w:color w:val="000000" w:themeColor="text1"/>
          <w:sz w:val="26"/>
          <w:szCs w:val="26"/>
          <w:lang w:val="es-MX"/>
        </w:rPr>
        <w:t>Es pertinente señalar que las libranzas son un mecanismo de pago y no constituyen una garantía por cuanto no cumplen con las características propias de una garantía admisible señaladas en la normatividad vigente.</w:t>
      </w:r>
    </w:p>
    <w:p w14:paraId="01A49B86" w14:textId="77777777" w:rsidR="0010027E" w:rsidRPr="003C5DE8" w:rsidRDefault="0010027E" w:rsidP="003C5DE8">
      <w:pPr>
        <w:ind w:left="567" w:hanging="567"/>
        <w:jc w:val="both"/>
        <w:rPr>
          <w:rFonts w:ascii="Arial Narrow" w:hAnsi="Arial Narrow" w:cs="Arial"/>
          <w:bCs/>
          <w:color w:val="000000" w:themeColor="text1"/>
          <w:sz w:val="26"/>
          <w:szCs w:val="26"/>
          <w:lang w:val="es-MX"/>
        </w:rPr>
      </w:pPr>
    </w:p>
    <w:p w14:paraId="22EF276B" w14:textId="26971AF7" w:rsidR="0010027E" w:rsidRPr="003C5DE8" w:rsidRDefault="009A4C18" w:rsidP="003C5DE8">
      <w:pPr>
        <w:pStyle w:val="Prrafodelista"/>
        <w:widowControl/>
        <w:numPr>
          <w:ilvl w:val="0"/>
          <w:numId w:val="14"/>
        </w:numPr>
        <w:autoSpaceDE/>
        <w:autoSpaceDN/>
        <w:ind w:left="567" w:hanging="567"/>
        <w:contextualSpacing/>
        <w:jc w:val="both"/>
        <w:rPr>
          <w:rFonts w:ascii="Arial Narrow" w:hAnsi="Arial Narrow" w:cs="Arial"/>
          <w:bCs/>
          <w:color w:val="000000" w:themeColor="text1"/>
          <w:sz w:val="26"/>
          <w:szCs w:val="26"/>
          <w:lang w:val="es-MX"/>
        </w:rPr>
      </w:pPr>
      <w:r>
        <w:rPr>
          <w:rFonts w:ascii="Arial Narrow" w:hAnsi="Arial Narrow" w:cs="Arial"/>
          <w:bCs/>
          <w:color w:val="000000" w:themeColor="text1"/>
          <w:sz w:val="26"/>
          <w:szCs w:val="26"/>
          <w:lang w:val="es-MX"/>
        </w:rPr>
        <w:t>FONDEJEMPLO</w:t>
      </w:r>
      <w:r w:rsidR="0010027E" w:rsidRPr="003C5DE8">
        <w:rPr>
          <w:rFonts w:ascii="Arial Narrow" w:hAnsi="Arial Narrow" w:cs="Arial"/>
          <w:bCs/>
          <w:color w:val="000000" w:themeColor="text1"/>
          <w:sz w:val="26"/>
          <w:szCs w:val="26"/>
          <w:lang w:val="es-MX"/>
        </w:rPr>
        <w:t xml:space="preserve"> tendrán la facultad de no realizar un nuevo avalúo en los casos que se exige para actualizar el valor técnico de la garantía, cuando se presenten las siguientes circunstancias:</w:t>
      </w:r>
    </w:p>
    <w:p w14:paraId="4BC7EF24" w14:textId="77777777" w:rsidR="0010027E" w:rsidRPr="003C5DE8" w:rsidRDefault="0010027E" w:rsidP="003C5DE8">
      <w:pPr>
        <w:pStyle w:val="Prrafodelista"/>
        <w:tabs>
          <w:tab w:val="left" w:pos="3932"/>
          <w:tab w:val="center" w:pos="4536"/>
        </w:tabs>
        <w:ind w:left="567" w:hanging="567"/>
        <w:jc w:val="both"/>
        <w:rPr>
          <w:rFonts w:ascii="Arial Narrow" w:hAnsi="Arial Narrow" w:cs="Arial"/>
          <w:bCs/>
          <w:color w:val="000000" w:themeColor="text1"/>
          <w:sz w:val="26"/>
          <w:szCs w:val="26"/>
          <w:lang w:val="es-MX"/>
        </w:rPr>
      </w:pPr>
    </w:p>
    <w:p w14:paraId="502E110E" w14:textId="77777777" w:rsidR="0010027E" w:rsidRPr="003C5DE8" w:rsidRDefault="0010027E" w:rsidP="003C5DE8">
      <w:pPr>
        <w:pStyle w:val="Prrafodelista"/>
        <w:widowControl/>
        <w:numPr>
          <w:ilvl w:val="0"/>
          <w:numId w:val="16"/>
        </w:numPr>
        <w:tabs>
          <w:tab w:val="left" w:pos="3932"/>
          <w:tab w:val="center" w:pos="4536"/>
        </w:tabs>
        <w:autoSpaceDE/>
        <w:autoSpaceDN/>
        <w:ind w:left="851" w:hanging="284"/>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El plazo del crédito o créditos respaldados con la respectiva garantía no supera los tres (3) años y el valor de la misma supera al menos en dos (2) veces el total del saldo pendiente de pago del crédito o créditos garantizados.</w:t>
      </w:r>
    </w:p>
    <w:p w14:paraId="4E64EBB5" w14:textId="77777777" w:rsidR="0010027E" w:rsidRPr="003C5DE8" w:rsidRDefault="0010027E" w:rsidP="003C5DE8">
      <w:pPr>
        <w:pStyle w:val="Prrafodelista"/>
        <w:widowControl/>
        <w:numPr>
          <w:ilvl w:val="0"/>
          <w:numId w:val="16"/>
        </w:numPr>
        <w:tabs>
          <w:tab w:val="left" w:pos="3932"/>
          <w:tab w:val="center" w:pos="4536"/>
        </w:tabs>
        <w:autoSpaceDE/>
        <w:autoSpaceDN/>
        <w:ind w:left="851" w:hanging="284"/>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El plazo para finalizar el pago del crédito o créditos garantizados es igual o inferior a un año.</w:t>
      </w:r>
    </w:p>
    <w:p w14:paraId="4C26A7B5" w14:textId="77777777" w:rsidR="0010027E" w:rsidRPr="003C5DE8" w:rsidRDefault="0010027E" w:rsidP="003C5DE8">
      <w:pPr>
        <w:pStyle w:val="Prrafodelista"/>
        <w:widowControl/>
        <w:numPr>
          <w:ilvl w:val="0"/>
          <w:numId w:val="16"/>
        </w:numPr>
        <w:tabs>
          <w:tab w:val="left" w:pos="3932"/>
          <w:tab w:val="center" w:pos="4536"/>
        </w:tabs>
        <w:autoSpaceDE/>
        <w:autoSpaceDN/>
        <w:ind w:left="851" w:hanging="284"/>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El costo del avalúo supera el 10% del valor del saldo de crédito o créditos garantizados.</w:t>
      </w:r>
    </w:p>
    <w:p w14:paraId="5C247652" w14:textId="77777777" w:rsidR="003F5DF1" w:rsidRPr="003C5DE8" w:rsidRDefault="0010027E" w:rsidP="003C5DE8">
      <w:pPr>
        <w:pStyle w:val="Prrafodelista"/>
        <w:widowControl/>
        <w:numPr>
          <w:ilvl w:val="0"/>
          <w:numId w:val="16"/>
        </w:numPr>
        <w:tabs>
          <w:tab w:val="left" w:pos="3932"/>
          <w:tab w:val="center" w:pos="4536"/>
        </w:tabs>
        <w:autoSpaceDE/>
        <w:autoSpaceDN/>
        <w:ind w:left="851" w:hanging="284"/>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El crédito garantizado se encuentra deteriorado en un 100%.</w:t>
      </w:r>
    </w:p>
    <w:p w14:paraId="7530DC6F" w14:textId="202ED064" w:rsidR="003F5DF1" w:rsidRPr="003C5DE8" w:rsidRDefault="0010027E" w:rsidP="003C5DE8">
      <w:pPr>
        <w:pStyle w:val="Prrafodelista"/>
        <w:widowControl/>
        <w:numPr>
          <w:ilvl w:val="0"/>
          <w:numId w:val="16"/>
        </w:numPr>
        <w:tabs>
          <w:tab w:val="left" w:pos="3932"/>
          <w:tab w:val="center" w:pos="4536"/>
        </w:tabs>
        <w:autoSpaceDE/>
        <w:autoSpaceDN/>
        <w:ind w:left="851" w:hanging="284"/>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Cuando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haga uso de esta facultad, deberá justificar en cada caso las razones de su decisión, teniendo en cuenta los criterios de evaluación del riesgo. La justificación deberá estar disponible cuando la Superintendencia la solicite.</w:t>
      </w:r>
    </w:p>
    <w:p w14:paraId="66C721B1" w14:textId="1709768B" w:rsidR="003F5DF1" w:rsidRPr="003C5DE8" w:rsidRDefault="0010027E" w:rsidP="003C5DE8">
      <w:pPr>
        <w:pStyle w:val="Prrafodelista"/>
        <w:widowControl/>
        <w:numPr>
          <w:ilvl w:val="0"/>
          <w:numId w:val="16"/>
        </w:numPr>
        <w:tabs>
          <w:tab w:val="left" w:pos="3932"/>
          <w:tab w:val="center" w:pos="4536"/>
        </w:tabs>
        <w:autoSpaceDE/>
        <w:autoSpaceDN/>
        <w:ind w:left="851" w:hanging="284"/>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En todo caso,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w:t>
      </w:r>
      <w:r w:rsidR="002140BF" w:rsidRPr="003C5DE8">
        <w:rPr>
          <w:rFonts w:ascii="Arial Narrow" w:hAnsi="Arial Narrow" w:cs="Arial"/>
          <w:bCs/>
          <w:color w:val="000000" w:themeColor="text1"/>
          <w:sz w:val="26"/>
          <w:szCs w:val="26"/>
          <w:lang w:val="es-MX"/>
        </w:rPr>
        <w:t>deberá</w:t>
      </w:r>
      <w:r w:rsidRPr="003C5DE8">
        <w:rPr>
          <w:rFonts w:ascii="Arial Narrow" w:hAnsi="Arial Narrow" w:cs="Arial"/>
          <w:bCs/>
          <w:color w:val="000000" w:themeColor="text1"/>
          <w:sz w:val="26"/>
          <w:szCs w:val="26"/>
          <w:lang w:val="es-MX"/>
        </w:rPr>
        <w:t xml:space="preserve"> evaluar la idoneidad de las garantías y actualizar su valor de manera inmediata, cuando las obligaciones que respaldan adquieran una calificación de riesgo “D”, con excepción de los casos en que la actualización se haya realizado en el año inmediatamente anterior a la fecha de dicha calificación.</w:t>
      </w:r>
    </w:p>
    <w:p w14:paraId="2CB885C9" w14:textId="7E96CCB8" w:rsidR="0010027E" w:rsidRPr="003C5DE8" w:rsidRDefault="0010027E" w:rsidP="003C5DE8">
      <w:pPr>
        <w:pStyle w:val="Prrafodelista"/>
        <w:widowControl/>
        <w:numPr>
          <w:ilvl w:val="0"/>
          <w:numId w:val="16"/>
        </w:numPr>
        <w:tabs>
          <w:tab w:val="left" w:pos="3932"/>
          <w:tab w:val="center" w:pos="4536"/>
        </w:tabs>
        <w:autoSpaceDE/>
        <w:autoSpaceDN/>
        <w:ind w:left="851" w:hanging="284"/>
        <w:contextualSpacing/>
        <w:jc w:val="both"/>
        <w:rPr>
          <w:rFonts w:ascii="Arial Narrow" w:hAnsi="Arial Narrow" w:cs="Arial"/>
          <w:bCs/>
          <w:color w:val="000000" w:themeColor="text1"/>
          <w:sz w:val="26"/>
          <w:szCs w:val="26"/>
          <w:lang w:val="es-MX"/>
        </w:rPr>
      </w:pPr>
      <w:r w:rsidRPr="003C5DE8">
        <w:rPr>
          <w:rFonts w:ascii="Arial Narrow" w:hAnsi="Arial Narrow" w:cs="Arial"/>
          <w:color w:val="000000" w:themeColor="text1"/>
          <w:sz w:val="26"/>
          <w:szCs w:val="26"/>
          <w:lang w:val="es-CO" w:eastAsia="ar-SA"/>
        </w:rPr>
        <w:t xml:space="preserve">Cuando se otorguen créditos amparados con aportes sociales, estas operaciones solo podrán ser registradas como garantía admisible cuando el valor de los aportes sociales del respectivo deudor sea igual o superior en un cien por ciento (100%) al saldo de la totalidad de sus créditos; en caso contrario, </w:t>
      </w:r>
      <w:r w:rsidR="00053498" w:rsidRPr="003C5DE8">
        <w:rPr>
          <w:rFonts w:ascii="Arial Narrow" w:hAnsi="Arial Narrow" w:cs="Arial"/>
          <w:color w:val="000000" w:themeColor="text1"/>
          <w:sz w:val="26"/>
          <w:szCs w:val="26"/>
          <w:lang w:val="es-CO" w:eastAsia="ar-SA"/>
        </w:rPr>
        <w:t>dichas operaciones deberán</w:t>
      </w:r>
      <w:r w:rsidRPr="003C5DE8">
        <w:rPr>
          <w:rFonts w:ascii="Arial Narrow" w:hAnsi="Arial Narrow" w:cs="Arial"/>
          <w:color w:val="000000" w:themeColor="text1"/>
          <w:sz w:val="26"/>
          <w:szCs w:val="26"/>
          <w:lang w:val="es-CO" w:eastAsia="ar-SA"/>
        </w:rPr>
        <w:t xml:space="preserve"> ser registradas en cartera de crédito otras garantías.</w:t>
      </w:r>
    </w:p>
    <w:bookmarkEnd w:id="64"/>
    <w:p w14:paraId="3DF13CD2"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6AB72518" w14:textId="08F9B22C" w:rsidR="0010027E" w:rsidRPr="003C5DE8" w:rsidRDefault="0010027E" w:rsidP="003C5DE8">
      <w:pPr>
        <w:tabs>
          <w:tab w:val="center" w:pos="4536"/>
        </w:tabs>
        <w:ind w:left="567" w:hanging="567"/>
        <w:jc w:val="both"/>
        <w:rPr>
          <w:rFonts w:ascii="Arial Narrow" w:hAnsi="Arial Narrow" w:cs="Arial"/>
          <w:b/>
          <w:bCs/>
          <w:color w:val="000000" w:themeColor="text1"/>
          <w:sz w:val="26"/>
          <w:szCs w:val="26"/>
          <w:lang w:val="es-MX"/>
        </w:rPr>
      </w:pPr>
      <w:bookmarkStart w:id="65" w:name="_Toc28362792"/>
      <w:bookmarkStart w:id="66" w:name="_Toc56498187"/>
      <w:bookmarkEnd w:id="65"/>
      <w:r w:rsidRPr="003C5DE8">
        <w:rPr>
          <w:rFonts w:ascii="Arial Narrow" w:hAnsi="Arial Narrow" w:cs="Arial"/>
          <w:b/>
          <w:bCs/>
          <w:color w:val="000000" w:themeColor="text1"/>
          <w:sz w:val="26"/>
          <w:szCs w:val="26"/>
          <w:lang w:val="es-MX"/>
        </w:rPr>
        <w:t xml:space="preserve">5.2.2. </w:t>
      </w:r>
      <w:r w:rsidR="003F5DF1" w:rsidRPr="003C5DE8">
        <w:rPr>
          <w:rFonts w:ascii="Arial Narrow" w:hAnsi="Arial Narrow" w:cs="Arial"/>
          <w:b/>
          <w:bCs/>
          <w:color w:val="000000" w:themeColor="text1"/>
          <w:sz w:val="26"/>
          <w:szCs w:val="26"/>
          <w:lang w:val="es-MX"/>
        </w:rPr>
        <w:t xml:space="preserve"> </w:t>
      </w:r>
      <w:r w:rsidRPr="003C5DE8">
        <w:rPr>
          <w:rFonts w:ascii="Arial Narrow" w:hAnsi="Arial Narrow" w:cs="Arial"/>
          <w:b/>
          <w:bCs/>
          <w:color w:val="000000" w:themeColor="text1"/>
          <w:sz w:val="26"/>
          <w:szCs w:val="26"/>
          <w:lang w:val="es-MX"/>
        </w:rPr>
        <w:t>Proceso de Seguimiento y control</w:t>
      </w:r>
      <w:bookmarkEnd w:id="66"/>
      <w:r w:rsidRPr="003C5DE8">
        <w:rPr>
          <w:rFonts w:ascii="Arial Narrow" w:hAnsi="Arial Narrow" w:cs="Arial"/>
          <w:b/>
          <w:bCs/>
          <w:color w:val="000000" w:themeColor="text1"/>
          <w:sz w:val="26"/>
          <w:szCs w:val="26"/>
          <w:lang w:val="es-MX"/>
        </w:rPr>
        <w:t xml:space="preserve"> </w:t>
      </w:r>
    </w:p>
    <w:p w14:paraId="0F16FDA3"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bookmarkStart w:id="67" w:name="_Hlk82506316"/>
    </w:p>
    <w:p w14:paraId="000D099F" w14:textId="77777777" w:rsidR="0010027E" w:rsidRPr="003C5DE8" w:rsidRDefault="0010027E" w:rsidP="003C5DE8">
      <w:pPr>
        <w:tabs>
          <w:tab w:val="left" w:pos="3932"/>
          <w:tab w:val="center" w:pos="4536"/>
        </w:tabs>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El proceso de seguimiento y control supone un continuo monitoreo de la exposición al riesgo de crédito que permita ajustar la calificación y la estimación del nivel de deterioro que se requiere para cubrir el riesgo; así mismo, evaluar y analizar las políticas y procedimientos aplicados del SARC.</w:t>
      </w:r>
    </w:p>
    <w:p w14:paraId="0F36BD1B" w14:textId="77777777" w:rsidR="0010027E" w:rsidRPr="003C5DE8" w:rsidRDefault="0010027E" w:rsidP="003C5DE8">
      <w:pPr>
        <w:adjustRightInd w:val="0"/>
        <w:ind w:left="567" w:hanging="567"/>
        <w:jc w:val="both"/>
        <w:rPr>
          <w:rFonts w:ascii="Arial Narrow" w:hAnsi="Arial Narrow" w:cs="Arial"/>
          <w:b/>
          <w:color w:val="000000" w:themeColor="text1"/>
          <w:sz w:val="26"/>
          <w:szCs w:val="26"/>
          <w:lang w:val="es-CO"/>
        </w:rPr>
      </w:pPr>
    </w:p>
    <w:p w14:paraId="42016BF5" w14:textId="77777777" w:rsidR="0010027E" w:rsidRPr="003C5DE8" w:rsidRDefault="0010027E" w:rsidP="003C5DE8">
      <w:pPr>
        <w:adjustRightInd w:val="0"/>
        <w:ind w:left="567" w:hanging="567"/>
        <w:jc w:val="both"/>
        <w:rPr>
          <w:rFonts w:ascii="Arial Narrow" w:hAnsi="Arial Narrow" w:cs="Arial"/>
          <w:b/>
          <w:color w:val="000000" w:themeColor="text1"/>
          <w:sz w:val="26"/>
          <w:szCs w:val="26"/>
          <w:lang w:val="es-CO"/>
        </w:rPr>
      </w:pPr>
      <w:bookmarkStart w:id="68" w:name="_Toc56498188"/>
      <w:r w:rsidRPr="003C5DE8">
        <w:rPr>
          <w:rFonts w:ascii="Arial Narrow" w:hAnsi="Arial Narrow" w:cs="Arial"/>
          <w:b/>
          <w:color w:val="000000" w:themeColor="text1"/>
          <w:sz w:val="26"/>
          <w:szCs w:val="26"/>
          <w:lang w:val="es-CO"/>
        </w:rPr>
        <w:t xml:space="preserve">5.2.2.1. </w:t>
      </w:r>
      <w:r w:rsidRPr="003C5DE8">
        <w:rPr>
          <w:rFonts w:ascii="Arial Narrow" w:hAnsi="Arial Narrow" w:cs="Arial"/>
          <w:b/>
          <w:color w:val="000000" w:themeColor="text1"/>
          <w:sz w:val="26"/>
          <w:szCs w:val="26"/>
          <w:lang w:val="es-CO"/>
        </w:rPr>
        <w:tab/>
        <w:t>Proceso de monitoreo de cartera</w:t>
      </w:r>
      <w:bookmarkEnd w:id="68"/>
    </w:p>
    <w:p w14:paraId="4B977182" w14:textId="77777777" w:rsidR="0010027E" w:rsidRPr="003C5DE8" w:rsidRDefault="0010027E" w:rsidP="003C5DE8">
      <w:pPr>
        <w:adjustRightInd w:val="0"/>
        <w:ind w:left="567" w:hanging="567"/>
        <w:jc w:val="both"/>
        <w:rPr>
          <w:rFonts w:ascii="Arial Narrow" w:hAnsi="Arial Narrow" w:cs="Arial"/>
          <w:b/>
          <w:color w:val="000000" w:themeColor="text1"/>
          <w:sz w:val="26"/>
          <w:szCs w:val="26"/>
          <w:lang w:val="es-CO"/>
        </w:rPr>
      </w:pPr>
    </w:p>
    <w:bookmarkEnd w:id="67"/>
    <w:p w14:paraId="3BE43BF1" w14:textId="5A902A0C" w:rsidR="00D61B5A" w:rsidRPr="003C5DE8" w:rsidRDefault="003862F6" w:rsidP="003C5DE8">
      <w:pPr>
        <w:pStyle w:val="Ttulo1"/>
        <w:ind w:left="0"/>
        <w:jc w:val="both"/>
        <w:rPr>
          <w:rFonts w:ascii="Arial Narrow" w:hAnsi="Arial Narrow"/>
          <w:b w:val="0"/>
          <w:bCs w:val="0"/>
          <w:color w:val="000000" w:themeColor="text1"/>
          <w:sz w:val="26"/>
          <w:szCs w:val="26"/>
          <w:lang w:val="es-CO"/>
        </w:rPr>
      </w:pPr>
      <w:r w:rsidRPr="003C5DE8">
        <w:rPr>
          <w:rFonts w:ascii="Arial Narrow" w:hAnsi="Arial Narrow"/>
          <w:b w:val="0"/>
          <w:bCs w:val="0"/>
          <w:color w:val="000000" w:themeColor="text1"/>
          <w:sz w:val="26"/>
          <w:szCs w:val="26"/>
          <w:lang w:val="es-CO"/>
        </w:rPr>
        <w:t>El órgano permanente de administración</w:t>
      </w:r>
      <w:r w:rsidR="00D61B5A" w:rsidRPr="003C5DE8">
        <w:rPr>
          <w:rFonts w:ascii="Arial Narrow" w:hAnsi="Arial Narrow"/>
          <w:b w:val="0"/>
          <w:bCs w:val="0"/>
          <w:color w:val="000000" w:themeColor="text1"/>
          <w:sz w:val="26"/>
          <w:szCs w:val="26"/>
          <w:lang w:val="es-CO"/>
        </w:rPr>
        <w:t xml:space="preserve"> deberá monitorear el perfil de riesgo de los deudores de forma que se logre identificar deterioros que podrían conllevar a un replanteamiento de las políticas y procedimientos del SARC; al igual que identificar perfiles de deudores o segmentos potenciales que podrían llevar a la aplicación de estrategias de crecimiento de cartera, siempre buscando mantener el perfil de riesgo de la cartera definido por </w:t>
      </w:r>
      <w:r w:rsidR="009A4C18">
        <w:rPr>
          <w:rFonts w:ascii="Arial Narrow" w:hAnsi="Arial Narrow"/>
          <w:b w:val="0"/>
          <w:bCs w:val="0"/>
          <w:color w:val="000000" w:themeColor="text1"/>
          <w:sz w:val="26"/>
          <w:szCs w:val="26"/>
          <w:lang w:val="es-CO"/>
        </w:rPr>
        <w:t>FONDEJEMPLO</w:t>
      </w:r>
      <w:r w:rsidR="00D61B5A" w:rsidRPr="003C5DE8">
        <w:rPr>
          <w:rFonts w:ascii="Arial Narrow" w:hAnsi="Arial Narrow"/>
          <w:b w:val="0"/>
          <w:bCs w:val="0"/>
          <w:color w:val="000000" w:themeColor="text1"/>
          <w:sz w:val="26"/>
          <w:szCs w:val="26"/>
          <w:lang w:val="es-CO"/>
        </w:rPr>
        <w:t xml:space="preserve">. </w:t>
      </w:r>
      <w:r w:rsidR="009A4C18">
        <w:rPr>
          <w:rFonts w:ascii="Arial Narrow" w:hAnsi="Arial Narrow"/>
          <w:b w:val="0"/>
          <w:bCs w:val="0"/>
          <w:color w:val="000000" w:themeColor="text1"/>
          <w:sz w:val="26"/>
          <w:szCs w:val="26"/>
          <w:lang w:val="es-CO"/>
        </w:rPr>
        <w:t>FONDEJEMPLO</w:t>
      </w:r>
      <w:r w:rsidR="00D61B5A" w:rsidRPr="003C5DE8">
        <w:rPr>
          <w:rFonts w:ascii="Arial Narrow" w:hAnsi="Arial Narrow"/>
          <w:b w:val="0"/>
          <w:bCs w:val="0"/>
          <w:color w:val="000000" w:themeColor="text1"/>
          <w:sz w:val="26"/>
          <w:szCs w:val="26"/>
          <w:lang w:val="es-CO"/>
        </w:rPr>
        <w:t xml:space="preserve"> efectuará el monitoreo a través de la construcción de indicadores de morosidad de la cartera bajo criterios de segmentación tales como líneas de negocio, actividades económicas, ubicación geográfica, entre otras. El monitoreo de la cartera lo deberá realizar el responsable de la gestión del riesgo crédito de forma mensual y los </w:t>
      </w:r>
      <w:r w:rsidR="00D61B5A" w:rsidRPr="003C5DE8">
        <w:rPr>
          <w:rFonts w:ascii="Arial Narrow" w:hAnsi="Arial Narrow"/>
          <w:b w:val="0"/>
          <w:bCs w:val="0"/>
          <w:color w:val="000000" w:themeColor="text1"/>
          <w:sz w:val="26"/>
          <w:szCs w:val="26"/>
          <w:lang w:val="es-CO"/>
        </w:rPr>
        <w:lastRenderedPageBreak/>
        <w:t xml:space="preserve">resultados que se generen deberá darse a conocer al Comité de Riesgos. </w:t>
      </w:r>
    </w:p>
    <w:p w14:paraId="3DDC53BC" w14:textId="77777777" w:rsidR="00D61B5A" w:rsidRPr="003C5DE8" w:rsidRDefault="00D61B5A" w:rsidP="003C5DE8">
      <w:pPr>
        <w:pStyle w:val="Textoindependiente"/>
        <w:ind w:left="567" w:hanging="567"/>
        <w:jc w:val="both"/>
        <w:rPr>
          <w:rFonts w:ascii="Arial Narrow" w:hAnsi="Arial Narrow"/>
          <w:color w:val="000000" w:themeColor="text1"/>
          <w:sz w:val="26"/>
          <w:szCs w:val="26"/>
          <w:lang w:val="es-CO"/>
        </w:rPr>
      </w:pPr>
    </w:p>
    <w:p w14:paraId="154A850A" w14:textId="640980CA" w:rsidR="003862F6" w:rsidRPr="003C5DE8" w:rsidRDefault="003862F6" w:rsidP="003C5DE8">
      <w:pPr>
        <w:adjustRightInd w:val="0"/>
        <w:ind w:left="567" w:hanging="567"/>
        <w:jc w:val="both"/>
        <w:rPr>
          <w:rFonts w:ascii="Arial Narrow" w:hAnsi="Arial Narrow"/>
          <w:b/>
          <w:color w:val="000000" w:themeColor="text1"/>
          <w:sz w:val="26"/>
          <w:szCs w:val="26"/>
          <w:lang w:val="es-CO"/>
        </w:rPr>
      </w:pPr>
      <w:r w:rsidRPr="003C5DE8">
        <w:rPr>
          <w:rFonts w:ascii="Arial Narrow" w:hAnsi="Arial Narrow" w:cs="Arial"/>
          <w:b/>
          <w:color w:val="000000" w:themeColor="text1"/>
          <w:sz w:val="26"/>
          <w:szCs w:val="26"/>
          <w:lang w:val="es-CO"/>
        </w:rPr>
        <w:t xml:space="preserve">5.2.2.2. </w:t>
      </w:r>
      <w:r w:rsidR="00650494" w:rsidRPr="003C5DE8">
        <w:rPr>
          <w:rFonts w:ascii="Arial Narrow" w:hAnsi="Arial Narrow"/>
          <w:b/>
          <w:color w:val="000000" w:themeColor="text1"/>
          <w:sz w:val="26"/>
          <w:szCs w:val="26"/>
          <w:lang w:val="es-CO"/>
        </w:rPr>
        <w:t>Calificación y deterioro de la cartera de credito</w:t>
      </w:r>
      <w:r w:rsidR="00D61B5A" w:rsidRPr="003C5DE8">
        <w:rPr>
          <w:rFonts w:ascii="Arial Narrow" w:hAnsi="Arial Narrow"/>
          <w:b/>
          <w:color w:val="000000" w:themeColor="text1"/>
          <w:sz w:val="26"/>
          <w:szCs w:val="26"/>
          <w:lang w:val="es-CO"/>
        </w:rPr>
        <w:t xml:space="preserve">. </w:t>
      </w:r>
    </w:p>
    <w:p w14:paraId="7A20C2DF" w14:textId="77777777" w:rsidR="00650494" w:rsidRPr="003C5DE8" w:rsidRDefault="00650494" w:rsidP="003C5DE8">
      <w:pPr>
        <w:adjustRightInd w:val="0"/>
        <w:ind w:left="567" w:hanging="567"/>
        <w:jc w:val="both"/>
        <w:rPr>
          <w:rFonts w:ascii="Arial Narrow" w:hAnsi="Arial Narrow"/>
          <w:color w:val="000000" w:themeColor="text1"/>
          <w:sz w:val="26"/>
          <w:szCs w:val="26"/>
          <w:lang w:val="es-CO"/>
        </w:rPr>
      </w:pPr>
    </w:p>
    <w:p w14:paraId="48851C34" w14:textId="50D44325" w:rsidR="00D61B5A" w:rsidRPr="003C5DE8" w:rsidRDefault="00D61B5A" w:rsidP="003C5DE8">
      <w:pPr>
        <w:adjustRightInd w:val="0"/>
        <w:jc w:val="both"/>
        <w:rPr>
          <w:rFonts w:ascii="Arial Narrow" w:hAnsi="Arial Narrow"/>
          <w:b/>
          <w:bCs/>
          <w:color w:val="000000" w:themeColor="text1"/>
          <w:sz w:val="26"/>
          <w:szCs w:val="26"/>
          <w:lang w:val="es-CO"/>
        </w:rPr>
      </w:pPr>
      <w:r w:rsidRPr="003C5DE8">
        <w:rPr>
          <w:rFonts w:ascii="Arial Narrow" w:hAnsi="Arial Narrow"/>
          <w:color w:val="000000" w:themeColor="text1"/>
          <w:sz w:val="26"/>
          <w:szCs w:val="26"/>
          <w:lang w:val="es-CO"/>
        </w:rPr>
        <w:t xml:space="preserve">Para el monitoreo y deterioro de la cartera de crédito </w:t>
      </w:r>
      <w:r w:rsidR="003862F6" w:rsidRPr="003C5DE8">
        <w:rPr>
          <w:rFonts w:ascii="Arial Narrow" w:hAnsi="Arial Narrow"/>
          <w:b/>
          <w:bCs/>
          <w:color w:val="000000" w:themeColor="text1"/>
          <w:sz w:val="26"/>
          <w:szCs w:val="26"/>
          <w:lang w:val="es-CO"/>
        </w:rPr>
        <w:t>las operaciones crediticias deben</w:t>
      </w:r>
      <w:r w:rsidRPr="003C5DE8">
        <w:rPr>
          <w:rFonts w:ascii="Arial Narrow" w:hAnsi="Arial Narrow"/>
          <w:color w:val="000000" w:themeColor="text1"/>
          <w:sz w:val="26"/>
          <w:szCs w:val="26"/>
          <w:lang w:val="es-CO"/>
        </w:rPr>
        <w:t xml:space="preserve"> clasificarse en una de las siguientes categorías de riesgo, según corresponda de acuerdo con el ANEXO 1 del presente reglamento: </w:t>
      </w:r>
    </w:p>
    <w:p w14:paraId="3597C69E" w14:textId="77777777" w:rsidR="00D61B5A" w:rsidRPr="003C5DE8" w:rsidRDefault="00D61B5A" w:rsidP="003C5DE8">
      <w:pPr>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1AAB5911" w14:textId="77777777" w:rsidR="00D61B5A" w:rsidRPr="003C5DE8" w:rsidRDefault="00D61B5A" w:rsidP="003C5DE8">
      <w:pPr>
        <w:widowControl/>
        <w:numPr>
          <w:ilvl w:val="0"/>
          <w:numId w:val="5"/>
        </w:numPr>
        <w:autoSpaceDE/>
        <w:autoSpaceDN/>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Categoría A o “riesgo normal” </w:t>
      </w:r>
    </w:p>
    <w:p w14:paraId="3A84A776" w14:textId="77777777" w:rsidR="00D61B5A" w:rsidRPr="003C5DE8" w:rsidRDefault="00D61B5A" w:rsidP="003C5DE8">
      <w:pPr>
        <w:widowControl/>
        <w:numPr>
          <w:ilvl w:val="0"/>
          <w:numId w:val="5"/>
        </w:numPr>
        <w:autoSpaceDE/>
        <w:autoSpaceDN/>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Categoría B o “riesgo aceptable, superior al normal” </w:t>
      </w:r>
    </w:p>
    <w:p w14:paraId="0E191BE2" w14:textId="77777777" w:rsidR="00D61B5A" w:rsidRPr="003C5DE8" w:rsidRDefault="00D61B5A" w:rsidP="003C5DE8">
      <w:pPr>
        <w:widowControl/>
        <w:numPr>
          <w:ilvl w:val="0"/>
          <w:numId w:val="5"/>
        </w:numPr>
        <w:autoSpaceDE/>
        <w:autoSpaceDN/>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Categoría C o “riesgo apreciable” </w:t>
      </w:r>
    </w:p>
    <w:p w14:paraId="744F618C" w14:textId="77777777" w:rsidR="00D61B5A" w:rsidRPr="003C5DE8" w:rsidRDefault="00D61B5A" w:rsidP="003C5DE8">
      <w:pPr>
        <w:widowControl/>
        <w:numPr>
          <w:ilvl w:val="0"/>
          <w:numId w:val="5"/>
        </w:numPr>
        <w:autoSpaceDE/>
        <w:autoSpaceDN/>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Categoría D o “riesgo significativo” </w:t>
      </w:r>
    </w:p>
    <w:p w14:paraId="245E3DC2" w14:textId="77777777" w:rsidR="00D61B5A" w:rsidRPr="003C5DE8" w:rsidRDefault="00D61B5A" w:rsidP="003C5DE8">
      <w:pPr>
        <w:widowControl/>
        <w:numPr>
          <w:ilvl w:val="0"/>
          <w:numId w:val="5"/>
        </w:numPr>
        <w:autoSpaceDE/>
        <w:autoSpaceDN/>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Categoría E o “riesgo de incobrabilidad” </w:t>
      </w:r>
    </w:p>
    <w:p w14:paraId="4E7405BB" w14:textId="77777777" w:rsidR="00D61B5A" w:rsidRPr="003C5DE8" w:rsidRDefault="00D61B5A" w:rsidP="003C5DE8">
      <w:pPr>
        <w:ind w:left="567" w:hanging="567"/>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2832C2BF" w14:textId="6AC0EF41" w:rsidR="003862F6" w:rsidRPr="003C5DE8" w:rsidRDefault="003862F6" w:rsidP="003C5DE8">
      <w:pPr>
        <w:pStyle w:val="Ttulo1"/>
        <w:ind w:left="567" w:hanging="567"/>
        <w:jc w:val="both"/>
        <w:rPr>
          <w:rFonts w:ascii="Arial Narrow" w:hAnsi="Arial Narrow"/>
          <w:b w:val="0"/>
          <w:color w:val="000000" w:themeColor="text1"/>
          <w:sz w:val="26"/>
          <w:szCs w:val="26"/>
          <w:lang w:val="es-CO"/>
        </w:rPr>
      </w:pPr>
      <w:r w:rsidRPr="003C5DE8">
        <w:rPr>
          <w:rFonts w:ascii="Arial Narrow" w:hAnsi="Arial Narrow" w:cs="Arial"/>
          <w:color w:val="000000" w:themeColor="text1"/>
          <w:sz w:val="26"/>
          <w:szCs w:val="26"/>
          <w:lang w:val="es-CO"/>
        </w:rPr>
        <w:t>5.2.2.</w:t>
      </w:r>
      <w:r w:rsidRPr="003C5DE8">
        <w:rPr>
          <w:rFonts w:ascii="Arial Narrow" w:hAnsi="Arial Narrow" w:cs="Arial"/>
          <w:b w:val="0"/>
          <w:color w:val="000000" w:themeColor="text1"/>
          <w:sz w:val="26"/>
          <w:szCs w:val="26"/>
          <w:lang w:val="es-CO"/>
        </w:rPr>
        <w:t>3</w:t>
      </w:r>
      <w:r w:rsidRPr="003C5DE8">
        <w:rPr>
          <w:rFonts w:ascii="Arial Narrow" w:hAnsi="Arial Narrow" w:cs="Arial"/>
          <w:color w:val="000000" w:themeColor="text1"/>
          <w:sz w:val="26"/>
          <w:szCs w:val="26"/>
          <w:lang w:val="es-CO"/>
        </w:rPr>
        <w:t>.</w:t>
      </w:r>
      <w:r w:rsidR="00650494" w:rsidRPr="003C5DE8">
        <w:rPr>
          <w:rFonts w:ascii="Arial Narrow" w:hAnsi="Arial Narrow"/>
          <w:color w:val="000000" w:themeColor="text1"/>
          <w:sz w:val="26"/>
          <w:szCs w:val="26"/>
          <w:lang w:val="es-CO"/>
        </w:rPr>
        <w:t xml:space="preserve"> Proceso de evaluacion de la cartera</w:t>
      </w:r>
      <w:r w:rsidR="00D61B5A" w:rsidRPr="003C5DE8">
        <w:rPr>
          <w:rFonts w:ascii="Arial Narrow" w:hAnsi="Arial Narrow"/>
          <w:b w:val="0"/>
          <w:color w:val="000000" w:themeColor="text1"/>
          <w:sz w:val="26"/>
          <w:szCs w:val="26"/>
          <w:lang w:val="es-CO"/>
        </w:rPr>
        <w:t>.</w:t>
      </w:r>
    </w:p>
    <w:p w14:paraId="59F20777" w14:textId="351552B9" w:rsidR="003862F6" w:rsidRPr="003C5DE8" w:rsidRDefault="003862F6" w:rsidP="003C5DE8">
      <w:pPr>
        <w:pStyle w:val="Ttulo1"/>
        <w:ind w:left="0"/>
        <w:jc w:val="both"/>
        <w:rPr>
          <w:rFonts w:ascii="Arial Narrow" w:hAnsi="Arial Narrow"/>
          <w:b w:val="0"/>
          <w:bCs w:val="0"/>
          <w:color w:val="000000" w:themeColor="text1"/>
          <w:sz w:val="26"/>
          <w:szCs w:val="26"/>
          <w:lang w:val="es-CO"/>
        </w:rPr>
      </w:pPr>
    </w:p>
    <w:p w14:paraId="540CB0FF" w14:textId="7C1E1F9E" w:rsidR="00D61B5A" w:rsidRPr="003C5DE8" w:rsidRDefault="003862F6" w:rsidP="003C5DE8">
      <w:pPr>
        <w:pStyle w:val="Ttulo1"/>
        <w:ind w:left="0"/>
        <w:jc w:val="both"/>
        <w:rPr>
          <w:rFonts w:ascii="Arial Narrow" w:hAnsi="Arial Narrow"/>
          <w:color w:val="000000" w:themeColor="text1"/>
          <w:sz w:val="26"/>
          <w:szCs w:val="26"/>
          <w:lang w:val="es-CO"/>
        </w:rPr>
      </w:pPr>
      <w:r w:rsidRPr="003C5DE8">
        <w:rPr>
          <w:rFonts w:ascii="Arial Narrow" w:hAnsi="Arial Narrow"/>
          <w:b w:val="0"/>
          <w:bCs w:val="0"/>
          <w:color w:val="000000" w:themeColor="text1"/>
          <w:sz w:val="26"/>
          <w:szCs w:val="26"/>
          <w:lang w:val="es-CO"/>
        </w:rPr>
        <w:t xml:space="preserve">El </w:t>
      </w:r>
      <w:r w:rsidR="00D61B5A" w:rsidRPr="003C5DE8">
        <w:rPr>
          <w:rFonts w:ascii="Arial Narrow" w:hAnsi="Arial Narrow"/>
          <w:b w:val="0"/>
          <w:bCs w:val="0"/>
          <w:color w:val="000000" w:themeColor="text1"/>
          <w:sz w:val="26"/>
          <w:szCs w:val="26"/>
          <w:lang w:val="es-CO"/>
        </w:rPr>
        <w:t xml:space="preserve">proceso de evaluación de cartera consiste en identificar de manera preventiva el riesgo de los créditos que pueden desmejorarse por el cambio potencial en la capacidad de pago, solvencia o calidad de las garantías que lo respaldan y realizar la respectiva recalificación y registro del deterioro. Dicha evaluación no consiste en la revisión física de las carpetas del crédito, sino en el establecimiento de metodologías y técnicas analíticas que permitan medir el riesgo de crédito. </w:t>
      </w:r>
      <w:r w:rsidR="009A4C18">
        <w:rPr>
          <w:rFonts w:ascii="Arial Narrow" w:hAnsi="Arial Narrow"/>
          <w:b w:val="0"/>
          <w:bCs w:val="0"/>
          <w:color w:val="000000" w:themeColor="text1"/>
          <w:sz w:val="26"/>
          <w:szCs w:val="26"/>
          <w:lang w:val="es-CO"/>
        </w:rPr>
        <w:t>FONDEJEMPLO</w:t>
      </w:r>
      <w:r w:rsidR="00D61B5A" w:rsidRPr="003C5DE8">
        <w:rPr>
          <w:rFonts w:ascii="Arial Narrow" w:hAnsi="Arial Narrow"/>
          <w:b w:val="0"/>
          <w:bCs w:val="0"/>
          <w:color w:val="000000" w:themeColor="text1"/>
          <w:sz w:val="26"/>
          <w:szCs w:val="26"/>
          <w:lang w:val="es-CO"/>
        </w:rPr>
        <w:t xml:space="preserve"> evaluará anualmente, la totalidad de las obligaciones crediticias vigentes de acuerdo con la metodología aprobada por </w:t>
      </w:r>
      <w:r w:rsidRPr="003C5DE8">
        <w:rPr>
          <w:rFonts w:ascii="Arial Narrow" w:hAnsi="Arial Narrow"/>
          <w:b w:val="0"/>
          <w:bCs w:val="0"/>
          <w:color w:val="000000" w:themeColor="text1"/>
          <w:sz w:val="26"/>
          <w:szCs w:val="26"/>
          <w:lang w:val="es-CO"/>
        </w:rPr>
        <w:t>El órgano permanente de administración</w:t>
      </w:r>
      <w:r w:rsidR="00D61B5A" w:rsidRPr="003C5DE8">
        <w:rPr>
          <w:rFonts w:ascii="Arial Narrow" w:hAnsi="Arial Narrow"/>
          <w:b w:val="0"/>
          <w:bCs w:val="0"/>
          <w:color w:val="000000" w:themeColor="text1"/>
          <w:sz w:val="26"/>
          <w:szCs w:val="26"/>
          <w:lang w:val="es-CO"/>
        </w:rPr>
        <w:t xml:space="preserve"> contenida en el </w:t>
      </w:r>
      <w:r w:rsidR="00D61B5A" w:rsidRPr="003C5DE8">
        <w:rPr>
          <w:rFonts w:ascii="Arial Narrow" w:hAnsi="Arial Narrow"/>
          <w:color w:val="000000" w:themeColor="text1"/>
          <w:sz w:val="26"/>
          <w:szCs w:val="26"/>
          <w:lang w:val="es-CO"/>
        </w:rPr>
        <w:t>ANEXO 2</w:t>
      </w:r>
      <w:r w:rsidR="00D61B5A" w:rsidRPr="003C5DE8">
        <w:rPr>
          <w:rFonts w:ascii="Arial Narrow" w:hAnsi="Arial Narrow"/>
          <w:b w:val="0"/>
          <w:bCs w:val="0"/>
          <w:color w:val="000000" w:themeColor="text1"/>
          <w:sz w:val="26"/>
          <w:szCs w:val="26"/>
          <w:lang w:val="es-CO"/>
        </w:rPr>
        <w:t xml:space="preserve"> del presente reglamento. En el caso en el que las nuevas calificaciones dieran lugar a deterioros adicionales, </w:t>
      </w:r>
      <w:r w:rsidR="00C86279" w:rsidRPr="003C5DE8">
        <w:rPr>
          <w:rFonts w:ascii="Arial Narrow" w:hAnsi="Arial Narrow"/>
          <w:b w:val="0"/>
          <w:bCs w:val="0"/>
          <w:color w:val="000000" w:themeColor="text1"/>
          <w:sz w:val="26"/>
          <w:szCs w:val="26"/>
          <w:lang w:val="es-CO"/>
        </w:rPr>
        <w:t>éstos deberán</w:t>
      </w:r>
      <w:r w:rsidR="00D61B5A" w:rsidRPr="003C5DE8">
        <w:rPr>
          <w:rFonts w:ascii="Arial Narrow" w:hAnsi="Arial Narrow"/>
          <w:b w:val="0"/>
          <w:bCs w:val="0"/>
          <w:color w:val="000000" w:themeColor="text1"/>
          <w:sz w:val="26"/>
          <w:szCs w:val="26"/>
          <w:lang w:val="es-CO"/>
        </w:rPr>
        <w:t xml:space="preserve"> hacerse en el mes inmediatamente siguiente al corte de la evaluación</w:t>
      </w:r>
    </w:p>
    <w:p w14:paraId="05EF0D38" w14:textId="77777777" w:rsidR="00D61B5A" w:rsidRPr="003C5DE8" w:rsidRDefault="00D61B5A" w:rsidP="003C5DE8">
      <w:pPr>
        <w:pStyle w:val="Textoindependiente"/>
        <w:ind w:left="567" w:hanging="567"/>
        <w:jc w:val="both"/>
        <w:rPr>
          <w:rFonts w:ascii="Arial Narrow" w:hAnsi="Arial Narrow"/>
          <w:color w:val="000000" w:themeColor="text1"/>
          <w:sz w:val="26"/>
          <w:szCs w:val="26"/>
          <w:lang w:val="es-CO"/>
        </w:rPr>
      </w:pPr>
    </w:p>
    <w:p w14:paraId="3EDAC402" w14:textId="613E23B5" w:rsidR="00D61B5A" w:rsidRPr="003C5DE8" w:rsidRDefault="00D61B5A" w:rsidP="003C5DE8">
      <w:pPr>
        <w:pStyle w:val="Textoindependiente"/>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Será responsabilidad de la Gerencia y </w:t>
      </w:r>
      <w:r w:rsidR="003862F6" w:rsidRPr="003C5DE8">
        <w:rPr>
          <w:rFonts w:ascii="Arial Narrow" w:hAnsi="Arial Narrow"/>
          <w:color w:val="000000" w:themeColor="text1"/>
          <w:sz w:val="26"/>
          <w:szCs w:val="26"/>
          <w:lang w:val="es-CO"/>
        </w:rPr>
        <w:t>El órgano permanente de administración</w:t>
      </w:r>
      <w:r w:rsidRPr="003C5DE8">
        <w:rPr>
          <w:rFonts w:ascii="Arial Narrow" w:hAnsi="Arial Narrow"/>
          <w:color w:val="000000" w:themeColor="text1"/>
          <w:sz w:val="26"/>
          <w:szCs w:val="26"/>
          <w:lang w:val="es-CO"/>
        </w:rPr>
        <w:t>, velar por el adecuado</w:t>
      </w:r>
      <w:r w:rsidR="00650494" w:rsidRPr="003C5DE8">
        <w:rPr>
          <w:rFonts w:ascii="Arial Narrow" w:hAnsi="Arial Narrow"/>
          <w:color w:val="000000" w:themeColor="text1"/>
          <w:sz w:val="26"/>
          <w:szCs w:val="26"/>
          <w:lang w:val="es-CO"/>
        </w:rPr>
        <w:t xml:space="preserve"> </w:t>
      </w:r>
      <w:r w:rsidRPr="003C5DE8">
        <w:rPr>
          <w:rFonts w:ascii="Arial Narrow" w:hAnsi="Arial Narrow"/>
          <w:color w:val="000000" w:themeColor="text1"/>
          <w:sz w:val="26"/>
          <w:szCs w:val="26"/>
          <w:lang w:val="es-CO"/>
        </w:rPr>
        <w:t xml:space="preserve">registro de la recalificación y deterioros a que haya lugar, de acuerdo con las recomendaciones presentadas por el comité de riesgos. Los resultados del monitoreo permanente a los créditos y del proceso de evaluación de cartera, deberá presentarse al Comité de Riesgos por parte del responsable de la gestión del riesgo de crédito o el Representante Legal, con el fin de que este comité los analice y presente a </w:t>
      </w:r>
      <w:r w:rsidR="003862F6" w:rsidRPr="003C5DE8">
        <w:rPr>
          <w:rFonts w:ascii="Arial Narrow" w:hAnsi="Arial Narrow"/>
          <w:color w:val="000000" w:themeColor="text1"/>
          <w:sz w:val="26"/>
          <w:szCs w:val="26"/>
          <w:lang w:val="es-CO"/>
        </w:rPr>
        <w:t>El órgano permanente de administración</w:t>
      </w:r>
      <w:r w:rsidRPr="003C5DE8">
        <w:rPr>
          <w:rFonts w:ascii="Arial Narrow" w:hAnsi="Arial Narrow"/>
          <w:color w:val="000000" w:themeColor="text1"/>
          <w:sz w:val="26"/>
          <w:szCs w:val="26"/>
          <w:lang w:val="es-CO"/>
        </w:rPr>
        <w:t xml:space="preserve">, las recomendaciones o medidas correctivas que se debe adoptar para una adecuada gestión del riesgo crediticio. </w:t>
      </w:r>
    </w:p>
    <w:p w14:paraId="699E5013" w14:textId="77777777" w:rsidR="00D61B5A" w:rsidRPr="003C5DE8" w:rsidRDefault="00D61B5A" w:rsidP="003C5DE8">
      <w:pPr>
        <w:pStyle w:val="Textoindependiente"/>
        <w:ind w:left="567" w:hanging="567"/>
        <w:jc w:val="both"/>
        <w:rPr>
          <w:rFonts w:ascii="Arial Narrow" w:hAnsi="Arial Narrow"/>
          <w:color w:val="000000" w:themeColor="text1"/>
          <w:sz w:val="26"/>
          <w:szCs w:val="26"/>
          <w:lang w:val="es-CO"/>
        </w:rPr>
      </w:pPr>
    </w:p>
    <w:p w14:paraId="0C46ADD9" w14:textId="2138030C" w:rsidR="00361330" w:rsidRPr="003C5DE8" w:rsidRDefault="00650494" w:rsidP="003C5DE8">
      <w:pPr>
        <w:pStyle w:val="Ttulo1"/>
        <w:ind w:left="567" w:hanging="567"/>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5.2.2.3.1. </w:t>
      </w:r>
      <w:r w:rsidR="00361330" w:rsidRPr="003C5DE8">
        <w:rPr>
          <w:rFonts w:ascii="Arial Narrow" w:hAnsi="Arial Narrow"/>
          <w:color w:val="000000" w:themeColor="text1"/>
          <w:sz w:val="26"/>
          <w:szCs w:val="26"/>
          <w:lang w:val="es-CO"/>
        </w:rPr>
        <w:t>Criterios de evaluacion</w:t>
      </w:r>
      <w:r w:rsidR="00D61B5A" w:rsidRPr="003C5DE8">
        <w:rPr>
          <w:rFonts w:ascii="Arial Narrow" w:hAnsi="Arial Narrow"/>
          <w:color w:val="000000" w:themeColor="text1"/>
          <w:sz w:val="26"/>
          <w:szCs w:val="26"/>
          <w:lang w:val="es-CO"/>
        </w:rPr>
        <w:t xml:space="preserve">. </w:t>
      </w:r>
    </w:p>
    <w:p w14:paraId="12D68EDA" w14:textId="77777777" w:rsidR="00361330" w:rsidRPr="003C5DE8" w:rsidRDefault="00361330" w:rsidP="003C5DE8">
      <w:pPr>
        <w:pStyle w:val="Ttulo1"/>
        <w:ind w:left="567" w:hanging="567"/>
        <w:rPr>
          <w:rFonts w:ascii="Arial Narrow" w:hAnsi="Arial Narrow"/>
          <w:color w:val="000000" w:themeColor="text1"/>
          <w:sz w:val="26"/>
          <w:szCs w:val="26"/>
          <w:lang w:val="es-CO"/>
        </w:rPr>
      </w:pPr>
    </w:p>
    <w:p w14:paraId="7972D073" w14:textId="0E88028D" w:rsidR="00D61B5A" w:rsidRPr="003C5DE8" w:rsidRDefault="00D61B5A" w:rsidP="003C5DE8">
      <w:pPr>
        <w:pStyle w:val="Ttulo1"/>
        <w:ind w:left="0"/>
        <w:rPr>
          <w:rFonts w:ascii="Arial Narrow" w:hAnsi="Arial Narrow"/>
          <w:color w:val="000000" w:themeColor="text1"/>
          <w:sz w:val="26"/>
          <w:szCs w:val="26"/>
          <w:lang w:val="es-CO"/>
        </w:rPr>
      </w:pPr>
      <w:r w:rsidRPr="003C5DE8">
        <w:rPr>
          <w:rFonts w:ascii="Arial Narrow" w:hAnsi="Arial Narrow"/>
          <w:b w:val="0"/>
          <w:bCs w:val="0"/>
          <w:color w:val="000000" w:themeColor="text1"/>
          <w:sz w:val="26"/>
          <w:szCs w:val="26"/>
          <w:lang w:val="es-CO"/>
        </w:rPr>
        <w:t xml:space="preserve">El </w:t>
      </w:r>
      <w:r w:rsidRPr="003C5DE8">
        <w:rPr>
          <w:rFonts w:ascii="Arial Narrow" w:hAnsi="Arial Narrow"/>
          <w:color w:val="000000" w:themeColor="text1"/>
          <w:sz w:val="26"/>
          <w:szCs w:val="26"/>
          <w:lang w:val="es-CO"/>
        </w:rPr>
        <w:t>ANEXO 2</w:t>
      </w:r>
      <w:r w:rsidRPr="003C5DE8">
        <w:rPr>
          <w:rFonts w:ascii="Arial Narrow" w:hAnsi="Arial Narrow"/>
          <w:b w:val="0"/>
          <w:bCs w:val="0"/>
          <w:color w:val="000000" w:themeColor="text1"/>
          <w:sz w:val="26"/>
          <w:szCs w:val="26"/>
          <w:lang w:val="es-CO"/>
        </w:rPr>
        <w:t xml:space="preserve"> del presente reglamento establece las variables con las cuales se midan los siguientes criterios para la evaluación de la cartera:</w:t>
      </w:r>
    </w:p>
    <w:p w14:paraId="44B3CD07" w14:textId="77777777" w:rsidR="00D61B5A" w:rsidRPr="003C5DE8" w:rsidRDefault="00D61B5A" w:rsidP="003C5DE8">
      <w:pPr>
        <w:pStyle w:val="Textoindependiente"/>
        <w:ind w:left="567" w:hanging="567"/>
        <w:jc w:val="both"/>
        <w:rPr>
          <w:rFonts w:ascii="Arial Narrow" w:hAnsi="Arial Narrow"/>
          <w:color w:val="000000" w:themeColor="text1"/>
          <w:sz w:val="26"/>
          <w:szCs w:val="26"/>
          <w:lang w:val="es-CO"/>
        </w:rPr>
      </w:pPr>
    </w:p>
    <w:p w14:paraId="40CD6C1F" w14:textId="77777777" w:rsidR="00D61B5A" w:rsidRPr="003C5DE8" w:rsidRDefault="00D61B5A" w:rsidP="003C5DE8">
      <w:pPr>
        <w:pStyle w:val="Textoindependiente"/>
        <w:numPr>
          <w:ilvl w:val="0"/>
          <w:numId w:val="4"/>
        </w:numPr>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Capacidad de pago. Se deberá actualizar y analizar la información del flujo de ingresos y egresos del deudor o del proyecto, así como la información comercial y financiera provenientes de otras fuentes y demás variables sectoriales y macroeconómicas que lo afecten. </w:t>
      </w:r>
    </w:p>
    <w:p w14:paraId="23B9AE4A" w14:textId="77777777" w:rsidR="00D61B5A" w:rsidRPr="003C5DE8" w:rsidRDefault="00D61B5A" w:rsidP="003C5DE8">
      <w:pPr>
        <w:pStyle w:val="Textoindependiente"/>
        <w:numPr>
          <w:ilvl w:val="0"/>
          <w:numId w:val="4"/>
        </w:numPr>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Solvencia del deudor. Se deberá actualizar y analizar a través de variables como el nivel de endeudamiento, la calidad y composición de los activos, pasivos, patrimonio y contingencias del deudor o del proyecto. </w:t>
      </w:r>
    </w:p>
    <w:p w14:paraId="25601C3C" w14:textId="77777777" w:rsidR="00D61B5A" w:rsidRPr="003C5DE8" w:rsidRDefault="00D61B5A" w:rsidP="003C5DE8">
      <w:pPr>
        <w:pStyle w:val="Textoindependiente"/>
        <w:numPr>
          <w:ilvl w:val="0"/>
          <w:numId w:val="4"/>
        </w:numPr>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Garantías. Se deberá actualizar conforme a las instrucciones contenidas en el presente manual, y analizar su liquidez, idoneidad, valor y cobertura </w:t>
      </w:r>
    </w:p>
    <w:p w14:paraId="7327EAFB" w14:textId="77777777" w:rsidR="00D61B5A" w:rsidRPr="003C5DE8" w:rsidRDefault="00D61B5A" w:rsidP="003C5DE8">
      <w:pPr>
        <w:pStyle w:val="Textoindependiente"/>
        <w:numPr>
          <w:ilvl w:val="0"/>
          <w:numId w:val="4"/>
        </w:numPr>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lastRenderedPageBreak/>
        <w:t xml:space="preserve">Servicio de la deuda. Se evaluará el cumplimiento de los términos pactados, es decir, la atención oportuna de todas las cuotas (capital e intereses) o instalamentos; CIRCULAR BASICA CONTABLE Y FINANCIERA entendiéndose como tales, cualquier pago derivado de una operación activa de crédito que deba efectuar el deudor en una fecha determinada. </w:t>
      </w:r>
    </w:p>
    <w:p w14:paraId="5D6EA06F" w14:textId="77777777" w:rsidR="00D61B5A" w:rsidRPr="003C5DE8" w:rsidRDefault="00D61B5A" w:rsidP="003C5DE8">
      <w:pPr>
        <w:pStyle w:val="Textoindependiente"/>
        <w:numPr>
          <w:ilvl w:val="0"/>
          <w:numId w:val="4"/>
        </w:numPr>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Reestructuraciones. Se deberá analizar el número de veces que el crédito ha sido reestructurado y la naturaleza de la respectiva reestructuración. </w:t>
      </w:r>
    </w:p>
    <w:p w14:paraId="780DA8E6" w14:textId="77777777" w:rsidR="00D61B5A" w:rsidRPr="003C5DE8" w:rsidRDefault="00D61B5A" w:rsidP="003C5DE8">
      <w:pPr>
        <w:pStyle w:val="Textoindependiente"/>
        <w:numPr>
          <w:ilvl w:val="0"/>
          <w:numId w:val="4"/>
        </w:numPr>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Información proveniente de centrales de riesgo y demás fuentes. Se deberá analizar la información que permita conocer la historia financiera y crediticia del deudor. </w:t>
      </w:r>
    </w:p>
    <w:p w14:paraId="3F1572F2" w14:textId="77777777" w:rsidR="00D61B5A" w:rsidRPr="003C5DE8" w:rsidRDefault="00D61B5A" w:rsidP="003C5DE8">
      <w:pPr>
        <w:pStyle w:val="Textoindependiente"/>
        <w:ind w:left="567" w:hanging="567"/>
        <w:jc w:val="both"/>
        <w:rPr>
          <w:rFonts w:ascii="Arial Narrow" w:hAnsi="Arial Narrow"/>
          <w:color w:val="000000" w:themeColor="text1"/>
          <w:sz w:val="26"/>
          <w:szCs w:val="26"/>
          <w:lang w:val="es-CO"/>
        </w:rPr>
      </w:pPr>
    </w:p>
    <w:p w14:paraId="2779CF2A" w14:textId="2F27C796" w:rsidR="00361330" w:rsidRPr="003C5DE8" w:rsidRDefault="00361330" w:rsidP="003C5DE8">
      <w:pPr>
        <w:pStyle w:val="Ttulo1"/>
        <w:ind w:left="567" w:hanging="567"/>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5.2.2.3.1. Permanencia de la Recalificación. </w:t>
      </w:r>
    </w:p>
    <w:p w14:paraId="41850767" w14:textId="77777777" w:rsidR="00361330" w:rsidRPr="003C5DE8" w:rsidRDefault="00361330" w:rsidP="003C5DE8">
      <w:pPr>
        <w:pStyle w:val="Textoindependiente"/>
        <w:ind w:left="567" w:hanging="567"/>
        <w:jc w:val="both"/>
        <w:rPr>
          <w:rFonts w:ascii="Arial Narrow" w:hAnsi="Arial Narrow"/>
          <w:color w:val="000000" w:themeColor="text1"/>
          <w:sz w:val="26"/>
          <w:szCs w:val="26"/>
          <w:lang w:val="es-CO"/>
        </w:rPr>
      </w:pPr>
    </w:p>
    <w:p w14:paraId="34E77D44" w14:textId="1469FCA7" w:rsidR="00D61B5A" w:rsidRPr="003C5DE8" w:rsidRDefault="00D61B5A" w:rsidP="003C5DE8">
      <w:pPr>
        <w:pStyle w:val="Ttulo1"/>
        <w:ind w:left="0"/>
        <w:jc w:val="both"/>
        <w:rPr>
          <w:rFonts w:ascii="Arial Narrow" w:hAnsi="Arial Narrow"/>
          <w:b w:val="0"/>
          <w:bCs w:val="0"/>
          <w:color w:val="000000" w:themeColor="text1"/>
          <w:sz w:val="26"/>
          <w:szCs w:val="26"/>
          <w:lang w:val="es-CO"/>
        </w:rPr>
      </w:pPr>
      <w:r w:rsidRPr="003C5DE8">
        <w:rPr>
          <w:rFonts w:ascii="Arial Narrow" w:hAnsi="Arial Narrow"/>
          <w:b w:val="0"/>
          <w:bCs w:val="0"/>
          <w:color w:val="000000" w:themeColor="text1"/>
          <w:sz w:val="26"/>
          <w:szCs w:val="26"/>
          <w:lang w:val="es-CO"/>
        </w:rPr>
        <w:t xml:space="preserve">Los resultados de la evaluación de cartera en materia de recalificación, deberá permanecer hasta el próximo proceso de evaluación de cartera, o se podrá modificar antes si existe evidencia de un cambio en el nivel de riesgo que amerite su recalificación, teniendo en cuenta que la morosidad no podrá ser el único factor para considerar. </w:t>
      </w:r>
    </w:p>
    <w:p w14:paraId="3428970D"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CO"/>
        </w:rPr>
      </w:pPr>
    </w:p>
    <w:p w14:paraId="4CDE6015" w14:textId="0A2AFDBD" w:rsidR="0010027E" w:rsidRPr="003C5DE8" w:rsidRDefault="0010027E" w:rsidP="003C5DE8">
      <w:pPr>
        <w:tabs>
          <w:tab w:val="left" w:pos="3932"/>
          <w:tab w:val="center" w:pos="4536"/>
        </w:tabs>
        <w:ind w:left="567" w:hanging="567"/>
        <w:jc w:val="both"/>
        <w:rPr>
          <w:rFonts w:ascii="Arial Narrow" w:hAnsi="Arial Narrow" w:cs="Arial"/>
          <w:b/>
          <w:bCs/>
          <w:color w:val="000000" w:themeColor="text1"/>
          <w:sz w:val="26"/>
          <w:szCs w:val="26"/>
          <w:lang w:val="es-MX"/>
        </w:rPr>
      </w:pPr>
      <w:bookmarkStart w:id="69" w:name="_Toc28362796"/>
      <w:bookmarkStart w:id="70" w:name="_Toc56498191"/>
      <w:bookmarkEnd w:id="69"/>
      <w:r w:rsidRPr="003C5DE8">
        <w:rPr>
          <w:rFonts w:ascii="Arial Narrow" w:hAnsi="Arial Narrow" w:cs="Arial"/>
          <w:b/>
          <w:bCs/>
          <w:color w:val="000000" w:themeColor="text1"/>
          <w:sz w:val="26"/>
          <w:szCs w:val="26"/>
          <w:lang w:val="es-MX"/>
        </w:rPr>
        <w:t xml:space="preserve">5.2.3. </w:t>
      </w:r>
      <w:r w:rsidR="009F26EC" w:rsidRPr="003C5DE8">
        <w:rPr>
          <w:rFonts w:ascii="Arial Narrow" w:hAnsi="Arial Narrow" w:cs="Arial"/>
          <w:b/>
          <w:bCs/>
          <w:color w:val="000000" w:themeColor="text1"/>
          <w:sz w:val="26"/>
          <w:szCs w:val="26"/>
          <w:lang w:val="es-MX"/>
        </w:rPr>
        <w:t xml:space="preserve"> </w:t>
      </w:r>
      <w:r w:rsidRPr="003C5DE8">
        <w:rPr>
          <w:rFonts w:ascii="Arial Narrow" w:hAnsi="Arial Narrow" w:cs="Arial"/>
          <w:b/>
          <w:bCs/>
          <w:color w:val="000000" w:themeColor="text1"/>
          <w:sz w:val="26"/>
          <w:szCs w:val="26"/>
          <w:lang w:val="es-MX"/>
        </w:rPr>
        <w:t>Proceso de recuperación</w:t>
      </w:r>
      <w:bookmarkEnd w:id="70"/>
      <w:r w:rsidRPr="003C5DE8">
        <w:rPr>
          <w:rFonts w:ascii="Arial Narrow" w:hAnsi="Arial Narrow" w:cs="Arial"/>
          <w:b/>
          <w:bCs/>
          <w:color w:val="000000" w:themeColor="text1"/>
          <w:sz w:val="26"/>
          <w:szCs w:val="26"/>
          <w:lang w:val="es-MX"/>
        </w:rPr>
        <w:t xml:space="preserve"> </w:t>
      </w:r>
    </w:p>
    <w:p w14:paraId="0A18D163"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6D70BE2A" w14:textId="3BA82A84" w:rsidR="0010027E" w:rsidRPr="003C5DE8" w:rsidRDefault="0010027E" w:rsidP="003C5DE8">
      <w:pPr>
        <w:tabs>
          <w:tab w:val="left" w:pos="3932"/>
          <w:tab w:val="center" w:pos="4536"/>
        </w:tabs>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Corresponde a las labores de cobranza administrativa y jurídica que adelante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con el fin de obtener el pago de la respectiva deuda.</w:t>
      </w:r>
      <w:r w:rsidR="00A929B1" w:rsidRPr="003C5DE8">
        <w:rPr>
          <w:rFonts w:ascii="Arial Narrow" w:hAnsi="Arial Narrow" w:cs="Arial"/>
          <w:bCs/>
          <w:color w:val="000000" w:themeColor="text1"/>
          <w:sz w:val="26"/>
          <w:szCs w:val="26"/>
          <w:lang w:val="es-MX"/>
        </w:rPr>
        <w:t xml:space="preserve">  </w:t>
      </w:r>
      <w:r w:rsidRPr="003C5DE8">
        <w:rPr>
          <w:rFonts w:ascii="Arial Narrow" w:hAnsi="Arial Narrow" w:cs="Arial"/>
          <w:bCs/>
          <w:color w:val="000000" w:themeColor="text1"/>
          <w:sz w:val="26"/>
          <w:szCs w:val="26"/>
          <w:lang w:val="es-MX"/>
        </w:rPr>
        <w:t xml:space="preserve">Para tal efecto, </w:t>
      </w:r>
      <w:r w:rsidR="00E92C3E" w:rsidRPr="003C5DE8">
        <w:rPr>
          <w:rFonts w:ascii="Arial Narrow" w:hAnsi="Arial Narrow" w:cs="Arial"/>
          <w:bCs/>
          <w:color w:val="000000" w:themeColor="text1"/>
          <w:sz w:val="26"/>
          <w:szCs w:val="26"/>
          <w:lang w:val="es-MX"/>
        </w:rPr>
        <w:t>el órgano permanente de administración</w:t>
      </w:r>
      <w:r w:rsidRPr="003C5DE8">
        <w:rPr>
          <w:rFonts w:ascii="Arial Narrow" w:hAnsi="Arial Narrow" w:cs="Arial"/>
          <w:bCs/>
          <w:color w:val="000000" w:themeColor="text1"/>
          <w:sz w:val="26"/>
          <w:szCs w:val="26"/>
          <w:lang w:val="es-MX"/>
        </w:rPr>
        <w:t xml:space="preserve"> deberá definir el área o funcionarios responsables, las políticas y los criterios con base en los cuales se ejecutará la labor de recuperación, los parámetros para evaluar y aprobar reestructuraciones, para administrar el proceso de recepción y realización de bienes recibidos en dación en pago y para la decisión sobre el castigo de los créditos.</w:t>
      </w:r>
      <w:r w:rsidR="007B7B77" w:rsidRPr="003C5DE8">
        <w:rPr>
          <w:rFonts w:ascii="Arial Narrow" w:hAnsi="Arial Narrow" w:cs="Arial"/>
          <w:bCs/>
          <w:color w:val="000000" w:themeColor="text1"/>
          <w:sz w:val="26"/>
          <w:szCs w:val="26"/>
          <w:lang w:val="es-MX"/>
        </w:rPr>
        <w:t xml:space="preserve"> </w:t>
      </w:r>
      <w:r w:rsidRPr="003C5DE8">
        <w:rPr>
          <w:rFonts w:ascii="Arial Narrow" w:hAnsi="Arial Narrow" w:cs="Arial"/>
          <w:bCs/>
          <w:color w:val="000000" w:themeColor="text1"/>
          <w:sz w:val="26"/>
          <w:szCs w:val="26"/>
          <w:lang w:val="es-MX"/>
        </w:rPr>
        <w:t xml:space="preserve">Adicionalmente, se deberá tener en cuenta que para los casos en los que un deudor incurra en mora de alguno de los conceptos que componen la cuota, como son; capital, </w:t>
      </w:r>
      <w:r w:rsidRPr="003C5DE8">
        <w:rPr>
          <w:rFonts w:ascii="Arial Narrow" w:hAnsi="Arial Narrow" w:cs="Arial"/>
          <w:bCs/>
          <w:color w:val="000000" w:themeColor="text1"/>
          <w:sz w:val="26"/>
          <w:szCs w:val="26"/>
          <w:lang w:val="es-CO"/>
        </w:rPr>
        <w:t xml:space="preserve">intereses u otros conceptos asociados al crédito, estos arrastrarán la calificación y la definición de mora para la totalidad de la cuota. </w:t>
      </w:r>
    </w:p>
    <w:p w14:paraId="193C3E95" w14:textId="77777777" w:rsidR="0010027E" w:rsidRPr="003C5DE8" w:rsidRDefault="0010027E" w:rsidP="003C5DE8">
      <w:pPr>
        <w:tabs>
          <w:tab w:val="left" w:pos="3932"/>
          <w:tab w:val="center" w:pos="4536"/>
        </w:tabs>
        <w:jc w:val="both"/>
        <w:rPr>
          <w:rFonts w:ascii="Arial Narrow" w:hAnsi="Arial Narrow" w:cs="Arial"/>
          <w:bCs/>
          <w:color w:val="000000" w:themeColor="text1"/>
          <w:sz w:val="26"/>
          <w:szCs w:val="26"/>
          <w:lang w:val="es-MX"/>
        </w:rPr>
      </w:pPr>
    </w:p>
    <w:p w14:paraId="37398E34" w14:textId="3F523311" w:rsidR="0010027E" w:rsidRPr="003C5DE8" w:rsidRDefault="0010027E" w:rsidP="003C5DE8">
      <w:pPr>
        <w:tabs>
          <w:tab w:val="left" w:pos="3932"/>
          <w:tab w:val="center" w:pos="4536"/>
        </w:tabs>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Así mismo, se </w:t>
      </w:r>
      <w:r w:rsidR="009B3A78" w:rsidRPr="003C5DE8">
        <w:rPr>
          <w:rFonts w:ascii="Arial Narrow" w:hAnsi="Arial Narrow" w:cs="Arial"/>
          <w:bCs/>
          <w:color w:val="000000" w:themeColor="text1"/>
          <w:sz w:val="26"/>
          <w:szCs w:val="26"/>
          <w:lang w:val="es-MX"/>
        </w:rPr>
        <w:t>debe</w:t>
      </w:r>
      <w:r w:rsidRPr="003C5DE8">
        <w:rPr>
          <w:rFonts w:ascii="Arial Narrow" w:hAnsi="Arial Narrow" w:cs="Arial"/>
          <w:bCs/>
          <w:color w:val="000000" w:themeColor="text1"/>
          <w:sz w:val="26"/>
          <w:szCs w:val="26"/>
          <w:lang w:val="es-MX"/>
        </w:rPr>
        <w:t xml:space="preserve"> presentar informes periódicos sobre los resultados de este proceso al </w:t>
      </w:r>
      <w:r w:rsidRPr="003C5DE8">
        <w:rPr>
          <w:rFonts w:ascii="Arial Narrow" w:hAnsi="Arial Narrow" w:cs="Arial"/>
          <w:color w:val="000000" w:themeColor="text1"/>
          <w:sz w:val="26"/>
          <w:szCs w:val="26"/>
          <w:lang w:val="es-MX"/>
        </w:rPr>
        <w:t>Comité de</w:t>
      </w:r>
      <w:r w:rsidRPr="003C5DE8">
        <w:rPr>
          <w:rFonts w:ascii="Arial Narrow" w:hAnsi="Arial Narrow" w:cs="Arial"/>
          <w:bCs/>
          <w:color w:val="000000" w:themeColor="text1"/>
          <w:sz w:val="26"/>
          <w:szCs w:val="26"/>
          <w:lang w:val="es-MX"/>
        </w:rPr>
        <w:t xml:space="preserve"> </w:t>
      </w:r>
      <w:r w:rsidRPr="003C5DE8">
        <w:rPr>
          <w:rFonts w:ascii="Arial Narrow" w:hAnsi="Arial Narrow" w:cs="Arial"/>
          <w:color w:val="000000" w:themeColor="text1"/>
          <w:sz w:val="26"/>
          <w:szCs w:val="26"/>
          <w:lang w:val="es-MX"/>
        </w:rPr>
        <w:t>Riesgos</w:t>
      </w:r>
      <w:r w:rsidRPr="003C5DE8">
        <w:rPr>
          <w:rFonts w:ascii="Arial Narrow" w:hAnsi="Arial Narrow" w:cs="Arial"/>
          <w:bCs/>
          <w:color w:val="000000" w:themeColor="text1"/>
          <w:sz w:val="26"/>
          <w:szCs w:val="26"/>
          <w:lang w:val="es-MX"/>
        </w:rPr>
        <w:t xml:space="preserve">, para su debida presentación en la reunión mensual del consejo de administración o de </w:t>
      </w:r>
      <w:r w:rsidR="003862F6" w:rsidRPr="003C5DE8">
        <w:rPr>
          <w:rFonts w:ascii="Arial Narrow" w:hAnsi="Arial Narrow" w:cs="Arial"/>
          <w:bCs/>
          <w:color w:val="000000" w:themeColor="text1"/>
          <w:sz w:val="26"/>
          <w:szCs w:val="26"/>
          <w:lang w:val="es-MX"/>
        </w:rPr>
        <w:t>El órgano permanente de administración</w:t>
      </w:r>
      <w:r w:rsidRPr="003C5DE8">
        <w:rPr>
          <w:rFonts w:ascii="Arial Narrow" w:hAnsi="Arial Narrow" w:cs="Arial"/>
          <w:bCs/>
          <w:color w:val="000000" w:themeColor="text1"/>
          <w:sz w:val="26"/>
          <w:szCs w:val="26"/>
          <w:lang w:val="es-MX"/>
        </w:rPr>
        <w:t>.</w:t>
      </w:r>
    </w:p>
    <w:p w14:paraId="361143F2" w14:textId="77777777" w:rsidR="0010027E" w:rsidRPr="003C5DE8" w:rsidRDefault="0010027E" w:rsidP="003C5DE8">
      <w:pPr>
        <w:tabs>
          <w:tab w:val="left" w:pos="3932"/>
          <w:tab w:val="center" w:pos="4536"/>
        </w:tabs>
        <w:jc w:val="both"/>
        <w:rPr>
          <w:rFonts w:ascii="Arial Narrow" w:hAnsi="Arial Narrow" w:cs="Arial"/>
          <w:bCs/>
          <w:color w:val="000000" w:themeColor="text1"/>
          <w:sz w:val="26"/>
          <w:szCs w:val="26"/>
          <w:lang w:val="es-MX"/>
        </w:rPr>
      </w:pPr>
    </w:p>
    <w:p w14:paraId="4F6879B3" w14:textId="21FF5408" w:rsidR="0010027E" w:rsidRPr="003C5DE8" w:rsidRDefault="009A4C18" w:rsidP="003C5DE8">
      <w:pPr>
        <w:tabs>
          <w:tab w:val="left" w:pos="3932"/>
          <w:tab w:val="center" w:pos="4536"/>
        </w:tabs>
        <w:jc w:val="both"/>
        <w:rPr>
          <w:rFonts w:ascii="Arial Narrow" w:hAnsi="Arial Narrow" w:cs="Arial"/>
          <w:bCs/>
          <w:color w:val="000000" w:themeColor="text1"/>
          <w:sz w:val="26"/>
          <w:szCs w:val="26"/>
          <w:lang w:val="es-MX"/>
        </w:rPr>
      </w:pPr>
      <w:r>
        <w:rPr>
          <w:rFonts w:ascii="Arial Narrow" w:hAnsi="Arial Narrow" w:cs="Arial"/>
          <w:bCs/>
          <w:color w:val="000000" w:themeColor="text1"/>
          <w:sz w:val="26"/>
          <w:szCs w:val="26"/>
          <w:lang w:val="es-MX"/>
        </w:rPr>
        <w:t>FONDEJEMPLO</w:t>
      </w:r>
      <w:r w:rsidR="0010027E" w:rsidRPr="003C5DE8">
        <w:rPr>
          <w:rFonts w:ascii="Arial Narrow" w:hAnsi="Arial Narrow" w:cs="Arial"/>
          <w:bCs/>
          <w:color w:val="000000" w:themeColor="text1"/>
          <w:sz w:val="26"/>
          <w:szCs w:val="26"/>
          <w:lang w:val="es-MX"/>
        </w:rPr>
        <w:t xml:space="preserve"> </w:t>
      </w:r>
      <w:r w:rsidR="009B3A78" w:rsidRPr="003C5DE8">
        <w:rPr>
          <w:rFonts w:ascii="Arial Narrow" w:hAnsi="Arial Narrow" w:cs="Arial"/>
          <w:bCs/>
          <w:color w:val="000000" w:themeColor="text1"/>
          <w:sz w:val="26"/>
          <w:szCs w:val="26"/>
          <w:lang w:val="es-MX"/>
        </w:rPr>
        <w:t>debe</w:t>
      </w:r>
      <w:r w:rsidR="0010027E" w:rsidRPr="003C5DE8">
        <w:rPr>
          <w:rFonts w:ascii="Arial Narrow" w:hAnsi="Arial Narrow" w:cs="Arial"/>
          <w:bCs/>
          <w:color w:val="000000" w:themeColor="text1"/>
          <w:sz w:val="26"/>
          <w:szCs w:val="26"/>
          <w:lang w:val="es-MX"/>
        </w:rPr>
        <w:t xml:space="preserve"> dar aviso oportuno al deudor o codeudores de cualquier problema que pueda poner en riesgo el servicio o pago adecuado de la respectiva deuda. Esto con el propósito de informar sobre los posibles reportes negativos, y cobros adicionales como consecuencia de las gestiones de cobranza que se podrían realizar a los deudores y acreedores en caso de presentarse dificultades de pago por parte de los primeros.</w:t>
      </w:r>
    </w:p>
    <w:p w14:paraId="7611993F" w14:textId="77777777" w:rsidR="0010027E" w:rsidRPr="003C5DE8" w:rsidRDefault="0010027E" w:rsidP="003C5DE8">
      <w:pPr>
        <w:tabs>
          <w:tab w:val="left" w:pos="3932"/>
          <w:tab w:val="center" w:pos="4536"/>
        </w:tabs>
        <w:jc w:val="both"/>
        <w:rPr>
          <w:rFonts w:ascii="Arial Narrow" w:hAnsi="Arial Narrow" w:cs="Arial"/>
          <w:bCs/>
          <w:color w:val="000000" w:themeColor="text1"/>
          <w:sz w:val="26"/>
          <w:szCs w:val="26"/>
          <w:lang w:val="es-MX"/>
        </w:rPr>
      </w:pPr>
    </w:p>
    <w:p w14:paraId="41AFAD7D" w14:textId="77777777" w:rsidR="0010027E" w:rsidRPr="003C5DE8" w:rsidRDefault="0010027E" w:rsidP="003C5DE8">
      <w:pPr>
        <w:pStyle w:val="Ttulo4"/>
        <w:suppressAutoHyphens/>
        <w:spacing w:before="0"/>
        <w:ind w:left="567" w:hanging="567"/>
        <w:jc w:val="both"/>
        <w:rPr>
          <w:rFonts w:ascii="Arial Narrow" w:hAnsi="Arial Narrow"/>
          <w:b/>
          <w:bCs/>
          <w:i w:val="0"/>
          <w:iCs w:val="0"/>
          <w:color w:val="000000" w:themeColor="text1"/>
          <w:sz w:val="26"/>
          <w:szCs w:val="26"/>
          <w:lang w:val="es-MX"/>
        </w:rPr>
      </w:pPr>
      <w:bookmarkStart w:id="71" w:name="_Toc56498192"/>
      <w:bookmarkStart w:id="72" w:name="_Hlk82507917"/>
      <w:r w:rsidRPr="003C5DE8">
        <w:rPr>
          <w:rFonts w:ascii="Arial Narrow" w:hAnsi="Arial Narrow"/>
          <w:b/>
          <w:bCs/>
          <w:i w:val="0"/>
          <w:iCs w:val="0"/>
          <w:color w:val="000000" w:themeColor="text1"/>
          <w:sz w:val="26"/>
          <w:szCs w:val="26"/>
          <w:lang w:val="es-CO" w:bidi="en-US"/>
        </w:rPr>
        <w:t xml:space="preserve">5.2.3.1. </w:t>
      </w:r>
      <w:r w:rsidRPr="003C5DE8">
        <w:rPr>
          <w:rFonts w:ascii="Arial Narrow" w:hAnsi="Arial Narrow"/>
          <w:b/>
          <w:bCs/>
          <w:i w:val="0"/>
          <w:iCs w:val="0"/>
          <w:color w:val="000000" w:themeColor="text1"/>
          <w:sz w:val="26"/>
          <w:szCs w:val="26"/>
          <w:lang w:val="es-CO" w:bidi="en-US"/>
        </w:rPr>
        <w:tab/>
        <w:t>Reestructuraciones</w:t>
      </w:r>
      <w:bookmarkEnd w:id="71"/>
      <w:r w:rsidRPr="003C5DE8">
        <w:rPr>
          <w:rFonts w:ascii="Arial Narrow" w:hAnsi="Arial Narrow"/>
          <w:b/>
          <w:bCs/>
          <w:i w:val="0"/>
          <w:iCs w:val="0"/>
          <w:color w:val="000000" w:themeColor="text1"/>
          <w:sz w:val="26"/>
          <w:szCs w:val="26"/>
          <w:lang w:val="es-MX"/>
        </w:rPr>
        <w:t xml:space="preserve"> </w:t>
      </w:r>
    </w:p>
    <w:p w14:paraId="0B9F7166" w14:textId="77777777" w:rsidR="0010027E" w:rsidRPr="003C5DE8" w:rsidRDefault="0010027E" w:rsidP="003C5DE8">
      <w:pPr>
        <w:ind w:left="567" w:hanging="567"/>
        <w:jc w:val="both"/>
        <w:rPr>
          <w:rFonts w:ascii="Arial Narrow" w:hAnsi="Arial Narrow" w:cs="Arial"/>
          <w:color w:val="000000" w:themeColor="text1"/>
          <w:sz w:val="26"/>
          <w:szCs w:val="26"/>
          <w:lang w:val="es-MX"/>
        </w:rPr>
      </w:pPr>
    </w:p>
    <w:p w14:paraId="09073FBA" w14:textId="2D56FF44" w:rsidR="0010027E" w:rsidRPr="003C5DE8" w:rsidRDefault="0010027E" w:rsidP="003C5DE8">
      <w:pPr>
        <w:tabs>
          <w:tab w:val="left" w:pos="3932"/>
          <w:tab w:val="center" w:pos="4536"/>
        </w:tabs>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Se entiende por reestructuración de un crédito, el mecanismo instrumentado mediante la celebración de cualquier negocio jurídico que tenga como objeto o efecto modificar cualquiera de las condiciones originalmente pactadas, con el fin de permitirle al deudor la atención adecuada de su obligación ante el real o potencial deterioro de su capacidad de pago. Adicionalmente, se consideran reestructuraciones los acuerdos celebrados en el marco de las Leyes: 550 de 1999, 617 de 2000, 1116 de 2006 y 1564 de 2012 o normas que las adicionen o sustituyan. No se considerarán reestructuraciones los alivios crediticios ordenados por leyes ni las novaciones que se originen en eventos distintos, a los antes </w:t>
      </w:r>
      <w:r w:rsidRPr="003C5DE8">
        <w:rPr>
          <w:rFonts w:ascii="Arial Narrow" w:hAnsi="Arial Narrow" w:cs="Arial"/>
          <w:bCs/>
          <w:color w:val="000000" w:themeColor="text1"/>
          <w:sz w:val="26"/>
          <w:szCs w:val="26"/>
          <w:lang w:val="es-MX"/>
        </w:rPr>
        <w:lastRenderedPageBreak/>
        <w:t xml:space="preserve">descritos, aquellas previstas en el artículo 20 de la Ley 546 de 1999, ni las modificaciones realizadas con fundamento en los términos previstos en el </w:t>
      </w:r>
      <w:r w:rsidR="001C0DEB" w:rsidRPr="003C5DE8">
        <w:rPr>
          <w:rFonts w:ascii="Arial Narrow" w:hAnsi="Arial Narrow" w:cs="Arial"/>
          <w:bCs/>
          <w:color w:val="000000" w:themeColor="text1"/>
          <w:sz w:val="26"/>
          <w:szCs w:val="26"/>
          <w:lang w:val="es-MX"/>
        </w:rPr>
        <w:t>presente manual</w:t>
      </w:r>
      <w:r w:rsidRPr="003C5DE8">
        <w:rPr>
          <w:rFonts w:ascii="Arial Narrow" w:hAnsi="Arial Narrow" w:cs="Arial"/>
          <w:bCs/>
          <w:color w:val="000000" w:themeColor="text1"/>
          <w:sz w:val="26"/>
          <w:szCs w:val="26"/>
          <w:lang w:val="es-MX"/>
        </w:rPr>
        <w:t>.</w:t>
      </w:r>
      <w:r w:rsidR="007B7B77" w:rsidRPr="003C5DE8">
        <w:rPr>
          <w:rFonts w:ascii="Arial Narrow" w:hAnsi="Arial Narrow" w:cs="Arial"/>
          <w:bCs/>
          <w:color w:val="000000" w:themeColor="text1"/>
          <w:sz w:val="26"/>
          <w:szCs w:val="26"/>
          <w:lang w:val="es-MX"/>
        </w:rPr>
        <w:t xml:space="preserve"> </w:t>
      </w:r>
      <w:r w:rsidRPr="003C5DE8">
        <w:rPr>
          <w:rFonts w:ascii="Arial Narrow" w:hAnsi="Arial Narrow" w:cs="Arial"/>
          <w:bCs/>
          <w:color w:val="000000" w:themeColor="text1"/>
          <w:sz w:val="26"/>
          <w:szCs w:val="26"/>
          <w:lang w:val="es-MX"/>
        </w:rPr>
        <w:t>Antes de reestructurar un crédito deberá establecerse razonablemente que el mismo será recuperado bajo las nuevas condiciones.</w:t>
      </w:r>
      <w:r w:rsidR="007B7B77" w:rsidRPr="003C5DE8">
        <w:rPr>
          <w:rFonts w:ascii="Arial Narrow" w:hAnsi="Arial Narrow" w:cs="Arial"/>
          <w:bCs/>
          <w:color w:val="000000" w:themeColor="text1"/>
          <w:sz w:val="26"/>
          <w:szCs w:val="26"/>
          <w:lang w:val="es-MX"/>
        </w:rPr>
        <w:t xml:space="preserve"> </w:t>
      </w:r>
      <w:r w:rsidRPr="003C5DE8">
        <w:rPr>
          <w:rFonts w:ascii="Arial Narrow" w:hAnsi="Arial Narrow" w:cs="Arial"/>
          <w:bCs/>
          <w:color w:val="000000" w:themeColor="text1"/>
          <w:sz w:val="26"/>
          <w:szCs w:val="26"/>
          <w:lang w:val="es-MX"/>
        </w:rPr>
        <w:t xml:space="preserve">En todo caso, las reestructuraciones </w:t>
      </w:r>
      <w:r w:rsidR="009B3A78" w:rsidRPr="003C5DE8">
        <w:rPr>
          <w:rFonts w:ascii="Arial Narrow" w:hAnsi="Arial Narrow" w:cs="Arial"/>
          <w:bCs/>
          <w:color w:val="000000" w:themeColor="text1"/>
          <w:sz w:val="26"/>
          <w:szCs w:val="26"/>
          <w:lang w:val="es-MX"/>
        </w:rPr>
        <w:t>debe</w:t>
      </w:r>
      <w:r w:rsidRPr="003C5DE8">
        <w:rPr>
          <w:rFonts w:ascii="Arial Narrow" w:hAnsi="Arial Narrow" w:cs="Arial"/>
          <w:bCs/>
          <w:color w:val="000000" w:themeColor="text1"/>
          <w:sz w:val="26"/>
          <w:szCs w:val="26"/>
          <w:lang w:val="es-MX"/>
        </w:rPr>
        <w:t xml:space="preserve"> ser un recurso excepcional para regularizar el comportamiento de la cartera de créditos y no puede convertirse en una práctica generalizada ni hacer uso excesivo de periodos de gracia.</w:t>
      </w:r>
      <w:r w:rsidR="007B7B77" w:rsidRPr="003C5DE8">
        <w:rPr>
          <w:rFonts w:ascii="Arial Narrow" w:hAnsi="Arial Narrow" w:cs="Arial"/>
          <w:bCs/>
          <w:color w:val="000000" w:themeColor="text1"/>
          <w:sz w:val="26"/>
          <w:szCs w:val="26"/>
          <w:lang w:val="es-MX"/>
        </w:rPr>
        <w:t xml:space="preserve"> </w:t>
      </w:r>
      <w:r w:rsidRPr="003C5DE8">
        <w:rPr>
          <w:rFonts w:ascii="Arial Narrow" w:hAnsi="Arial Narrow" w:cs="Arial"/>
          <w:bCs/>
          <w:color w:val="000000" w:themeColor="text1"/>
          <w:sz w:val="26"/>
          <w:szCs w:val="26"/>
          <w:lang w:val="es-MX"/>
        </w:rPr>
        <w:t xml:space="preserve">Al aprobarse una reestructuración, se deberá tener en cuenta lo siguiente: </w:t>
      </w:r>
    </w:p>
    <w:p w14:paraId="7624810F"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759994E3" w14:textId="77777777" w:rsidR="004934C7" w:rsidRPr="003C5DE8" w:rsidRDefault="0010027E" w:rsidP="003C5DE8">
      <w:pPr>
        <w:pStyle w:val="Prrafodelista"/>
        <w:widowControl/>
        <w:numPr>
          <w:ilvl w:val="0"/>
          <w:numId w:val="30"/>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Identificar y marcar en el aplicativo todos los créditos reestructurados.</w:t>
      </w:r>
    </w:p>
    <w:p w14:paraId="61D5D796" w14:textId="1FF1C898" w:rsidR="0010027E" w:rsidRPr="003C5DE8" w:rsidRDefault="004934C7" w:rsidP="003C5DE8">
      <w:pPr>
        <w:pStyle w:val="Prrafodelista"/>
        <w:widowControl/>
        <w:numPr>
          <w:ilvl w:val="0"/>
          <w:numId w:val="30"/>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CO"/>
        </w:rPr>
        <w:t>Garantizar la trazabilidad del crédito con el fin de incorporar en las evaluaciones y mediciones, el comportamiento que ha tenido la obligación durante su historia previo a ser reestructurada.</w:t>
      </w:r>
    </w:p>
    <w:p w14:paraId="50413374" w14:textId="77777777" w:rsidR="0010027E" w:rsidRPr="003C5DE8" w:rsidRDefault="0010027E" w:rsidP="003C5DE8">
      <w:pPr>
        <w:pStyle w:val="Prrafodelista"/>
        <w:widowControl/>
        <w:numPr>
          <w:ilvl w:val="0"/>
          <w:numId w:val="30"/>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A los créditos reestructurados se les podrá mantener o deteriorar la calificación dependiendo del análisis de riesgo, de las condiciones financieras del deudor y de los flujos de caja del proyecto al momento de la reestructuración.  En ningún caso, la calificación podrá ser mejor a aquella que tenía el crédito al momento de solicitar la reestructuración</w:t>
      </w:r>
    </w:p>
    <w:p w14:paraId="2662F65D" w14:textId="2FBB3E2F" w:rsidR="0010027E" w:rsidRPr="003C5DE8" w:rsidRDefault="0010027E" w:rsidP="003C5DE8">
      <w:pPr>
        <w:pStyle w:val="Prrafodelista"/>
        <w:widowControl/>
        <w:numPr>
          <w:ilvl w:val="0"/>
          <w:numId w:val="30"/>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Una vez cumplido el requisito señalado en el literal anterior, se aplica la ley de arrastre, se determina la calificación de los créditos de cada asociado y se </w:t>
      </w:r>
      <w:r w:rsidR="002140BF" w:rsidRPr="003C5DE8">
        <w:rPr>
          <w:rFonts w:ascii="Arial Narrow" w:hAnsi="Arial Narrow" w:cs="Arial"/>
          <w:bCs/>
          <w:color w:val="000000" w:themeColor="text1"/>
          <w:sz w:val="26"/>
          <w:szCs w:val="26"/>
          <w:lang w:val="es-MX"/>
        </w:rPr>
        <w:t>deberá</w:t>
      </w:r>
      <w:r w:rsidRPr="003C5DE8">
        <w:rPr>
          <w:rFonts w:ascii="Arial Narrow" w:hAnsi="Arial Narrow" w:cs="Arial"/>
          <w:bCs/>
          <w:color w:val="000000" w:themeColor="text1"/>
          <w:sz w:val="26"/>
          <w:szCs w:val="26"/>
          <w:lang w:val="es-MX"/>
        </w:rPr>
        <w:t xml:space="preserve"> constituir los deterioros respectivos.  </w:t>
      </w:r>
    </w:p>
    <w:p w14:paraId="28E4CF5F" w14:textId="33120716" w:rsidR="0010027E" w:rsidRPr="003C5DE8" w:rsidRDefault="0010027E" w:rsidP="003C5DE8">
      <w:pPr>
        <w:pStyle w:val="Prrafodelista"/>
        <w:widowControl/>
        <w:numPr>
          <w:ilvl w:val="0"/>
          <w:numId w:val="30"/>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El mejoramiento de la calificación de los créditos reestructurados se debe hacer en forma escalonada, es decir, una vez cumplido el requisito de calificación en el literal anterior se </w:t>
      </w:r>
      <w:r w:rsidR="009B3A78" w:rsidRPr="003C5DE8">
        <w:rPr>
          <w:rFonts w:ascii="Arial Narrow" w:hAnsi="Arial Narrow" w:cs="Arial"/>
          <w:bCs/>
          <w:color w:val="000000" w:themeColor="text1"/>
          <w:sz w:val="26"/>
          <w:szCs w:val="26"/>
          <w:lang w:val="es-MX"/>
        </w:rPr>
        <w:t>debe</w:t>
      </w:r>
      <w:r w:rsidRPr="003C5DE8">
        <w:rPr>
          <w:rFonts w:ascii="Arial Narrow" w:hAnsi="Arial Narrow" w:cs="Arial"/>
          <w:bCs/>
          <w:color w:val="000000" w:themeColor="text1"/>
          <w:sz w:val="26"/>
          <w:szCs w:val="26"/>
          <w:lang w:val="es-MX"/>
        </w:rPr>
        <w:t xml:space="preserve"> aplicar dos pagos consecutivos de la cuota pactada de acuerdo con su forma de amortización, para adquirir una calificación de menor riesgo (por ejemplo: de calificación E a D), y así sucesivamente hasta llegar a calificación A. </w:t>
      </w:r>
    </w:p>
    <w:p w14:paraId="6F397B32" w14:textId="77777777" w:rsidR="0010027E" w:rsidRPr="003C5DE8" w:rsidRDefault="0010027E" w:rsidP="003C5DE8">
      <w:pPr>
        <w:pStyle w:val="Prrafodelista"/>
        <w:widowControl/>
        <w:numPr>
          <w:ilvl w:val="0"/>
          <w:numId w:val="30"/>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No obstante, si el crédito presenta mora, independientemente de la calificación que tenga en ese momento, se deberá llevar inmediatamente a la calificación que tenía al efectuarse la reestructuración (acumulando la mora del inicio y del proceso de reestructuración incumplido), efectuar la ley de arrastre y calcular los respectivos deterioros.</w:t>
      </w:r>
    </w:p>
    <w:p w14:paraId="05A43BBA" w14:textId="5EDD3B3D" w:rsidR="0010027E" w:rsidRPr="003C5DE8" w:rsidRDefault="0010027E" w:rsidP="003C5DE8">
      <w:pPr>
        <w:pStyle w:val="Prrafodelista"/>
        <w:widowControl/>
        <w:numPr>
          <w:ilvl w:val="0"/>
          <w:numId w:val="30"/>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Los ingresos de todos los créditos que sean reestructurados más de una vez </w:t>
      </w:r>
      <w:proofErr w:type="gramStart"/>
      <w:r w:rsidR="002140BF" w:rsidRPr="003C5DE8">
        <w:rPr>
          <w:rFonts w:ascii="Arial Narrow" w:hAnsi="Arial Narrow" w:cs="Arial"/>
          <w:bCs/>
          <w:color w:val="000000" w:themeColor="text1"/>
          <w:sz w:val="26"/>
          <w:szCs w:val="26"/>
          <w:lang w:val="es-MX"/>
        </w:rPr>
        <w:t>deberá</w:t>
      </w:r>
      <w:proofErr w:type="gramEnd"/>
      <w:r w:rsidRPr="003C5DE8">
        <w:rPr>
          <w:rFonts w:ascii="Arial Narrow" w:hAnsi="Arial Narrow" w:cs="Arial"/>
          <w:bCs/>
          <w:color w:val="000000" w:themeColor="text1"/>
          <w:sz w:val="26"/>
          <w:szCs w:val="26"/>
          <w:lang w:val="es-MX"/>
        </w:rPr>
        <w:t xml:space="preserve"> contabilizarse por el sistema de caja. </w:t>
      </w:r>
    </w:p>
    <w:p w14:paraId="30648070" w14:textId="77777777" w:rsidR="0010027E" w:rsidRPr="003C5DE8" w:rsidRDefault="0010027E" w:rsidP="003C5DE8">
      <w:pPr>
        <w:pStyle w:val="Prrafodelista"/>
        <w:widowControl/>
        <w:numPr>
          <w:ilvl w:val="0"/>
          <w:numId w:val="30"/>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Se debe efectuar un seguimiento permanente respecto del cumplimiento del acuerdo de reestructuración. </w:t>
      </w:r>
    </w:p>
    <w:p w14:paraId="0C2E48A8" w14:textId="396DD33E" w:rsidR="0010027E" w:rsidRPr="003C5DE8" w:rsidRDefault="0010027E" w:rsidP="003C5DE8">
      <w:pPr>
        <w:pStyle w:val="Prrafodelista"/>
        <w:widowControl/>
        <w:numPr>
          <w:ilvl w:val="0"/>
          <w:numId w:val="30"/>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En caso de existir garantía hipotecaria o prendaria se debe hacer actualización del avalúo de las mismas, teniendo en cuenta los parámetros establecidos en el </w:t>
      </w:r>
      <w:r w:rsidR="001C0DEB" w:rsidRPr="003C5DE8">
        <w:rPr>
          <w:rFonts w:ascii="Arial Narrow" w:hAnsi="Arial Narrow" w:cs="Arial"/>
          <w:bCs/>
          <w:color w:val="000000" w:themeColor="text1"/>
          <w:sz w:val="26"/>
          <w:szCs w:val="26"/>
          <w:lang w:val="es-MX"/>
        </w:rPr>
        <w:t>presente manual</w:t>
      </w:r>
      <w:r w:rsidRPr="003C5DE8">
        <w:rPr>
          <w:rFonts w:ascii="Arial Narrow" w:hAnsi="Arial Narrow" w:cs="Arial"/>
          <w:bCs/>
          <w:color w:val="000000" w:themeColor="text1"/>
          <w:sz w:val="26"/>
          <w:szCs w:val="26"/>
          <w:lang w:val="es-MX"/>
        </w:rPr>
        <w:t xml:space="preserve">. </w:t>
      </w:r>
    </w:p>
    <w:p w14:paraId="0E13AD33" w14:textId="619D372C" w:rsidR="0010027E" w:rsidRPr="003C5DE8" w:rsidRDefault="0010027E" w:rsidP="003C5DE8">
      <w:pPr>
        <w:pStyle w:val="Prrafodelista"/>
        <w:widowControl/>
        <w:numPr>
          <w:ilvl w:val="0"/>
          <w:numId w:val="30"/>
        </w:numPr>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En los casos a los que se refieren las Leyes 550 de 1999, 1116 de 2006 y 1564 de 2012, a partir de la fecha en que se inicie la negociación de un acuerdo de acreedores,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titulares de las respectivas acreencias, dejarán de causar intereses sobre los créditos vigentes, pero podrán mantener la calificación que tuvieran dichos créditos en la fecha de inicio de las negociaciones.</w:t>
      </w:r>
    </w:p>
    <w:p w14:paraId="1DBB2464" w14:textId="77777777" w:rsidR="0010027E" w:rsidRPr="003C5DE8" w:rsidRDefault="0010027E" w:rsidP="003C5DE8">
      <w:pPr>
        <w:pStyle w:val="Prrafodelista"/>
        <w:widowControl/>
        <w:numPr>
          <w:ilvl w:val="0"/>
          <w:numId w:val="30"/>
        </w:numPr>
        <w:autoSpaceDE/>
        <w:autoSpaceDN/>
        <w:ind w:left="567" w:hanging="567"/>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En el evento en que la negociación fracase los créditos se calificarán en categoría “E”, crédito incobrable.</w:t>
      </w:r>
    </w:p>
    <w:p w14:paraId="36296206" w14:textId="77777777" w:rsidR="00DD6F4C" w:rsidRPr="003C5DE8" w:rsidRDefault="0010027E" w:rsidP="003C5DE8">
      <w:pPr>
        <w:pStyle w:val="Prrafodelista"/>
        <w:widowControl/>
        <w:numPr>
          <w:ilvl w:val="0"/>
          <w:numId w:val="30"/>
        </w:numPr>
        <w:autoSpaceDE/>
        <w:autoSpaceDN/>
        <w:ind w:left="567" w:hanging="567"/>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Desde la formalización de un acuerdo de reestructuración, los créditos nuevos que se otorguen a las empresas o entidades territoriales reestructuradas podrán ser calificados en categoría “A”.</w:t>
      </w:r>
    </w:p>
    <w:p w14:paraId="18FB5D77" w14:textId="151BB4A9" w:rsidR="0010027E" w:rsidRPr="003C5DE8" w:rsidRDefault="009A4C18" w:rsidP="003C5DE8">
      <w:pPr>
        <w:pStyle w:val="Prrafodelista"/>
        <w:widowControl/>
        <w:numPr>
          <w:ilvl w:val="0"/>
          <w:numId w:val="30"/>
        </w:numPr>
        <w:autoSpaceDE/>
        <w:autoSpaceDN/>
        <w:ind w:left="567" w:hanging="567"/>
        <w:jc w:val="both"/>
        <w:rPr>
          <w:rFonts w:ascii="Arial Narrow" w:hAnsi="Arial Narrow" w:cs="Arial"/>
          <w:bCs/>
          <w:color w:val="000000" w:themeColor="text1"/>
          <w:sz w:val="26"/>
          <w:szCs w:val="26"/>
          <w:lang w:val="es-MX"/>
        </w:rPr>
      </w:pPr>
      <w:r>
        <w:rPr>
          <w:rFonts w:ascii="Arial Narrow" w:hAnsi="Arial Narrow" w:cs="Arial"/>
          <w:bCs/>
          <w:color w:val="000000" w:themeColor="text1"/>
          <w:sz w:val="26"/>
          <w:szCs w:val="26"/>
          <w:lang w:val="es-MX"/>
        </w:rPr>
        <w:t>FONDEJEMPLO</w:t>
      </w:r>
      <w:r w:rsidR="0010027E" w:rsidRPr="003C5DE8">
        <w:rPr>
          <w:rFonts w:ascii="Arial Narrow" w:hAnsi="Arial Narrow" w:cs="Arial"/>
          <w:bCs/>
          <w:color w:val="000000" w:themeColor="text1"/>
          <w:sz w:val="26"/>
          <w:szCs w:val="26"/>
          <w:lang w:val="es-MX"/>
        </w:rPr>
        <w:t xml:space="preserve"> podrá eliminar la condición de reestructurado cuando el deudor efectúe pagos regulares y efectivos a capital e intereses por un período ininterrumpido de 18 meses para microcrédito, 2 años para consumo y de 4 años para los créditos de las modalidades comercial y de vivienda.</w:t>
      </w:r>
    </w:p>
    <w:p w14:paraId="7E3D621D"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 </w:t>
      </w:r>
    </w:p>
    <w:p w14:paraId="13E9E21B" w14:textId="77777777" w:rsidR="0010027E" w:rsidRPr="003C5DE8" w:rsidRDefault="0010027E" w:rsidP="003C5DE8">
      <w:pPr>
        <w:pStyle w:val="Ttulo4"/>
        <w:suppressAutoHyphens/>
        <w:spacing w:before="0"/>
        <w:ind w:left="567" w:hanging="567"/>
        <w:jc w:val="both"/>
        <w:rPr>
          <w:rFonts w:ascii="Arial Narrow" w:hAnsi="Arial Narrow"/>
          <w:b/>
          <w:bCs/>
          <w:i w:val="0"/>
          <w:iCs w:val="0"/>
          <w:color w:val="000000" w:themeColor="text1"/>
          <w:sz w:val="26"/>
          <w:szCs w:val="26"/>
          <w:lang w:val="es-CO" w:bidi="en-US"/>
        </w:rPr>
      </w:pPr>
      <w:bookmarkStart w:id="73" w:name="_Toc56498193"/>
      <w:r w:rsidRPr="003C5DE8">
        <w:rPr>
          <w:rFonts w:ascii="Arial Narrow" w:hAnsi="Arial Narrow"/>
          <w:b/>
          <w:bCs/>
          <w:i w:val="0"/>
          <w:iCs w:val="0"/>
          <w:color w:val="000000" w:themeColor="text1"/>
          <w:sz w:val="26"/>
          <w:szCs w:val="26"/>
          <w:lang w:val="es-CO" w:bidi="en-US"/>
        </w:rPr>
        <w:lastRenderedPageBreak/>
        <w:t xml:space="preserve">5.2.3.2. </w:t>
      </w:r>
      <w:r w:rsidRPr="003C5DE8">
        <w:rPr>
          <w:rFonts w:ascii="Arial Narrow" w:hAnsi="Arial Narrow"/>
          <w:b/>
          <w:bCs/>
          <w:i w:val="0"/>
          <w:iCs w:val="0"/>
          <w:color w:val="000000" w:themeColor="text1"/>
          <w:sz w:val="26"/>
          <w:szCs w:val="26"/>
          <w:lang w:val="es-CO" w:bidi="en-US"/>
        </w:rPr>
        <w:tab/>
        <w:t>Novaciones</w:t>
      </w:r>
      <w:bookmarkEnd w:id="73"/>
    </w:p>
    <w:p w14:paraId="0E93EB1F" w14:textId="77777777" w:rsidR="0010027E" w:rsidRPr="003C5DE8" w:rsidRDefault="0010027E" w:rsidP="003C5DE8">
      <w:pPr>
        <w:ind w:left="567" w:hanging="567"/>
        <w:jc w:val="both"/>
        <w:rPr>
          <w:rFonts w:ascii="Arial Narrow" w:hAnsi="Arial Narrow" w:cs="Arial"/>
          <w:color w:val="000000" w:themeColor="text1"/>
          <w:sz w:val="26"/>
          <w:szCs w:val="26"/>
          <w:lang w:val="es-CO" w:bidi="en-US"/>
        </w:rPr>
      </w:pPr>
    </w:p>
    <w:p w14:paraId="5BAFB869" w14:textId="77777777" w:rsidR="0010027E" w:rsidRPr="003C5DE8" w:rsidRDefault="0010027E" w:rsidP="003C5DE8">
      <w:pPr>
        <w:tabs>
          <w:tab w:val="left" w:pos="3932"/>
          <w:tab w:val="center" w:pos="4536"/>
        </w:tabs>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La novación es la sustitución de una nueva obligación a otra anterior, la cual queda por tanto extinguida de conformidad con lo previsto en el artículo 1687 del Código Civil. Los tipos de novación, según lo establecido en el artículo 1690 del Código Civil:</w:t>
      </w:r>
    </w:p>
    <w:p w14:paraId="7F427E2A"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34EF1249" w14:textId="77777777" w:rsidR="0010027E" w:rsidRPr="003C5DE8" w:rsidRDefault="0010027E" w:rsidP="003C5DE8">
      <w:pPr>
        <w:pStyle w:val="Prrafodelista"/>
        <w:widowControl/>
        <w:numPr>
          <w:ilvl w:val="0"/>
          <w:numId w:val="48"/>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Sustituyéndose una nueva obligación a otra, sin que intervenga nuevo acreedor o deudor.</w:t>
      </w:r>
    </w:p>
    <w:p w14:paraId="529D4C44" w14:textId="77777777" w:rsidR="0010027E" w:rsidRPr="003C5DE8" w:rsidRDefault="0010027E" w:rsidP="003C5DE8">
      <w:pPr>
        <w:pStyle w:val="Prrafodelista"/>
        <w:widowControl/>
        <w:numPr>
          <w:ilvl w:val="0"/>
          <w:numId w:val="48"/>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Contrayendo el deudor una nueva obligación respecto de un tercero, y declarándole en consecuencia libre de la obligación primitiva el primer acreedor.</w:t>
      </w:r>
    </w:p>
    <w:p w14:paraId="7783AD0F" w14:textId="77777777" w:rsidR="0010027E" w:rsidRPr="003C5DE8" w:rsidRDefault="0010027E" w:rsidP="003C5DE8">
      <w:pPr>
        <w:pStyle w:val="Prrafodelista"/>
        <w:widowControl/>
        <w:numPr>
          <w:ilvl w:val="0"/>
          <w:numId w:val="48"/>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Sustituyéndose un nuevo deudor al antiguo, que en consecuencia queda libre.</w:t>
      </w:r>
    </w:p>
    <w:p w14:paraId="119308EB" w14:textId="77CC222F" w:rsidR="0010027E" w:rsidRPr="003C5DE8" w:rsidRDefault="0010027E" w:rsidP="003C5DE8">
      <w:pPr>
        <w:pStyle w:val="Prrafodelista"/>
        <w:numPr>
          <w:ilvl w:val="0"/>
          <w:numId w:val="48"/>
        </w:numPr>
        <w:tabs>
          <w:tab w:val="left" w:pos="3932"/>
          <w:tab w:val="center" w:pos="4536"/>
        </w:tabs>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La sola ampliación o reducción del plazo de una deuda no constituye novación, pero pone fin a la responsabilidad de los deudores solidarios y extingue las garantías constituidas. Cuando se realice una novación se debe tener en cuenta que a este nuevo crédito se le </w:t>
      </w:r>
      <w:r w:rsidR="009B3A78" w:rsidRPr="003C5DE8">
        <w:rPr>
          <w:rFonts w:ascii="Arial Narrow" w:hAnsi="Arial Narrow" w:cs="Arial"/>
          <w:bCs/>
          <w:color w:val="000000" w:themeColor="text1"/>
          <w:sz w:val="26"/>
          <w:szCs w:val="26"/>
          <w:lang w:val="es-MX"/>
        </w:rPr>
        <w:t>debe</w:t>
      </w:r>
      <w:r w:rsidRPr="003C5DE8">
        <w:rPr>
          <w:rFonts w:ascii="Arial Narrow" w:hAnsi="Arial Narrow" w:cs="Arial"/>
          <w:bCs/>
          <w:color w:val="000000" w:themeColor="text1"/>
          <w:sz w:val="26"/>
          <w:szCs w:val="26"/>
          <w:lang w:val="es-MX"/>
        </w:rPr>
        <w:t xml:space="preserve"> constituir sus propias garantías, atendiendo las disposiciones establecidas en el Código Civil.</w:t>
      </w:r>
    </w:p>
    <w:p w14:paraId="50C9EB93"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6D5F35D3" w14:textId="716C88D3" w:rsidR="0010027E" w:rsidRPr="003C5DE8" w:rsidRDefault="0010027E" w:rsidP="003C5DE8">
      <w:pPr>
        <w:tabs>
          <w:tab w:val="left" w:pos="3932"/>
          <w:tab w:val="center" w:pos="4536"/>
        </w:tabs>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Una novación no se considera reestructuración cuando el propósito no sea el de facilitar el cumplimiento adecuado de la obligación. En este caso,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deberá realizar todo el procedimiento de evaluación previsto para el otorgamiento del nuevo crédito. Pero si la novación se produce con el ánimo de facilitar el cumplimiento adecuado de una obligación ante el real o potencial deterioro de la capacidad de pago del deudor, se considera una reestructuración y deberá cumplir con el procedimiento señalado para tal evento.</w:t>
      </w:r>
    </w:p>
    <w:p w14:paraId="78A0CE2B"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4C1244D3" w14:textId="77777777" w:rsidR="0010027E" w:rsidRPr="003C5DE8" w:rsidRDefault="0010027E" w:rsidP="003C5DE8">
      <w:pPr>
        <w:pStyle w:val="Ttulo4"/>
        <w:suppressAutoHyphens/>
        <w:spacing w:before="0"/>
        <w:ind w:left="567" w:hanging="567"/>
        <w:jc w:val="both"/>
        <w:rPr>
          <w:rFonts w:ascii="Arial Narrow" w:hAnsi="Arial Narrow"/>
          <w:b/>
          <w:bCs/>
          <w:i w:val="0"/>
          <w:iCs w:val="0"/>
          <w:color w:val="000000" w:themeColor="text1"/>
          <w:sz w:val="26"/>
          <w:szCs w:val="26"/>
          <w:lang w:val="es-CO" w:bidi="en-US"/>
        </w:rPr>
      </w:pPr>
      <w:bookmarkStart w:id="74" w:name="_Toc56498194"/>
      <w:r w:rsidRPr="003C5DE8">
        <w:rPr>
          <w:rFonts w:ascii="Arial Narrow" w:hAnsi="Arial Narrow"/>
          <w:b/>
          <w:bCs/>
          <w:i w:val="0"/>
          <w:iCs w:val="0"/>
          <w:color w:val="000000" w:themeColor="text1"/>
          <w:sz w:val="26"/>
          <w:szCs w:val="26"/>
          <w:lang w:val="es-CO" w:bidi="en-US"/>
        </w:rPr>
        <w:t xml:space="preserve">5.2.3.3. </w:t>
      </w:r>
      <w:r w:rsidRPr="003C5DE8">
        <w:rPr>
          <w:rFonts w:ascii="Arial Narrow" w:hAnsi="Arial Narrow"/>
          <w:b/>
          <w:bCs/>
          <w:i w:val="0"/>
          <w:iCs w:val="0"/>
          <w:color w:val="000000" w:themeColor="text1"/>
          <w:sz w:val="26"/>
          <w:szCs w:val="26"/>
          <w:lang w:val="es-CO" w:bidi="en-US"/>
        </w:rPr>
        <w:tab/>
        <w:t>Otros tipos de modificaciones de la cartera de créditos</w:t>
      </w:r>
      <w:bookmarkEnd w:id="74"/>
      <w:r w:rsidRPr="003C5DE8">
        <w:rPr>
          <w:rFonts w:ascii="Arial Narrow" w:hAnsi="Arial Narrow"/>
          <w:b/>
          <w:bCs/>
          <w:i w:val="0"/>
          <w:iCs w:val="0"/>
          <w:color w:val="000000" w:themeColor="text1"/>
          <w:sz w:val="26"/>
          <w:szCs w:val="26"/>
          <w:lang w:val="es-CO" w:bidi="en-US"/>
        </w:rPr>
        <w:t xml:space="preserve">  </w:t>
      </w:r>
    </w:p>
    <w:p w14:paraId="73E74092" w14:textId="77777777" w:rsidR="0010027E" w:rsidRPr="003C5DE8" w:rsidRDefault="0010027E" w:rsidP="003C5DE8">
      <w:pPr>
        <w:ind w:left="567" w:hanging="567"/>
        <w:jc w:val="both"/>
        <w:rPr>
          <w:rFonts w:ascii="Arial Narrow" w:hAnsi="Arial Narrow" w:cs="Arial"/>
          <w:color w:val="000000" w:themeColor="text1"/>
          <w:sz w:val="26"/>
          <w:szCs w:val="26"/>
          <w:lang w:val="es-CO" w:bidi="en-US"/>
        </w:rPr>
      </w:pPr>
    </w:p>
    <w:p w14:paraId="7C5758FB" w14:textId="7534884B" w:rsidR="0010027E" w:rsidRPr="003C5DE8" w:rsidRDefault="009A4C18" w:rsidP="003C5DE8">
      <w:pPr>
        <w:tabs>
          <w:tab w:val="left" w:pos="3932"/>
          <w:tab w:val="center" w:pos="4536"/>
        </w:tabs>
        <w:jc w:val="both"/>
        <w:rPr>
          <w:rFonts w:ascii="Arial Narrow" w:hAnsi="Arial Narrow" w:cs="Arial"/>
          <w:bCs/>
          <w:color w:val="000000" w:themeColor="text1"/>
          <w:sz w:val="26"/>
          <w:szCs w:val="26"/>
          <w:lang w:val="es-MX"/>
        </w:rPr>
      </w:pPr>
      <w:r>
        <w:rPr>
          <w:rFonts w:ascii="Arial Narrow" w:hAnsi="Arial Narrow" w:cs="Arial"/>
          <w:bCs/>
          <w:color w:val="000000" w:themeColor="text1"/>
          <w:sz w:val="26"/>
          <w:szCs w:val="26"/>
          <w:lang w:val="es-MX"/>
        </w:rPr>
        <w:t>FONDEJEMPLO</w:t>
      </w:r>
      <w:r w:rsidR="0010027E" w:rsidRPr="003C5DE8">
        <w:rPr>
          <w:rFonts w:ascii="Arial Narrow" w:hAnsi="Arial Narrow" w:cs="Arial"/>
          <w:bCs/>
          <w:color w:val="000000" w:themeColor="text1"/>
          <w:sz w:val="26"/>
          <w:szCs w:val="26"/>
          <w:lang w:val="es-MX"/>
        </w:rPr>
        <w:t xml:space="preserve"> podrán modificar, a solicitud del deudor o por iniciativa de </w:t>
      </w:r>
      <w:r>
        <w:rPr>
          <w:rFonts w:ascii="Arial Narrow" w:hAnsi="Arial Narrow" w:cs="Arial"/>
          <w:bCs/>
          <w:color w:val="000000" w:themeColor="text1"/>
          <w:sz w:val="26"/>
          <w:szCs w:val="26"/>
          <w:lang w:val="es-MX"/>
        </w:rPr>
        <w:t>FONDEJEMPLO</w:t>
      </w:r>
      <w:r w:rsidR="0010027E" w:rsidRPr="003C5DE8">
        <w:rPr>
          <w:rFonts w:ascii="Arial Narrow" w:hAnsi="Arial Narrow" w:cs="Arial"/>
          <w:bCs/>
          <w:color w:val="000000" w:themeColor="text1"/>
          <w:sz w:val="26"/>
          <w:szCs w:val="26"/>
          <w:lang w:val="es-MX"/>
        </w:rPr>
        <w:t xml:space="preserve"> que otorgó el crédito, previo acuerdo con el deudor, las condiciones inicialmente pactadas de los créditos, con el fin de permitirle al deudor la atención adecuada de su obligación ante el potencial o real deterioro de su capacidad de pago, sin que estos ajustes sean considerados como una reestructuración en los términos señalados en el </w:t>
      </w:r>
      <w:r w:rsidR="001C0DEB" w:rsidRPr="003C5DE8">
        <w:rPr>
          <w:rFonts w:ascii="Arial Narrow" w:hAnsi="Arial Narrow" w:cs="Arial"/>
          <w:bCs/>
          <w:color w:val="000000" w:themeColor="text1"/>
          <w:sz w:val="26"/>
          <w:szCs w:val="26"/>
          <w:lang w:val="es-MX"/>
        </w:rPr>
        <w:t>presente manual</w:t>
      </w:r>
      <w:r w:rsidR="0010027E" w:rsidRPr="003C5DE8">
        <w:rPr>
          <w:rFonts w:ascii="Arial Narrow" w:hAnsi="Arial Narrow" w:cs="Arial"/>
          <w:bCs/>
          <w:color w:val="000000" w:themeColor="text1"/>
          <w:sz w:val="26"/>
          <w:szCs w:val="26"/>
          <w:lang w:val="es-MX"/>
        </w:rPr>
        <w:t xml:space="preserve">, siempre y cuando durante los últimos 6 meses el crédito no haya alcanzado una mora mayor a 60 días para microcrédito y consumo; y 90 días para comercial y vivienda. En todo caso, </w:t>
      </w:r>
      <w:proofErr w:type="gramStart"/>
      <w:r w:rsidR="0010027E" w:rsidRPr="003C5DE8">
        <w:rPr>
          <w:rFonts w:ascii="Arial Narrow" w:hAnsi="Arial Narrow" w:cs="Arial"/>
          <w:bCs/>
          <w:color w:val="000000" w:themeColor="text1"/>
          <w:sz w:val="26"/>
          <w:szCs w:val="26"/>
          <w:lang w:val="es-MX"/>
        </w:rPr>
        <w:t xml:space="preserve">estas modificaciones </w:t>
      </w:r>
      <w:r w:rsidR="009B3A78" w:rsidRPr="003C5DE8">
        <w:rPr>
          <w:rFonts w:ascii="Arial Narrow" w:hAnsi="Arial Narrow" w:cs="Arial"/>
          <w:bCs/>
          <w:color w:val="000000" w:themeColor="text1"/>
          <w:sz w:val="26"/>
          <w:szCs w:val="26"/>
          <w:lang w:val="es-MX"/>
        </w:rPr>
        <w:t>debe</w:t>
      </w:r>
      <w:proofErr w:type="gramEnd"/>
      <w:r w:rsidR="0010027E" w:rsidRPr="003C5DE8">
        <w:rPr>
          <w:rFonts w:ascii="Arial Narrow" w:hAnsi="Arial Narrow" w:cs="Arial"/>
          <w:bCs/>
          <w:color w:val="000000" w:themeColor="text1"/>
          <w:sz w:val="26"/>
          <w:szCs w:val="26"/>
          <w:lang w:val="es-MX"/>
        </w:rPr>
        <w:t xml:space="preserve"> corresponder a políticas aprobadas previamente por el </w:t>
      </w:r>
      <w:r w:rsidR="007D2AC3" w:rsidRPr="003C5DE8">
        <w:rPr>
          <w:rFonts w:ascii="Arial Narrow" w:hAnsi="Arial Narrow" w:cs="Arial"/>
          <w:bCs/>
          <w:color w:val="000000" w:themeColor="text1"/>
          <w:sz w:val="26"/>
          <w:szCs w:val="26"/>
          <w:lang w:val="es-MX"/>
        </w:rPr>
        <w:t>órgano permanente de administración</w:t>
      </w:r>
      <w:r w:rsidR="0010027E" w:rsidRPr="003C5DE8">
        <w:rPr>
          <w:rFonts w:ascii="Arial Narrow" w:hAnsi="Arial Narrow" w:cs="Arial"/>
          <w:bCs/>
          <w:color w:val="000000" w:themeColor="text1"/>
          <w:sz w:val="26"/>
          <w:szCs w:val="26"/>
          <w:lang w:val="es-MX"/>
        </w:rPr>
        <w:t xml:space="preserve">, </w:t>
      </w:r>
      <w:r w:rsidR="002140BF" w:rsidRPr="003C5DE8">
        <w:rPr>
          <w:rFonts w:ascii="Arial Narrow" w:hAnsi="Arial Narrow" w:cs="Arial"/>
          <w:bCs/>
          <w:color w:val="000000" w:themeColor="text1"/>
          <w:sz w:val="26"/>
          <w:szCs w:val="26"/>
          <w:lang w:val="es-MX"/>
        </w:rPr>
        <w:t>deberá</w:t>
      </w:r>
      <w:r w:rsidR="0010027E" w:rsidRPr="003C5DE8">
        <w:rPr>
          <w:rFonts w:ascii="Arial Narrow" w:hAnsi="Arial Narrow" w:cs="Arial"/>
          <w:bCs/>
          <w:color w:val="000000" w:themeColor="text1"/>
          <w:sz w:val="26"/>
          <w:szCs w:val="26"/>
          <w:lang w:val="es-MX"/>
        </w:rPr>
        <w:t xml:space="preserve"> ser un recurso excepcional para regularizar el comportamiento de la cartera de créditos y no pueden convertirse en una práctica generalizada.</w:t>
      </w:r>
      <w:r w:rsidR="0076126D" w:rsidRPr="003C5DE8">
        <w:rPr>
          <w:rFonts w:ascii="Arial Narrow" w:hAnsi="Arial Narrow" w:cs="Arial"/>
          <w:bCs/>
          <w:color w:val="000000" w:themeColor="text1"/>
          <w:sz w:val="26"/>
          <w:szCs w:val="26"/>
          <w:lang w:val="es-MX"/>
        </w:rPr>
        <w:t xml:space="preserve"> </w:t>
      </w:r>
      <w:r w:rsidR="0010027E" w:rsidRPr="003C5DE8">
        <w:rPr>
          <w:rFonts w:ascii="Arial Narrow" w:hAnsi="Arial Narrow" w:cs="Arial"/>
          <w:bCs/>
          <w:color w:val="000000" w:themeColor="text1"/>
          <w:sz w:val="26"/>
          <w:szCs w:val="26"/>
          <w:lang w:val="es-MX"/>
        </w:rPr>
        <w:t>Respecto a estos créditos se debe observar lo siguiente:</w:t>
      </w:r>
    </w:p>
    <w:p w14:paraId="3DFD98AF"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44D74305" w14:textId="0827541A" w:rsidR="0010027E" w:rsidRPr="003C5DE8" w:rsidRDefault="0010027E" w:rsidP="003C5DE8">
      <w:pPr>
        <w:pStyle w:val="Prrafodelista"/>
        <w:widowControl/>
        <w:numPr>
          <w:ilvl w:val="0"/>
          <w:numId w:val="31"/>
        </w:numPr>
        <w:tabs>
          <w:tab w:val="left" w:pos="3932"/>
          <w:tab w:val="center" w:pos="4536"/>
        </w:tabs>
        <w:autoSpaceDE/>
        <w:autoSpaceDN/>
        <w:ind w:left="567" w:hanging="567"/>
        <w:contextualSpacing/>
        <w:jc w:val="both"/>
        <w:rPr>
          <w:rFonts w:ascii="Arial Narrow" w:hAnsi="Arial Narrow" w:cs="Arial"/>
          <w:b/>
          <w:color w:val="000000" w:themeColor="text1"/>
          <w:sz w:val="26"/>
          <w:szCs w:val="26"/>
          <w:lang w:val="es-MX"/>
        </w:rPr>
      </w:pPr>
      <w:proofErr w:type="gramStart"/>
      <w:r w:rsidRPr="003C5DE8">
        <w:rPr>
          <w:rFonts w:ascii="Arial Narrow" w:hAnsi="Arial Narrow" w:cs="Arial"/>
          <w:bCs/>
          <w:color w:val="000000" w:themeColor="text1"/>
          <w:sz w:val="26"/>
          <w:szCs w:val="26"/>
          <w:lang w:val="es-MX"/>
        </w:rPr>
        <w:t xml:space="preserve">Las nuevas condiciones </w:t>
      </w:r>
      <w:r w:rsidR="009B3A78" w:rsidRPr="003C5DE8">
        <w:rPr>
          <w:rFonts w:ascii="Arial Narrow" w:hAnsi="Arial Narrow" w:cs="Arial"/>
          <w:bCs/>
          <w:color w:val="000000" w:themeColor="text1"/>
          <w:sz w:val="26"/>
          <w:szCs w:val="26"/>
          <w:lang w:val="es-MX"/>
        </w:rPr>
        <w:t>debe</w:t>
      </w:r>
      <w:proofErr w:type="gramEnd"/>
      <w:r w:rsidRPr="003C5DE8">
        <w:rPr>
          <w:rFonts w:ascii="Arial Narrow" w:hAnsi="Arial Narrow" w:cs="Arial"/>
          <w:bCs/>
          <w:color w:val="000000" w:themeColor="text1"/>
          <w:sz w:val="26"/>
          <w:szCs w:val="26"/>
          <w:lang w:val="es-MX"/>
        </w:rPr>
        <w:t xml:space="preserve"> tener en cuenta el análisis de riesgo y capacidad de pago del deudor, sin desmejorar las garantías y sin que implique el </w:t>
      </w:r>
      <w:r w:rsidRPr="003C5DE8">
        <w:rPr>
          <w:rFonts w:ascii="Arial Narrow" w:hAnsi="Arial Narrow" w:cs="Arial"/>
          <w:b/>
          <w:color w:val="000000" w:themeColor="text1"/>
          <w:sz w:val="26"/>
          <w:szCs w:val="26"/>
          <w:lang w:val="es-MX"/>
        </w:rPr>
        <w:t>uso excesivo de periodos de gracia.</w:t>
      </w:r>
    </w:p>
    <w:p w14:paraId="10476DF7" w14:textId="4EE0E9B8" w:rsidR="0010027E" w:rsidRPr="003C5DE8" w:rsidRDefault="0010027E" w:rsidP="003C5DE8">
      <w:pPr>
        <w:pStyle w:val="Prrafodelista"/>
        <w:widowControl/>
        <w:numPr>
          <w:ilvl w:val="0"/>
          <w:numId w:val="31"/>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Si el deudor incumple el pago del crédito bajo las nuevas condiciones (mayor a 30 días de mora), se debe reconocer como una reestructuración, según las instrucciones previstas en el </w:t>
      </w:r>
      <w:r w:rsidR="001C0DEB" w:rsidRPr="003C5DE8">
        <w:rPr>
          <w:rFonts w:ascii="Arial Narrow" w:hAnsi="Arial Narrow" w:cs="Arial"/>
          <w:bCs/>
          <w:color w:val="000000" w:themeColor="text1"/>
          <w:sz w:val="26"/>
          <w:szCs w:val="26"/>
          <w:lang w:val="es-MX"/>
        </w:rPr>
        <w:t>presente manual</w:t>
      </w:r>
      <w:r w:rsidRPr="003C5DE8">
        <w:rPr>
          <w:rFonts w:ascii="Arial Narrow" w:hAnsi="Arial Narrow" w:cs="Arial"/>
          <w:bCs/>
          <w:color w:val="000000" w:themeColor="text1"/>
          <w:sz w:val="26"/>
          <w:szCs w:val="26"/>
          <w:lang w:val="es-MX"/>
        </w:rPr>
        <w:t>.</w:t>
      </w:r>
      <w:r w:rsidR="0076126D" w:rsidRPr="003C5DE8">
        <w:rPr>
          <w:rFonts w:ascii="Arial Narrow" w:hAnsi="Arial Narrow" w:cs="Arial"/>
          <w:bCs/>
          <w:color w:val="000000" w:themeColor="text1"/>
          <w:sz w:val="26"/>
          <w:szCs w:val="26"/>
          <w:lang w:val="es-MX"/>
        </w:rPr>
        <w:t xml:space="preserve"> </w:t>
      </w:r>
      <w:r w:rsidRPr="003C5DE8">
        <w:rPr>
          <w:rFonts w:ascii="Arial Narrow" w:hAnsi="Arial Narrow" w:cs="Arial"/>
          <w:bCs/>
          <w:color w:val="000000" w:themeColor="text1"/>
          <w:sz w:val="26"/>
          <w:szCs w:val="26"/>
          <w:lang w:val="es-MX"/>
        </w:rPr>
        <w:t xml:space="preserve">En este caso,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w:t>
      </w:r>
      <w:r w:rsidR="002140BF" w:rsidRPr="003C5DE8">
        <w:rPr>
          <w:rFonts w:ascii="Arial Narrow" w:hAnsi="Arial Narrow" w:cs="Arial"/>
          <w:bCs/>
          <w:color w:val="000000" w:themeColor="text1"/>
          <w:sz w:val="26"/>
          <w:szCs w:val="26"/>
          <w:lang w:val="es-MX"/>
        </w:rPr>
        <w:t>deberá</w:t>
      </w:r>
      <w:r w:rsidRPr="003C5DE8">
        <w:rPr>
          <w:rFonts w:ascii="Arial Narrow" w:hAnsi="Arial Narrow" w:cs="Arial"/>
          <w:bCs/>
          <w:color w:val="000000" w:themeColor="text1"/>
          <w:sz w:val="26"/>
          <w:szCs w:val="26"/>
          <w:lang w:val="es-MX"/>
        </w:rPr>
        <w:t xml:space="preserve"> determinar las políticas y procedimientos para atender y aprobar las solicitudes de modificación de las condiciones de estos créditos. </w:t>
      </w:r>
    </w:p>
    <w:p w14:paraId="1F524CE9" w14:textId="77777777" w:rsidR="0010027E" w:rsidRPr="003C5DE8" w:rsidRDefault="0010027E" w:rsidP="003C5DE8">
      <w:pPr>
        <w:pStyle w:val="Prrafodelista"/>
        <w:tabs>
          <w:tab w:val="left" w:pos="3932"/>
          <w:tab w:val="center" w:pos="4536"/>
        </w:tabs>
        <w:ind w:left="567" w:hanging="567"/>
        <w:jc w:val="both"/>
        <w:rPr>
          <w:rFonts w:ascii="Arial Narrow" w:hAnsi="Arial Narrow" w:cs="Arial"/>
          <w:color w:val="000000" w:themeColor="text1"/>
          <w:sz w:val="26"/>
          <w:szCs w:val="26"/>
          <w:lang w:val="es-CO"/>
        </w:rPr>
      </w:pPr>
    </w:p>
    <w:p w14:paraId="335D589E" w14:textId="77777777" w:rsidR="0010027E" w:rsidRPr="003C5DE8" w:rsidRDefault="0010027E" w:rsidP="003C5DE8">
      <w:pPr>
        <w:pStyle w:val="Prrafodelista"/>
        <w:widowControl/>
        <w:numPr>
          <w:ilvl w:val="0"/>
          <w:numId w:val="31"/>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No se podrá mejorar la calificación que trae el crédito de forma inmediata, la mejora en la calificación de los créditos </w:t>
      </w:r>
      <w:proofErr w:type="gramStart"/>
      <w:r w:rsidRPr="003C5DE8">
        <w:rPr>
          <w:rFonts w:ascii="Arial Narrow" w:hAnsi="Arial Narrow" w:cs="Arial"/>
          <w:bCs/>
          <w:color w:val="000000" w:themeColor="text1"/>
          <w:sz w:val="26"/>
          <w:szCs w:val="26"/>
          <w:lang w:val="es-MX"/>
        </w:rPr>
        <w:t>modificados,</w:t>
      </w:r>
      <w:proofErr w:type="gramEnd"/>
      <w:r w:rsidRPr="003C5DE8">
        <w:rPr>
          <w:rFonts w:ascii="Arial Narrow" w:hAnsi="Arial Narrow" w:cs="Arial"/>
          <w:bCs/>
          <w:color w:val="000000" w:themeColor="text1"/>
          <w:sz w:val="26"/>
          <w:szCs w:val="26"/>
          <w:lang w:val="es-MX"/>
        </w:rPr>
        <w:t xml:space="preserve"> se deberá realizar de forma escalonada con periodicidad mensual, siempre y cuando el asociado cumpla con el pago de la obligación.</w:t>
      </w:r>
    </w:p>
    <w:p w14:paraId="48036BB7" w14:textId="1BC357DC" w:rsidR="0010027E" w:rsidRPr="003C5DE8" w:rsidRDefault="0010027E" w:rsidP="003C5DE8">
      <w:pPr>
        <w:pStyle w:val="Prrafodelista"/>
        <w:widowControl/>
        <w:numPr>
          <w:ilvl w:val="0"/>
          <w:numId w:val="31"/>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lastRenderedPageBreak/>
        <w:t xml:space="preserve">Establecer políticas y procedimientos específicos para la gestión y seguimiento de las solicitudes de modificación de los créditos, incluyendo períodos de gracia, conforme a los criterios anteriormente descritos. Así mismo, </w:t>
      </w:r>
      <w:r w:rsidR="002140BF" w:rsidRPr="003C5DE8">
        <w:rPr>
          <w:rFonts w:ascii="Arial Narrow" w:hAnsi="Arial Narrow" w:cs="Arial"/>
          <w:bCs/>
          <w:color w:val="000000" w:themeColor="text1"/>
          <w:sz w:val="26"/>
          <w:szCs w:val="26"/>
          <w:lang w:val="es-MX"/>
        </w:rPr>
        <w:t>deberá</w:t>
      </w:r>
      <w:r w:rsidRPr="003C5DE8">
        <w:rPr>
          <w:rFonts w:ascii="Arial Narrow" w:hAnsi="Arial Narrow" w:cs="Arial"/>
          <w:bCs/>
          <w:color w:val="000000" w:themeColor="text1"/>
          <w:sz w:val="26"/>
          <w:szCs w:val="26"/>
          <w:lang w:val="es-MX"/>
        </w:rPr>
        <w:t xml:space="preserve"> mantener en sus análisis, la estimación prospectiva del potencial deterioro en la cartera de crédito asociado a la actividad económica de los deudores.</w:t>
      </w:r>
    </w:p>
    <w:p w14:paraId="56E9A230" w14:textId="4AC4F4E2" w:rsidR="0010027E" w:rsidRPr="003C5DE8" w:rsidRDefault="0010027E" w:rsidP="003C5DE8">
      <w:pPr>
        <w:pStyle w:val="Prrafodelista"/>
        <w:widowControl/>
        <w:numPr>
          <w:ilvl w:val="0"/>
          <w:numId w:val="31"/>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Las obligaciones modificadas o con periodos de gracia, </w:t>
      </w:r>
      <w:r w:rsidR="009B3A78" w:rsidRPr="003C5DE8">
        <w:rPr>
          <w:rFonts w:ascii="Arial Narrow" w:hAnsi="Arial Narrow" w:cs="Arial"/>
          <w:bCs/>
          <w:color w:val="000000" w:themeColor="text1"/>
          <w:sz w:val="26"/>
          <w:szCs w:val="26"/>
          <w:lang w:val="es-MX"/>
        </w:rPr>
        <w:t>debe</w:t>
      </w:r>
      <w:r w:rsidRPr="003C5DE8">
        <w:rPr>
          <w:rFonts w:ascii="Arial Narrow" w:hAnsi="Arial Narrow" w:cs="Arial"/>
          <w:bCs/>
          <w:color w:val="000000" w:themeColor="text1"/>
          <w:sz w:val="26"/>
          <w:szCs w:val="26"/>
          <w:lang w:val="es-MX"/>
        </w:rPr>
        <w:t xml:space="preserve"> ser objeto de monitoreo especial por parte de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por lo que se </w:t>
      </w:r>
      <w:r w:rsidR="002140BF" w:rsidRPr="003C5DE8">
        <w:rPr>
          <w:rFonts w:ascii="Arial Narrow" w:hAnsi="Arial Narrow" w:cs="Arial"/>
          <w:bCs/>
          <w:color w:val="000000" w:themeColor="text1"/>
          <w:sz w:val="26"/>
          <w:szCs w:val="26"/>
          <w:lang w:val="es-MX"/>
        </w:rPr>
        <w:t>deberá</w:t>
      </w:r>
      <w:r w:rsidRPr="003C5DE8">
        <w:rPr>
          <w:rFonts w:ascii="Arial Narrow" w:hAnsi="Arial Narrow" w:cs="Arial"/>
          <w:bCs/>
          <w:color w:val="000000" w:themeColor="text1"/>
          <w:sz w:val="26"/>
          <w:szCs w:val="26"/>
          <w:lang w:val="es-MX"/>
        </w:rPr>
        <w:t xml:space="preserve"> identificar en sus sistemas de información para el respectivo seguimiento. Sin embargo, una vez el deudor efectúe pagos regulares y efectivos a capital e intereses por un período de 9 meses ininterrumpidos para microcrédito, 1 año ininterrumpido para consumo y de 2 años ininterrumpidos para los créditos de las modalidades comercial y de vivienda, el crédito podrá salir de este monitoreo.</w:t>
      </w:r>
    </w:p>
    <w:p w14:paraId="162ED1A4" w14:textId="5834AF16" w:rsidR="0010027E" w:rsidRPr="003C5DE8" w:rsidRDefault="0010027E" w:rsidP="003C5DE8">
      <w:pPr>
        <w:pStyle w:val="Prrafodelista"/>
        <w:widowControl/>
        <w:numPr>
          <w:ilvl w:val="0"/>
          <w:numId w:val="31"/>
        </w:numPr>
        <w:tabs>
          <w:tab w:val="left" w:pos="3932"/>
          <w:tab w:val="center" w:pos="4536"/>
        </w:tabs>
        <w:autoSpaceDE/>
        <w:autoSpaceDN/>
        <w:ind w:left="567" w:hanging="567"/>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En el caso de otorgar períodos de gracia, </w:t>
      </w:r>
      <w:r w:rsidRPr="003C5DE8">
        <w:rPr>
          <w:rFonts w:ascii="Arial Narrow" w:hAnsi="Arial Narrow" w:cs="Arial"/>
          <w:b/>
          <w:color w:val="000000" w:themeColor="text1"/>
          <w:sz w:val="26"/>
          <w:szCs w:val="26"/>
          <w:lang w:val="es-MX"/>
        </w:rPr>
        <w:t>la calificación de la obligación deberá mantenerse</w:t>
      </w:r>
      <w:r w:rsidRPr="003C5DE8">
        <w:rPr>
          <w:rFonts w:ascii="Arial Narrow" w:hAnsi="Arial Narrow" w:cs="Arial"/>
          <w:bCs/>
          <w:color w:val="000000" w:themeColor="text1"/>
          <w:sz w:val="26"/>
          <w:szCs w:val="26"/>
          <w:lang w:val="es-MX"/>
        </w:rPr>
        <w:t xml:space="preserve">, durante la vigencia de esta condición; sin embargo, si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lo considera pertinente, la calificación podrá deteriorarse, de acuerdo con el análisis de riesgo realizado para tal efecto; la aprobación y aplicación del período de gracia, no implica una mejora en la calificación del deudor.</w:t>
      </w:r>
      <w:r w:rsidR="0076126D" w:rsidRPr="003C5DE8">
        <w:rPr>
          <w:rFonts w:ascii="Arial Narrow" w:hAnsi="Arial Narrow" w:cs="Arial"/>
          <w:bCs/>
          <w:color w:val="000000" w:themeColor="text1"/>
          <w:sz w:val="26"/>
          <w:szCs w:val="26"/>
          <w:lang w:val="es-MX"/>
        </w:rPr>
        <w:t xml:space="preserve"> </w:t>
      </w:r>
      <w:r w:rsidRPr="003C5DE8">
        <w:rPr>
          <w:rFonts w:ascii="Arial Narrow" w:hAnsi="Arial Narrow" w:cs="Arial"/>
          <w:bCs/>
          <w:color w:val="000000" w:themeColor="text1"/>
          <w:sz w:val="26"/>
          <w:szCs w:val="26"/>
          <w:lang w:val="es-MX"/>
        </w:rPr>
        <w:t xml:space="preserve">Durante el plazo que dure el período de gracia, sobre los intereses y otros conceptos asociados al crédito, causados no recaudados por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se deberá constituir un deterioro o provisión del 100% durante el respectivo mes y registrarlos en las cuentas correspondientes. Tales valores sólo se podrán disminuir en la medida que se recauden.</w:t>
      </w:r>
    </w:p>
    <w:p w14:paraId="1D2D4A4F" w14:textId="77777777" w:rsidR="0010027E" w:rsidRPr="003C5DE8" w:rsidRDefault="0010027E" w:rsidP="003C5DE8">
      <w:pPr>
        <w:pStyle w:val="Prrafodelista"/>
        <w:ind w:left="567" w:hanging="567"/>
        <w:jc w:val="both"/>
        <w:rPr>
          <w:rFonts w:ascii="Arial Narrow" w:hAnsi="Arial Narrow" w:cs="Arial"/>
          <w:bCs/>
          <w:color w:val="000000" w:themeColor="text1"/>
          <w:sz w:val="26"/>
          <w:szCs w:val="26"/>
          <w:lang w:val="es-MX"/>
        </w:rPr>
      </w:pPr>
    </w:p>
    <w:p w14:paraId="224B9B32" w14:textId="348FFA64" w:rsidR="0076126D" w:rsidRPr="003C5DE8" w:rsidRDefault="0076126D" w:rsidP="003C5DE8">
      <w:pPr>
        <w:pStyle w:val="Ttulo4"/>
        <w:suppressAutoHyphens/>
        <w:spacing w:before="0"/>
        <w:ind w:left="567" w:hanging="567"/>
        <w:jc w:val="both"/>
        <w:rPr>
          <w:rFonts w:ascii="Arial Narrow" w:hAnsi="Arial Narrow"/>
          <w:b/>
          <w:bCs/>
          <w:i w:val="0"/>
          <w:iCs w:val="0"/>
          <w:color w:val="000000" w:themeColor="text1"/>
          <w:sz w:val="26"/>
          <w:szCs w:val="26"/>
          <w:lang w:val="es-CO" w:bidi="en-US"/>
        </w:rPr>
      </w:pPr>
      <w:r w:rsidRPr="003C5DE8">
        <w:rPr>
          <w:rFonts w:ascii="Arial Narrow" w:hAnsi="Arial Narrow"/>
          <w:b/>
          <w:bCs/>
          <w:i w:val="0"/>
          <w:iCs w:val="0"/>
          <w:color w:val="000000" w:themeColor="text1"/>
          <w:sz w:val="26"/>
          <w:szCs w:val="26"/>
          <w:lang w:val="es-CO" w:bidi="en-US"/>
        </w:rPr>
        <w:t xml:space="preserve">5.2.3.4. </w:t>
      </w:r>
      <w:r w:rsidRPr="003C5DE8">
        <w:rPr>
          <w:rFonts w:ascii="Arial Narrow" w:hAnsi="Arial Narrow"/>
          <w:b/>
          <w:bCs/>
          <w:i w:val="0"/>
          <w:iCs w:val="0"/>
          <w:color w:val="000000" w:themeColor="text1"/>
          <w:sz w:val="26"/>
          <w:szCs w:val="26"/>
          <w:lang w:val="es-CO" w:bidi="en-US"/>
        </w:rPr>
        <w:tab/>
        <w:t xml:space="preserve">Baja en cuenta de cartera de créditos  </w:t>
      </w:r>
    </w:p>
    <w:p w14:paraId="13BF05BB" w14:textId="77777777" w:rsidR="0076126D" w:rsidRPr="003C5DE8" w:rsidRDefault="0076126D" w:rsidP="003C5DE8">
      <w:pPr>
        <w:pStyle w:val="Prrafodelista"/>
        <w:ind w:left="567" w:hanging="567"/>
        <w:jc w:val="both"/>
        <w:rPr>
          <w:rFonts w:ascii="Arial Narrow" w:hAnsi="Arial Narrow" w:cs="Arial"/>
          <w:bCs/>
          <w:color w:val="000000" w:themeColor="text1"/>
          <w:sz w:val="26"/>
          <w:szCs w:val="26"/>
          <w:lang w:val="es-CO"/>
        </w:rPr>
      </w:pPr>
    </w:p>
    <w:p w14:paraId="5B9473E8" w14:textId="618A6A61" w:rsidR="00A929B1" w:rsidRPr="003C5DE8" w:rsidRDefault="0076126D" w:rsidP="003C5DE8">
      <w:pPr>
        <w:pStyle w:val="Ttulo4"/>
        <w:suppressAutoHyphens/>
        <w:spacing w:before="0"/>
        <w:ind w:left="567" w:hanging="567"/>
        <w:jc w:val="both"/>
        <w:rPr>
          <w:rFonts w:ascii="Arial Narrow" w:hAnsi="Arial Narrow"/>
          <w:b/>
          <w:bCs/>
          <w:i w:val="0"/>
          <w:iCs w:val="0"/>
          <w:color w:val="000000" w:themeColor="text1"/>
          <w:sz w:val="26"/>
          <w:szCs w:val="26"/>
          <w:lang w:val="es-CO" w:bidi="en-US"/>
        </w:rPr>
      </w:pPr>
      <w:bookmarkStart w:id="75" w:name="_Toc52299491"/>
      <w:bookmarkStart w:id="76" w:name="_Toc97966742"/>
      <w:r w:rsidRPr="003C5DE8">
        <w:rPr>
          <w:rFonts w:ascii="Arial Narrow" w:hAnsi="Arial Narrow"/>
          <w:b/>
          <w:bCs/>
          <w:i w:val="0"/>
          <w:iCs w:val="0"/>
          <w:color w:val="000000" w:themeColor="text1"/>
          <w:sz w:val="26"/>
          <w:szCs w:val="26"/>
          <w:lang w:val="es-CO" w:bidi="en-US"/>
        </w:rPr>
        <w:t>5.2.3.4.1. Criterios mínimos para proceder a dar baja en cuenta</w:t>
      </w:r>
      <w:bookmarkEnd w:id="75"/>
      <w:bookmarkEnd w:id="76"/>
    </w:p>
    <w:p w14:paraId="692F77ED" w14:textId="77777777" w:rsidR="00A929B1" w:rsidRPr="003C5DE8" w:rsidRDefault="00A929B1" w:rsidP="003C5DE8">
      <w:pPr>
        <w:adjustRightInd w:val="0"/>
        <w:jc w:val="both"/>
        <w:rPr>
          <w:rFonts w:ascii="Arial Narrow" w:hAnsi="Arial Narrow" w:cs="Arial"/>
          <w:color w:val="000000" w:themeColor="text1"/>
          <w:sz w:val="26"/>
          <w:szCs w:val="26"/>
          <w:lang w:val="es-CO"/>
        </w:rPr>
      </w:pPr>
    </w:p>
    <w:p w14:paraId="75175783" w14:textId="35975E37" w:rsidR="007752F4" w:rsidRPr="003C5DE8" w:rsidRDefault="00A929B1" w:rsidP="003C5DE8">
      <w:pPr>
        <w:adjustRightInd w:val="0"/>
        <w:jc w:val="both"/>
        <w:rPr>
          <w:rFonts w:ascii="Arial Narrow" w:hAnsi="Arial Narrow" w:cs="Arial"/>
          <w:color w:val="000000" w:themeColor="text1"/>
          <w:sz w:val="26"/>
          <w:szCs w:val="26"/>
          <w:lang w:val="es-CO"/>
        </w:rPr>
      </w:pPr>
      <w:bookmarkStart w:id="77" w:name="_Hlk82508332"/>
      <w:r w:rsidRPr="003C5DE8">
        <w:rPr>
          <w:rFonts w:ascii="Arial Narrow" w:hAnsi="Arial Narrow" w:cs="Arial"/>
          <w:color w:val="000000" w:themeColor="text1"/>
          <w:sz w:val="26"/>
          <w:szCs w:val="26"/>
          <w:lang w:val="es-CO"/>
        </w:rPr>
        <w:t>La baja en cuentas o castigos corresponde a una depuración contable sobre partidas o cantidades registradas en el activo consideradas irrecuperables o de no conversión en efectivo, con el fin de revelar la realidad económica de los bienes y derechos existentes.</w:t>
      </w:r>
      <w:r w:rsidR="007752F4" w:rsidRPr="003C5DE8">
        <w:rPr>
          <w:rFonts w:ascii="Arial Narrow" w:hAnsi="Arial Narrow" w:cs="Arial"/>
          <w:color w:val="000000" w:themeColor="text1"/>
          <w:sz w:val="26"/>
          <w:szCs w:val="26"/>
          <w:lang w:val="es-CO"/>
        </w:rPr>
        <w:t xml:space="preserve"> Sin perjuicio de las acciones que se deriven como responsabilidades a cargo de los administradores, como consecuencia de dar baja en cuenta de activos que dejaron de generar un beneficio económico futuro, el órgano permanente de administración previo el análisis y el cumplimiento de los requisitos mínimos señalados en el presente manual, podrá autorizar la baja en cuenta de activos</w:t>
      </w:r>
    </w:p>
    <w:p w14:paraId="5D18A779" w14:textId="1B8526D8" w:rsidR="00A929B1" w:rsidRPr="003C5DE8" w:rsidRDefault="00A929B1" w:rsidP="003C5DE8">
      <w:pPr>
        <w:adjustRightInd w:val="0"/>
        <w:jc w:val="both"/>
        <w:rPr>
          <w:rFonts w:ascii="Arial Narrow" w:hAnsi="Arial Narrow" w:cs="Arial"/>
          <w:color w:val="000000" w:themeColor="text1"/>
          <w:sz w:val="26"/>
          <w:szCs w:val="26"/>
          <w:lang w:val="es-CO"/>
        </w:rPr>
      </w:pPr>
    </w:p>
    <w:p w14:paraId="22D4F05F" w14:textId="0C25B005" w:rsidR="00A929B1" w:rsidRPr="003C5DE8" w:rsidRDefault="00A929B1" w:rsidP="003C5DE8">
      <w:pPr>
        <w:adjustRightInd w:val="0"/>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En el caso de la cartera de crédito y cuentas por cobrar derivadas de ésta, se deberá, al momento de exclusión o retiro voluntario del asociado, efectuar el cruce de aportes sociales y otros valores a favor del asociado retirado sobre el saldo insoluto de las obligaciones.  Por lo tanto, no puede existir baja en cuenta de estas operaciones sobre deudores que continúen asociados a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 xml:space="preserve">. En caso de pérdidas del ejercicio </w:t>
      </w:r>
      <w:r w:rsidR="007752F4" w:rsidRPr="003C5DE8">
        <w:rPr>
          <w:rFonts w:ascii="Arial Narrow" w:hAnsi="Arial Narrow" w:cs="Arial"/>
          <w:color w:val="000000" w:themeColor="text1"/>
          <w:sz w:val="26"/>
          <w:szCs w:val="26"/>
          <w:lang w:val="es-CO"/>
        </w:rPr>
        <w:t xml:space="preserve">que no alcancen a ser cubiertas con la reserva para protección de aportes, </w:t>
      </w:r>
      <w:r w:rsidRPr="003C5DE8">
        <w:rPr>
          <w:rFonts w:ascii="Arial Narrow" w:hAnsi="Arial Narrow" w:cs="Arial"/>
          <w:color w:val="000000" w:themeColor="text1"/>
          <w:sz w:val="26"/>
          <w:szCs w:val="26"/>
          <w:lang w:val="es-CO"/>
        </w:rPr>
        <w:t xml:space="preserve">se deberá aplicar </w:t>
      </w:r>
      <w:r w:rsidR="007752F4" w:rsidRPr="003C5DE8">
        <w:rPr>
          <w:rFonts w:ascii="Arial Narrow" w:hAnsi="Arial Narrow" w:cs="Arial"/>
          <w:color w:val="000000" w:themeColor="text1"/>
          <w:sz w:val="26"/>
          <w:szCs w:val="26"/>
          <w:lang w:val="es-CO"/>
        </w:rPr>
        <w:t>la retención proporcional de pérdidas</w:t>
      </w:r>
      <w:r w:rsidRPr="003C5DE8">
        <w:rPr>
          <w:rFonts w:ascii="Arial Narrow" w:hAnsi="Arial Narrow" w:cs="Arial"/>
          <w:color w:val="000000" w:themeColor="text1"/>
          <w:sz w:val="26"/>
          <w:szCs w:val="26"/>
          <w:lang w:val="es-CO"/>
        </w:rPr>
        <w:t xml:space="preserve"> y luego proceder a la baja en cuenta del saldo insoluto de la obligación.</w:t>
      </w:r>
    </w:p>
    <w:p w14:paraId="64A07494" w14:textId="77777777" w:rsidR="00A929B1" w:rsidRPr="003C5DE8" w:rsidRDefault="00A929B1" w:rsidP="003C5DE8">
      <w:pPr>
        <w:adjustRightInd w:val="0"/>
        <w:jc w:val="both"/>
        <w:rPr>
          <w:rFonts w:ascii="Arial Narrow" w:hAnsi="Arial Narrow" w:cs="Arial"/>
          <w:color w:val="000000" w:themeColor="text1"/>
          <w:sz w:val="26"/>
          <w:szCs w:val="26"/>
          <w:lang w:val="es-CO"/>
        </w:rPr>
      </w:pPr>
    </w:p>
    <w:p w14:paraId="54209C59" w14:textId="01DD1452" w:rsidR="00A929B1" w:rsidRPr="003C5DE8" w:rsidRDefault="007752F4" w:rsidP="003C5DE8">
      <w:pPr>
        <w:adjustRightInd w:val="0"/>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El órgano permanente de </w:t>
      </w:r>
      <w:proofErr w:type="gramStart"/>
      <w:r w:rsidRPr="003C5DE8">
        <w:rPr>
          <w:rFonts w:ascii="Arial Narrow" w:hAnsi="Arial Narrow" w:cs="Arial"/>
          <w:color w:val="000000" w:themeColor="text1"/>
          <w:sz w:val="26"/>
          <w:szCs w:val="26"/>
          <w:lang w:val="es-CO"/>
        </w:rPr>
        <w:t>administración</w:t>
      </w:r>
      <w:r w:rsidR="00A929B1" w:rsidRPr="003C5DE8">
        <w:rPr>
          <w:rFonts w:ascii="Arial Narrow" w:hAnsi="Arial Narrow" w:cs="Arial"/>
          <w:color w:val="000000" w:themeColor="text1"/>
          <w:sz w:val="26"/>
          <w:szCs w:val="26"/>
          <w:lang w:val="es-CO"/>
        </w:rPr>
        <w:t>,</w:t>
      </w:r>
      <w:proofErr w:type="gramEnd"/>
      <w:r w:rsidR="00A929B1" w:rsidRPr="003C5DE8">
        <w:rPr>
          <w:rFonts w:ascii="Arial Narrow" w:hAnsi="Arial Narrow" w:cs="Arial"/>
          <w:color w:val="000000" w:themeColor="text1"/>
          <w:sz w:val="26"/>
          <w:szCs w:val="26"/>
          <w:lang w:val="es-CO"/>
        </w:rPr>
        <w:t xml:space="preserve"> debe ampararse en los informes presentados por el estamento encargado (gerente, comités y/o abogados). Los informes deben estar debidamente motivados indicando, en forma detallada el origen de la decisión y soportados en documentos técnicos que demuestren el estudio adelantado y los resultados de la gestión efectuada.</w:t>
      </w:r>
      <w:r w:rsidRPr="003C5DE8">
        <w:rPr>
          <w:rFonts w:ascii="Arial Narrow" w:hAnsi="Arial Narrow" w:cs="Arial"/>
          <w:color w:val="000000" w:themeColor="text1"/>
          <w:sz w:val="26"/>
          <w:szCs w:val="26"/>
          <w:lang w:val="es-CO"/>
        </w:rPr>
        <w:t xml:space="preserve">  No se requiere informe de abogado para créditos vencidos </w:t>
      </w:r>
      <w:r w:rsidR="00E7451B" w:rsidRPr="003C5DE8">
        <w:rPr>
          <w:rFonts w:ascii="Arial Narrow" w:hAnsi="Arial Narrow" w:cs="Arial"/>
          <w:color w:val="000000" w:themeColor="text1"/>
          <w:sz w:val="26"/>
          <w:szCs w:val="26"/>
          <w:lang w:val="es-CO"/>
        </w:rPr>
        <w:t>más de un año cuyo saldo insoluto sea inferior a 5 SMLMV porque su baja cuantía no amerita el enviarlo a cobro jurídico por ser una medida poco costo eficiente en materia de recuperación.</w:t>
      </w:r>
    </w:p>
    <w:p w14:paraId="021AE65E" w14:textId="77777777" w:rsidR="00A929B1" w:rsidRPr="003C5DE8" w:rsidRDefault="00A929B1" w:rsidP="003C5DE8">
      <w:pPr>
        <w:adjustRightInd w:val="0"/>
        <w:jc w:val="both"/>
        <w:rPr>
          <w:rFonts w:ascii="Arial Narrow" w:hAnsi="Arial Narrow" w:cs="Arial"/>
          <w:color w:val="000000" w:themeColor="text1"/>
          <w:sz w:val="26"/>
          <w:szCs w:val="26"/>
          <w:lang w:val="es-CO"/>
        </w:rPr>
      </w:pPr>
    </w:p>
    <w:p w14:paraId="5D044411" w14:textId="330DD2B4" w:rsidR="00A929B1" w:rsidRPr="003C5DE8" w:rsidRDefault="00E7451B" w:rsidP="003C5DE8">
      <w:pPr>
        <w:adjustRightInd w:val="0"/>
        <w:jc w:val="both"/>
        <w:outlineLvl w:val="1"/>
        <w:rPr>
          <w:rFonts w:ascii="Arial Narrow" w:hAnsi="Arial Narrow" w:cs="Arial"/>
          <w:b/>
          <w:bCs/>
          <w:color w:val="000000" w:themeColor="text1"/>
          <w:sz w:val="26"/>
          <w:szCs w:val="26"/>
          <w:lang w:val="es-CO"/>
        </w:rPr>
      </w:pPr>
      <w:bookmarkStart w:id="78" w:name="_Toc52299492"/>
      <w:bookmarkStart w:id="79" w:name="_Toc97966743"/>
      <w:r w:rsidRPr="003C5DE8">
        <w:rPr>
          <w:rFonts w:ascii="Arial Narrow" w:hAnsi="Arial Narrow" w:cs="Arial"/>
          <w:b/>
          <w:bCs/>
          <w:color w:val="000000" w:themeColor="text1"/>
          <w:sz w:val="26"/>
          <w:szCs w:val="26"/>
          <w:lang w:val="es-CO"/>
        </w:rPr>
        <w:lastRenderedPageBreak/>
        <w:t>5.2.3.4.2. Plazo para reportar la baja en cuenta</w:t>
      </w:r>
      <w:bookmarkEnd w:id="78"/>
      <w:bookmarkEnd w:id="79"/>
    </w:p>
    <w:p w14:paraId="07B4288F" w14:textId="77777777" w:rsidR="00A929B1" w:rsidRPr="003C5DE8" w:rsidRDefault="00A929B1" w:rsidP="003C5DE8">
      <w:pPr>
        <w:adjustRightInd w:val="0"/>
        <w:jc w:val="both"/>
        <w:outlineLvl w:val="1"/>
        <w:rPr>
          <w:rFonts w:ascii="Arial Narrow" w:hAnsi="Arial Narrow" w:cs="Arial"/>
          <w:b/>
          <w:bCs/>
          <w:color w:val="000000" w:themeColor="text1"/>
          <w:sz w:val="26"/>
          <w:szCs w:val="26"/>
          <w:lang w:val="es-CO"/>
        </w:rPr>
      </w:pPr>
    </w:p>
    <w:p w14:paraId="1096A174" w14:textId="06C1D44A" w:rsidR="00A929B1" w:rsidRPr="003C5DE8" w:rsidRDefault="009A4C18" w:rsidP="003C5DE8">
      <w:pPr>
        <w:adjustRightInd w:val="0"/>
        <w:jc w:val="both"/>
        <w:rPr>
          <w:rFonts w:ascii="Arial Narrow" w:hAnsi="Arial Narrow" w:cs="Arial"/>
          <w:color w:val="000000" w:themeColor="text1"/>
          <w:sz w:val="26"/>
          <w:szCs w:val="26"/>
          <w:lang w:val="es-CO"/>
        </w:rPr>
      </w:pPr>
      <w:r>
        <w:rPr>
          <w:rFonts w:ascii="Arial Narrow" w:hAnsi="Arial Narrow" w:cs="Arial"/>
          <w:color w:val="000000" w:themeColor="text1"/>
          <w:sz w:val="26"/>
          <w:szCs w:val="26"/>
          <w:lang w:val="es-CO"/>
        </w:rPr>
        <w:t>FONDEJEMPLO</w:t>
      </w:r>
      <w:r w:rsidR="00A929B1" w:rsidRPr="003C5DE8">
        <w:rPr>
          <w:rFonts w:ascii="Arial Narrow" w:hAnsi="Arial Narrow" w:cs="Arial"/>
          <w:color w:val="000000" w:themeColor="text1"/>
          <w:sz w:val="26"/>
          <w:szCs w:val="26"/>
          <w:lang w:val="es-CO"/>
        </w:rPr>
        <w:t xml:space="preserve"> deberá reportar a la Superintendencia los activos dados de baja, en el formato correspondiente, de conformidad con la periodicidad del reporte del formulario oficial de rendición de cuentas y el nivel de supervisión de </w:t>
      </w:r>
      <w:r>
        <w:rPr>
          <w:rFonts w:ascii="Arial Narrow" w:hAnsi="Arial Narrow" w:cs="Arial"/>
          <w:color w:val="000000" w:themeColor="text1"/>
          <w:sz w:val="26"/>
          <w:szCs w:val="26"/>
          <w:lang w:val="es-CO"/>
        </w:rPr>
        <w:t>FONDEJEMPLO</w:t>
      </w:r>
      <w:r w:rsidR="00A929B1" w:rsidRPr="003C5DE8">
        <w:rPr>
          <w:rFonts w:ascii="Arial Narrow" w:hAnsi="Arial Narrow" w:cs="Arial"/>
          <w:color w:val="000000" w:themeColor="text1"/>
          <w:sz w:val="26"/>
          <w:szCs w:val="26"/>
          <w:lang w:val="es-CO"/>
        </w:rPr>
        <w:t>.</w:t>
      </w:r>
      <w:r w:rsidR="0052253E" w:rsidRPr="003C5DE8">
        <w:rPr>
          <w:rFonts w:ascii="Arial Narrow" w:hAnsi="Arial Narrow" w:cs="Arial"/>
          <w:color w:val="000000" w:themeColor="text1"/>
          <w:sz w:val="26"/>
          <w:szCs w:val="26"/>
          <w:lang w:val="es-CO"/>
        </w:rPr>
        <w:t xml:space="preserve"> </w:t>
      </w:r>
      <w:r w:rsidR="00A929B1" w:rsidRPr="003C5DE8">
        <w:rPr>
          <w:rFonts w:ascii="Arial Narrow" w:hAnsi="Arial Narrow" w:cs="Arial"/>
          <w:color w:val="000000" w:themeColor="text1"/>
          <w:sz w:val="26"/>
          <w:szCs w:val="26"/>
          <w:lang w:val="es-CO"/>
        </w:rPr>
        <w:t xml:space="preserve">Adicionalmente, </w:t>
      </w:r>
      <w:r w:rsidR="0052253E" w:rsidRPr="003C5DE8">
        <w:rPr>
          <w:rFonts w:ascii="Arial Narrow" w:hAnsi="Arial Narrow" w:cs="Arial"/>
          <w:color w:val="000000" w:themeColor="text1"/>
          <w:sz w:val="26"/>
          <w:szCs w:val="26"/>
          <w:lang w:val="es-CO"/>
        </w:rPr>
        <w:t>deberá mantener a disposición de la Supersolidaria</w:t>
      </w:r>
      <w:r w:rsidR="00A929B1" w:rsidRPr="003C5DE8">
        <w:rPr>
          <w:rFonts w:ascii="Arial Narrow" w:hAnsi="Arial Narrow" w:cs="Arial"/>
          <w:color w:val="000000" w:themeColor="text1"/>
          <w:sz w:val="26"/>
          <w:szCs w:val="26"/>
          <w:lang w:val="es-CO"/>
        </w:rPr>
        <w:t xml:space="preserve"> la información que se enuncia a continuación:</w:t>
      </w:r>
    </w:p>
    <w:p w14:paraId="7DBC8BDF" w14:textId="77777777" w:rsidR="00A929B1" w:rsidRPr="003C5DE8" w:rsidRDefault="00A929B1" w:rsidP="003C5DE8">
      <w:pPr>
        <w:adjustRightInd w:val="0"/>
        <w:jc w:val="both"/>
        <w:rPr>
          <w:rFonts w:ascii="Arial Narrow" w:hAnsi="Arial Narrow" w:cs="Arial"/>
          <w:color w:val="000000" w:themeColor="text1"/>
          <w:sz w:val="26"/>
          <w:szCs w:val="26"/>
          <w:lang w:val="es-CO"/>
        </w:rPr>
      </w:pPr>
    </w:p>
    <w:p w14:paraId="454ED4B6" w14:textId="77777777" w:rsidR="00A929B1" w:rsidRPr="003C5DE8" w:rsidRDefault="00A929B1" w:rsidP="003C5DE8">
      <w:pPr>
        <w:pStyle w:val="Prrafodelista"/>
        <w:widowControl/>
        <w:numPr>
          <w:ilvl w:val="0"/>
          <w:numId w:val="49"/>
        </w:numPr>
        <w:tabs>
          <w:tab w:val="left" w:pos="567"/>
        </w:tabs>
        <w:adjustRightInd w:val="0"/>
        <w:ind w:left="567" w:hanging="425"/>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Certificación del revisor fiscal donde conste la exactitud de los datos relacionados y las provisiones correspondientes para realizar la baja en cuenta.</w:t>
      </w:r>
    </w:p>
    <w:p w14:paraId="34CD5670" w14:textId="77777777" w:rsidR="00A929B1" w:rsidRPr="003C5DE8" w:rsidRDefault="00A929B1" w:rsidP="003C5DE8">
      <w:pPr>
        <w:pStyle w:val="Prrafodelista"/>
        <w:widowControl/>
        <w:numPr>
          <w:ilvl w:val="0"/>
          <w:numId w:val="49"/>
        </w:numPr>
        <w:tabs>
          <w:tab w:val="left" w:pos="567"/>
        </w:tabs>
        <w:adjustRightInd w:val="0"/>
        <w:ind w:left="567" w:hanging="425"/>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Comprobantes en los cuales se refleje el registro contable correspondiente (cuentas de situación financiera). </w:t>
      </w:r>
    </w:p>
    <w:p w14:paraId="1211F371" w14:textId="7F990FBD" w:rsidR="00A929B1" w:rsidRPr="003C5DE8" w:rsidRDefault="00A929B1" w:rsidP="003C5DE8">
      <w:pPr>
        <w:pStyle w:val="Prrafodelista"/>
        <w:widowControl/>
        <w:numPr>
          <w:ilvl w:val="0"/>
          <w:numId w:val="49"/>
        </w:numPr>
        <w:tabs>
          <w:tab w:val="left" w:pos="567"/>
        </w:tabs>
        <w:adjustRightInd w:val="0"/>
        <w:ind w:left="567" w:hanging="425"/>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Copia del acta </w:t>
      </w:r>
      <w:r w:rsidR="0052253E" w:rsidRPr="003C5DE8">
        <w:rPr>
          <w:rFonts w:ascii="Arial Narrow" w:hAnsi="Arial Narrow" w:cs="Arial"/>
          <w:color w:val="000000" w:themeColor="text1"/>
          <w:sz w:val="26"/>
          <w:szCs w:val="26"/>
          <w:lang w:val="es-CO"/>
        </w:rPr>
        <w:t>del órgano permanente de administración</w:t>
      </w:r>
      <w:r w:rsidRPr="003C5DE8">
        <w:rPr>
          <w:rFonts w:ascii="Arial Narrow" w:hAnsi="Arial Narrow" w:cs="Arial"/>
          <w:color w:val="000000" w:themeColor="text1"/>
          <w:sz w:val="26"/>
          <w:szCs w:val="26"/>
          <w:lang w:val="es-CO"/>
        </w:rPr>
        <w:t xml:space="preserve">, según corresponda, donde conste la aprobación de la baja en cuenta. </w:t>
      </w:r>
    </w:p>
    <w:p w14:paraId="1BBCCBB2" w14:textId="77777777" w:rsidR="00A929B1" w:rsidRPr="003C5DE8" w:rsidRDefault="00A929B1" w:rsidP="003C5DE8">
      <w:pPr>
        <w:pStyle w:val="Prrafodelista"/>
        <w:widowControl/>
        <w:numPr>
          <w:ilvl w:val="0"/>
          <w:numId w:val="49"/>
        </w:numPr>
        <w:tabs>
          <w:tab w:val="left" w:pos="567"/>
        </w:tabs>
        <w:adjustRightInd w:val="0"/>
        <w:ind w:left="567" w:hanging="425"/>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El concepto del representante legal, en el cual se detallen las gestiones realizadas para considerar los activos como incobrables o irrecuperables.</w:t>
      </w:r>
    </w:p>
    <w:p w14:paraId="71105ED9" w14:textId="77777777" w:rsidR="00A929B1" w:rsidRPr="003C5DE8" w:rsidRDefault="00A929B1" w:rsidP="003C5DE8">
      <w:pPr>
        <w:pStyle w:val="Prrafodelista"/>
        <w:widowControl/>
        <w:numPr>
          <w:ilvl w:val="0"/>
          <w:numId w:val="49"/>
        </w:numPr>
        <w:tabs>
          <w:tab w:val="left" w:pos="567"/>
        </w:tabs>
        <w:adjustRightInd w:val="0"/>
        <w:ind w:left="567" w:hanging="425"/>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El concepto jurídico, técnico y legal, sobre la </w:t>
      </w:r>
      <w:proofErr w:type="spellStart"/>
      <w:r w:rsidRPr="003C5DE8">
        <w:rPr>
          <w:rFonts w:ascii="Arial Narrow" w:hAnsi="Arial Narrow" w:cs="Arial"/>
          <w:color w:val="000000" w:themeColor="text1"/>
          <w:sz w:val="26"/>
          <w:szCs w:val="26"/>
          <w:lang w:val="es-CO"/>
        </w:rPr>
        <w:t>irrecuperabilidad</w:t>
      </w:r>
      <w:proofErr w:type="spellEnd"/>
      <w:r w:rsidRPr="003C5DE8">
        <w:rPr>
          <w:rFonts w:ascii="Arial Narrow" w:hAnsi="Arial Narrow" w:cs="Arial"/>
          <w:color w:val="000000" w:themeColor="text1"/>
          <w:sz w:val="26"/>
          <w:szCs w:val="26"/>
          <w:lang w:val="es-CO"/>
        </w:rPr>
        <w:t xml:space="preserve"> de la cartera de crédito.</w:t>
      </w:r>
    </w:p>
    <w:p w14:paraId="3A9EFFC4" w14:textId="1017DDF5" w:rsidR="00A929B1" w:rsidRPr="003C5DE8" w:rsidRDefault="00A929B1" w:rsidP="003C5DE8">
      <w:pPr>
        <w:pStyle w:val="Prrafodelista"/>
        <w:numPr>
          <w:ilvl w:val="0"/>
          <w:numId w:val="49"/>
        </w:numPr>
        <w:adjustRightInd w:val="0"/>
        <w:ind w:left="567" w:hanging="425"/>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Se entiende que la baja en cuenta de activos no libera a los administradores de las responsabilidades a que haya lugar, por las decisiones adoptadas en relación con la cartera de créditos, cuentas por cobrar e inversiones y, en modo alguno, releva a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 xml:space="preserve"> de su obligación de proseguir con las gestiones de cobro que sean conducentes.</w:t>
      </w:r>
    </w:p>
    <w:bookmarkEnd w:id="77"/>
    <w:p w14:paraId="00C6C318" w14:textId="1B166E1E" w:rsidR="00A929B1" w:rsidRPr="003C5DE8" w:rsidRDefault="00A929B1" w:rsidP="003C5DE8">
      <w:pPr>
        <w:jc w:val="both"/>
        <w:rPr>
          <w:rFonts w:ascii="Arial Narrow" w:hAnsi="Arial Narrow" w:cs="Arial"/>
          <w:color w:val="000000" w:themeColor="text1"/>
          <w:sz w:val="26"/>
          <w:szCs w:val="26"/>
          <w:lang w:val="es-CO"/>
        </w:rPr>
      </w:pPr>
    </w:p>
    <w:bookmarkEnd w:id="72"/>
    <w:p w14:paraId="29E39B65" w14:textId="2D3188BB" w:rsidR="0010027E" w:rsidRPr="003C5DE8" w:rsidRDefault="0052253E" w:rsidP="003C5DE8">
      <w:pPr>
        <w:pStyle w:val="Ttulo2"/>
        <w:numPr>
          <w:ilvl w:val="1"/>
          <w:numId w:val="13"/>
        </w:numPr>
        <w:spacing w:before="0"/>
        <w:ind w:left="567" w:hanging="567"/>
        <w:jc w:val="both"/>
        <w:rPr>
          <w:rFonts w:ascii="Arial Narrow" w:hAnsi="Arial Narrow"/>
          <w:b/>
          <w:bCs/>
          <w:color w:val="000000" w:themeColor="text1"/>
          <w:lang w:val="es-CO" w:eastAsia="ar-SA"/>
        </w:rPr>
      </w:pPr>
      <w:r w:rsidRPr="003C5DE8">
        <w:rPr>
          <w:rFonts w:ascii="Arial Narrow" w:hAnsi="Arial Narrow"/>
          <w:b/>
          <w:bCs/>
          <w:color w:val="000000" w:themeColor="text1"/>
          <w:lang w:val="es-CO" w:eastAsia="ar-SA"/>
        </w:rPr>
        <w:t>Modelo de Referencia para el Deterioro</w:t>
      </w:r>
    </w:p>
    <w:p w14:paraId="1BCD3C3F" w14:textId="77777777" w:rsidR="0010027E" w:rsidRPr="003C5DE8" w:rsidRDefault="0010027E" w:rsidP="003C5DE8">
      <w:pPr>
        <w:ind w:left="567" w:hanging="567"/>
        <w:jc w:val="both"/>
        <w:rPr>
          <w:rFonts w:ascii="Arial Narrow" w:hAnsi="Arial Narrow" w:cs="Arial"/>
          <w:color w:val="000000" w:themeColor="text1"/>
          <w:sz w:val="26"/>
          <w:szCs w:val="26"/>
          <w:lang w:val="es-CO" w:eastAsia="ar-SA"/>
        </w:rPr>
      </w:pPr>
    </w:p>
    <w:p w14:paraId="37988B40" w14:textId="144DB8B4" w:rsidR="0010027E" w:rsidRPr="003C5DE8" w:rsidRDefault="009A4C18" w:rsidP="003C5DE8">
      <w:pPr>
        <w:jc w:val="both"/>
        <w:rPr>
          <w:rFonts w:ascii="Arial Narrow" w:hAnsi="Arial Narrow" w:cs="Arial"/>
          <w:color w:val="000000" w:themeColor="text1"/>
          <w:sz w:val="26"/>
          <w:szCs w:val="26"/>
          <w:lang w:val="es-CO"/>
        </w:rPr>
      </w:pPr>
      <w:r>
        <w:rPr>
          <w:rFonts w:ascii="Arial Narrow" w:hAnsi="Arial Narrow" w:cs="Arial"/>
          <w:color w:val="000000" w:themeColor="text1"/>
          <w:sz w:val="26"/>
          <w:szCs w:val="26"/>
          <w:lang w:val="es-CO"/>
        </w:rPr>
        <w:t>FONDEJEMPLO</w:t>
      </w:r>
      <w:r w:rsidR="0010027E" w:rsidRPr="003C5DE8">
        <w:rPr>
          <w:rFonts w:ascii="Arial Narrow" w:hAnsi="Arial Narrow" w:cs="Arial"/>
          <w:color w:val="000000" w:themeColor="text1"/>
          <w:sz w:val="26"/>
          <w:szCs w:val="26"/>
          <w:lang w:val="es-CO"/>
        </w:rPr>
        <w:t xml:space="preserve"> continuará aplicando la metodología por altura de mora prevista en el </w:t>
      </w:r>
      <w:r w:rsidR="0010027E" w:rsidRPr="003C5DE8">
        <w:rPr>
          <w:rFonts w:ascii="Arial Narrow" w:hAnsi="Arial Narrow" w:cs="Arial"/>
          <w:b/>
          <w:color w:val="000000" w:themeColor="text1"/>
          <w:sz w:val="26"/>
          <w:szCs w:val="26"/>
          <w:lang w:val="es-CO"/>
        </w:rPr>
        <w:t>Anexo 1</w:t>
      </w:r>
      <w:r w:rsidR="0010027E" w:rsidRPr="003C5DE8">
        <w:rPr>
          <w:rFonts w:ascii="Arial Narrow" w:hAnsi="Arial Narrow" w:cs="Arial"/>
          <w:color w:val="000000" w:themeColor="text1"/>
          <w:sz w:val="26"/>
          <w:szCs w:val="26"/>
          <w:lang w:val="es-CO"/>
        </w:rPr>
        <w:t xml:space="preserve"> del </w:t>
      </w:r>
      <w:r w:rsidR="001C0DEB" w:rsidRPr="003C5DE8">
        <w:rPr>
          <w:rFonts w:ascii="Arial Narrow" w:hAnsi="Arial Narrow" w:cs="Arial"/>
          <w:color w:val="000000" w:themeColor="text1"/>
          <w:sz w:val="26"/>
          <w:szCs w:val="26"/>
          <w:lang w:val="es-CO"/>
        </w:rPr>
        <w:t>presente manual</w:t>
      </w:r>
      <w:r w:rsidR="0010027E" w:rsidRPr="003C5DE8">
        <w:rPr>
          <w:rFonts w:ascii="Arial Narrow" w:hAnsi="Arial Narrow" w:cs="Arial"/>
          <w:color w:val="000000" w:themeColor="text1"/>
          <w:sz w:val="26"/>
          <w:szCs w:val="26"/>
          <w:lang w:val="es-CO"/>
        </w:rPr>
        <w:t>.</w:t>
      </w:r>
    </w:p>
    <w:p w14:paraId="7222E632" w14:textId="77777777" w:rsidR="0010027E" w:rsidRPr="003C5DE8" w:rsidRDefault="0010027E" w:rsidP="003C5DE8">
      <w:pPr>
        <w:ind w:left="567" w:hanging="567"/>
        <w:jc w:val="both"/>
        <w:rPr>
          <w:rFonts w:ascii="Arial Narrow" w:hAnsi="Arial Narrow" w:cs="Arial"/>
          <w:color w:val="000000" w:themeColor="text1"/>
          <w:sz w:val="26"/>
          <w:szCs w:val="26"/>
          <w:lang w:val="es-CO"/>
        </w:rPr>
      </w:pPr>
    </w:p>
    <w:p w14:paraId="45C20104" w14:textId="77777777" w:rsidR="0010027E" w:rsidRPr="003C5DE8" w:rsidRDefault="0010027E" w:rsidP="003C5DE8">
      <w:pPr>
        <w:pStyle w:val="Ttulo2"/>
        <w:numPr>
          <w:ilvl w:val="1"/>
          <w:numId w:val="13"/>
        </w:numPr>
        <w:spacing w:before="0"/>
        <w:ind w:left="567" w:hanging="567"/>
        <w:jc w:val="both"/>
        <w:rPr>
          <w:rFonts w:ascii="Arial Narrow" w:hAnsi="Arial Narrow"/>
          <w:b/>
          <w:color w:val="000000" w:themeColor="text1"/>
          <w:lang w:eastAsia="ar-SA"/>
        </w:rPr>
      </w:pPr>
      <w:bookmarkStart w:id="80" w:name="_Toc11674650"/>
      <w:bookmarkStart w:id="81" w:name="_Toc26200303"/>
      <w:bookmarkStart w:id="82" w:name="_Toc56498198"/>
      <w:bookmarkStart w:id="83" w:name="_Toc97966916"/>
      <w:r w:rsidRPr="003C5DE8">
        <w:rPr>
          <w:rFonts w:ascii="Arial Narrow" w:hAnsi="Arial Narrow"/>
          <w:color w:val="000000" w:themeColor="text1"/>
          <w:lang w:eastAsia="ar-SA"/>
        </w:rPr>
        <w:t>CONSTITUCIÓN DE DETERIOROS</w:t>
      </w:r>
      <w:bookmarkEnd w:id="80"/>
      <w:bookmarkEnd w:id="81"/>
      <w:bookmarkEnd w:id="82"/>
      <w:bookmarkEnd w:id="83"/>
    </w:p>
    <w:p w14:paraId="3EADD397" w14:textId="77777777" w:rsidR="0010027E" w:rsidRPr="003C5DE8" w:rsidRDefault="0010027E" w:rsidP="003C5DE8">
      <w:pPr>
        <w:ind w:left="567" w:hanging="567"/>
        <w:jc w:val="both"/>
        <w:rPr>
          <w:rFonts w:ascii="Arial Narrow" w:hAnsi="Arial Narrow" w:cs="Arial"/>
          <w:color w:val="000000" w:themeColor="text1"/>
          <w:sz w:val="26"/>
          <w:szCs w:val="26"/>
        </w:rPr>
      </w:pPr>
    </w:p>
    <w:p w14:paraId="1D3BADFD" w14:textId="796C3175" w:rsidR="0010027E" w:rsidRPr="003C5DE8" w:rsidRDefault="0010027E" w:rsidP="003C5DE8">
      <w:pPr>
        <w:tabs>
          <w:tab w:val="left" w:pos="3932"/>
          <w:tab w:val="center" w:pos="4536"/>
        </w:tabs>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CO"/>
        </w:rPr>
        <w:t xml:space="preserve">El </w:t>
      </w:r>
      <w:r w:rsidRPr="003C5DE8">
        <w:rPr>
          <w:rFonts w:ascii="Arial Narrow" w:hAnsi="Arial Narrow" w:cs="Arial"/>
          <w:bCs/>
          <w:color w:val="000000" w:themeColor="text1"/>
          <w:sz w:val="26"/>
          <w:szCs w:val="26"/>
          <w:lang w:val="es-MX"/>
        </w:rPr>
        <w:t>objetivo de la constitución de los deterioros es la estimación y reconocimiento contable del nivel de perdidas posibles que se pueden generar en la cartera como consecuencia de la exposición al riesgo crediticio.</w:t>
      </w:r>
      <w:r w:rsidR="0052253E" w:rsidRPr="003C5DE8">
        <w:rPr>
          <w:rFonts w:ascii="Arial Narrow" w:hAnsi="Arial Narrow" w:cs="Arial"/>
          <w:bCs/>
          <w:color w:val="000000" w:themeColor="text1"/>
          <w:sz w:val="26"/>
          <w:szCs w:val="26"/>
          <w:lang w:val="es-MX"/>
        </w:rPr>
        <w:t xml:space="preserve"> </w:t>
      </w:r>
      <w:r w:rsidRPr="003C5DE8">
        <w:rPr>
          <w:rFonts w:ascii="Arial Narrow" w:hAnsi="Arial Narrow" w:cs="Arial"/>
          <w:bCs/>
          <w:color w:val="000000" w:themeColor="text1"/>
          <w:sz w:val="26"/>
          <w:szCs w:val="26"/>
          <w:lang w:val="es-MX"/>
        </w:rPr>
        <w:t xml:space="preserve">Este deterioro está definido como la suma de la estimación del deterioro general más el deterioro individual. </w:t>
      </w:r>
    </w:p>
    <w:p w14:paraId="158E8D2B" w14:textId="77777777" w:rsidR="0010027E" w:rsidRPr="003C5DE8" w:rsidRDefault="0010027E" w:rsidP="003C5DE8">
      <w:pPr>
        <w:jc w:val="both"/>
        <w:rPr>
          <w:rFonts w:ascii="Arial Narrow" w:hAnsi="Arial Narrow" w:cs="Arial"/>
          <w:color w:val="000000" w:themeColor="text1"/>
          <w:sz w:val="26"/>
          <w:szCs w:val="26"/>
          <w:lang w:val="es-CO" w:eastAsia="ar-SA"/>
        </w:rPr>
      </w:pPr>
    </w:p>
    <w:p w14:paraId="18CA5E53" w14:textId="77777777" w:rsidR="0010027E" w:rsidRPr="003C5DE8" w:rsidRDefault="0010027E" w:rsidP="003C5DE8">
      <w:pPr>
        <w:ind w:left="567" w:hanging="567"/>
        <w:jc w:val="both"/>
        <w:rPr>
          <w:rFonts w:ascii="Arial Narrow" w:hAnsi="Arial Narrow" w:cs="Arial"/>
          <w:b/>
          <w:color w:val="000000" w:themeColor="text1"/>
          <w:sz w:val="26"/>
          <w:szCs w:val="26"/>
          <w:lang w:val="es-CO" w:eastAsia="ar-SA"/>
        </w:rPr>
      </w:pPr>
      <w:bookmarkStart w:id="84" w:name="_Toc26200304"/>
      <w:bookmarkStart w:id="85" w:name="_Toc56498199"/>
      <w:r w:rsidRPr="003C5DE8">
        <w:rPr>
          <w:rFonts w:ascii="Arial Narrow" w:hAnsi="Arial Narrow" w:cs="Arial"/>
          <w:b/>
          <w:color w:val="000000" w:themeColor="text1"/>
          <w:sz w:val="26"/>
          <w:szCs w:val="26"/>
          <w:lang w:val="es-CO" w:eastAsia="ar-SA"/>
        </w:rPr>
        <w:t xml:space="preserve">5.4.1. </w:t>
      </w:r>
      <w:r w:rsidRPr="003C5DE8">
        <w:rPr>
          <w:rFonts w:ascii="Arial Narrow" w:hAnsi="Arial Narrow" w:cs="Arial"/>
          <w:b/>
          <w:color w:val="000000" w:themeColor="text1"/>
          <w:sz w:val="26"/>
          <w:szCs w:val="26"/>
          <w:lang w:val="es-CO" w:eastAsia="ar-SA"/>
        </w:rPr>
        <w:tab/>
        <w:t>Deterioro General</w:t>
      </w:r>
      <w:bookmarkEnd w:id="84"/>
      <w:bookmarkEnd w:id="85"/>
      <w:r w:rsidRPr="003C5DE8">
        <w:rPr>
          <w:rFonts w:ascii="Arial Narrow" w:hAnsi="Arial Narrow" w:cs="Arial"/>
          <w:b/>
          <w:color w:val="000000" w:themeColor="text1"/>
          <w:sz w:val="26"/>
          <w:szCs w:val="26"/>
          <w:lang w:val="es-CO" w:eastAsia="ar-SA"/>
        </w:rPr>
        <w:t xml:space="preserve"> </w:t>
      </w:r>
    </w:p>
    <w:p w14:paraId="2691565E" w14:textId="77777777" w:rsidR="0010027E" w:rsidRPr="003C5DE8" w:rsidRDefault="0010027E" w:rsidP="003C5DE8">
      <w:pPr>
        <w:ind w:left="567" w:hanging="567"/>
        <w:jc w:val="both"/>
        <w:rPr>
          <w:rFonts w:ascii="Arial Narrow" w:hAnsi="Arial Narrow" w:cs="Arial"/>
          <w:color w:val="000000" w:themeColor="text1"/>
          <w:sz w:val="26"/>
          <w:szCs w:val="26"/>
          <w:lang w:val="es-CO" w:eastAsia="ar-SA"/>
        </w:rPr>
      </w:pPr>
    </w:p>
    <w:p w14:paraId="3BDEA3A0" w14:textId="55DFC81F" w:rsidR="0010027E" w:rsidRPr="003C5DE8" w:rsidRDefault="0010027E" w:rsidP="003C5DE8">
      <w:pPr>
        <w:suppressAutoHyphens/>
        <w:jc w:val="both"/>
        <w:rPr>
          <w:rFonts w:ascii="Arial Narrow" w:hAnsi="Arial Narrow" w:cs="Arial"/>
          <w:bCs/>
          <w:color w:val="000000" w:themeColor="text1"/>
          <w:sz w:val="26"/>
          <w:szCs w:val="26"/>
          <w:lang w:val="es-CO" w:eastAsia="es-CO"/>
        </w:rPr>
      </w:pPr>
      <w:r w:rsidRPr="003C5DE8">
        <w:rPr>
          <w:rFonts w:ascii="Arial Narrow" w:hAnsi="Arial Narrow" w:cs="Arial"/>
          <w:bCs/>
          <w:color w:val="000000" w:themeColor="text1"/>
          <w:sz w:val="26"/>
          <w:szCs w:val="26"/>
          <w:lang w:val="es-CO" w:eastAsia="es-CO"/>
        </w:rPr>
        <w:t xml:space="preserve">El deterioro general recoge las posibles pérdidas que se pueden generar por eventos de riesgo tales como desaceleraciones del ciclo económico, riesgos de entorno, entre otros que afectan la totalidad de la cartera y que por tanto no son diversificables. Por lo anterior, </w:t>
      </w:r>
      <w:r w:rsidR="009A4C18">
        <w:rPr>
          <w:rFonts w:ascii="Arial Narrow" w:hAnsi="Arial Narrow" w:cs="Arial"/>
          <w:bCs/>
          <w:color w:val="000000" w:themeColor="text1"/>
          <w:sz w:val="26"/>
          <w:szCs w:val="26"/>
          <w:lang w:val="es-CO" w:eastAsia="es-CO"/>
        </w:rPr>
        <w:t>FONDEJEMPLO</w:t>
      </w:r>
      <w:r w:rsidRPr="003C5DE8">
        <w:rPr>
          <w:rFonts w:ascii="Arial Narrow" w:hAnsi="Arial Narrow" w:cs="Arial"/>
          <w:bCs/>
          <w:color w:val="000000" w:themeColor="text1"/>
          <w:sz w:val="26"/>
          <w:szCs w:val="26"/>
          <w:lang w:val="es-CO" w:eastAsia="es-CO"/>
        </w:rPr>
        <w:t xml:space="preserve"> </w:t>
      </w:r>
      <w:r w:rsidR="009B3A78" w:rsidRPr="003C5DE8">
        <w:rPr>
          <w:rFonts w:ascii="Arial Narrow" w:hAnsi="Arial Narrow" w:cs="Arial"/>
          <w:bCs/>
          <w:color w:val="000000" w:themeColor="text1"/>
          <w:sz w:val="26"/>
          <w:szCs w:val="26"/>
          <w:lang w:val="es-CO" w:eastAsia="es-CO"/>
        </w:rPr>
        <w:t>debe</w:t>
      </w:r>
      <w:r w:rsidRPr="003C5DE8">
        <w:rPr>
          <w:rFonts w:ascii="Arial Narrow" w:hAnsi="Arial Narrow" w:cs="Arial"/>
          <w:bCs/>
          <w:color w:val="000000" w:themeColor="text1"/>
          <w:sz w:val="26"/>
          <w:szCs w:val="26"/>
          <w:lang w:val="es-CO" w:eastAsia="es-CO"/>
        </w:rPr>
        <w:t xml:space="preserve"> constituir como mínimo un deterioro general del uno por ciento (1%) sobre el total de la cartera de créditos bruta.</w:t>
      </w:r>
      <w:r w:rsidR="0052253E" w:rsidRPr="003C5DE8">
        <w:rPr>
          <w:rFonts w:ascii="Arial Narrow" w:hAnsi="Arial Narrow" w:cs="Arial"/>
          <w:bCs/>
          <w:color w:val="000000" w:themeColor="text1"/>
          <w:sz w:val="26"/>
          <w:szCs w:val="26"/>
          <w:lang w:val="es-CO" w:eastAsia="es-CO"/>
        </w:rPr>
        <w:t xml:space="preserve"> </w:t>
      </w:r>
      <w:r w:rsidRPr="003C5DE8">
        <w:rPr>
          <w:rFonts w:ascii="Arial Narrow" w:hAnsi="Arial Narrow" w:cs="Arial"/>
          <w:bCs/>
          <w:color w:val="000000" w:themeColor="text1"/>
          <w:sz w:val="26"/>
          <w:szCs w:val="26"/>
          <w:lang w:val="es-CO" w:eastAsia="es-CO"/>
        </w:rPr>
        <w:t>No obstante, si a juicio de la Superintendencia se presentan situaciones que adviertan riesgos en el manejo de la cartera o se evidencie un potencial deterioro del indicador de la cartera vencida, podrá ordenar un deterioro general superior.</w:t>
      </w:r>
      <w:r w:rsidR="0052253E" w:rsidRPr="003C5DE8">
        <w:rPr>
          <w:rFonts w:ascii="Arial Narrow" w:hAnsi="Arial Narrow" w:cs="Arial"/>
          <w:bCs/>
          <w:color w:val="000000" w:themeColor="text1"/>
          <w:sz w:val="26"/>
          <w:szCs w:val="26"/>
          <w:lang w:val="es-CO" w:eastAsia="es-CO"/>
        </w:rPr>
        <w:t xml:space="preserve">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 xml:space="preserve"> podrán constituir, previa aprobación del consejo de administración, junta directiva o el órgano competente según corresponda, un deterioro general adicional, como un mecanismo para fortalecer la cobertura y anticiparse al potencial deterioro de la cartera de créditos. Este deterioro general adicional deberá estar soportado en un análisis técnico y se podrá utilizar para compensar el gasto de deterioro individual que se genere por el rodamiento de la cartera a categorías de mayor riesgo, en los meses posteriores a su constitución.</w:t>
      </w:r>
      <w:r w:rsidR="0052253E" w:rsidRPr="003C5DE8">
        <w:rPr>
          <w:rFonts w:ascii="Arial Narrow" w:hAnsi="Arial Narrow" w:cs="Arial"/>
          <w:bCs/>
          <w:color w:val="000000" w:themeColor="text1"/>
          <w:sz w:val="26"/>
          <w:szCs w:val="26"/>
          <w:lang w:val="es-CO" w:eastAsia="es-CO"/>
        </w:rPr>
        <w:t xml:space="preserve"> </w:t>
      </w:r>
      <w:r w:rsidRPr="003C5DE8">
        <w:rPr>
          <w:rFonts w:ascii="Arial Narrow" w:hAnsi="Arial Narrow" w:cs="Arial"/>
          <w:color w:val="000000" w:themeColor="text1"/>
          <w:sz w:val="26"/>
          <w:szCs w:val="26"/>
          <w:lang w:val="es-CO"/>
        </w:rPr>
        <w:t xml:space="preserve">Se deberá mantener </w:t>
      </w:r>
      <w:r w:rsidRPr="003C5DE8">
        <w:rPr>
          <w:rFonts w:ascii="Arial Narrow" w:hAnsi="Arial Narrow" w:cs="Arial"/>
          <w:color w:val="000000" w:themeColor="text1"/>
          <w:sz w:val="26"/>
          <w:szCs w:val="26"/>
          <w:lang w:val="es-CO"/>
        </w:rPr>
        <w:lastRenderedPageBreak/>
        <w:t xml:space="preserve">a disposición de </w:t>
      </w:r>
      <w:r w:rsidR="002140BF" w:rsidRPr="003C5DE8">
        <w:rPr>
          <w:rFonts w:ascii="Arial Narrow" w:hAnsi="Arial Narrow" w:cs="Arial"/>
          <w:color w:val="000000" w:themeColor="text1"/>
          <w:sz w:val="26"/>
          <w:szCs w:val="26"/>
          <w:lang w:val="es-CO"/>
        </w:rPr>
        <w:t>la Supersolidaria</w:t>
      </w:r>
      <w:r w:rsidRPr="003C5DE8">
        <w:rPr>
          <w:rFonts w:ascii="Arial Narrow" w:hAnsi="Arial Narrow" w:cs="Arial"/>
          <w:color w:val="000000" w:themeColor="text1"/>
          <w:sz w:val="26"/>
          <w:szCs w:val="26"/>
          <w:lang w:val="es-CO"/>
        </w:rPr>
        <w:t>, el análisis técnico que soporta el deterioro general adicional, y la información de los créditos que dieron origen al traslado del deterioro general al individual.</w:t>
      </w:r>
    </w:p>
    <w:p w14:paraId="673805A4" w14:textId="77777777" w:rsidR="0010027E" w:rsidRPr="003C5DE8" w:rsidRDefault="0010027E" w:rsidP="003C5DE8">
      <w:pPr>
        <w:ind w:left="567" w:hanging="567"/>
        <w:jc w:val="both"/>
        <w:rPr>
          <w:rFonts w:ascii="Arial Narrow" w:hAnsi="Arial Narrow" w:cs="Arial"/>
          <w:color w:val="000000" w:themeColor="text1"/>
          <w:sz w:val="26"/>
          <w:szCs w:val="26"/>
          <w:lang w:val="es-CO" w:eastAsia="ar-SA"/>
        </w:rPr>
      </w:pPr>
    </w:p>
    <w:p w14:paraId="6B3D6095" w14:textId="77777777" w:rsidR="0010027E" w:rsidRPr="003C5DE8" w:rsidRDefault="0010027E" w:rsidP="003C5DE8">
      <w:pPr>
        <w:ind w:left="567" w:hanging="567"/>
        <w:jc w:val="both"/>
        <w:rPr>
          <w:rFonts w:ascii="Arial Narrow" w:hAnsi="Arial Narrow" w:cs="Arial"/>
          <w:b/>
          <w:color w:val="000000" w:themeColor="text1"/>
          <w:sz w:val="26"/>
          <w:szCs w:val="26"/>
          <w:lang w:val="es-CO" w:eastAsia="ar-SA"/>
        </w:rPr>
      </w:pPr>
      <w:bookmarkStart w:id="86" w:name="_Toc26200305"/>
      <w:bookmarkStart w:id="87" w:name="_Toc56498201"/>
      <w:r w:rsidRPr="003C5DE8">
        <w:rPr>
          <w:rFonts w:ascii="Arial Narrow" w:hAnsi="Arial Narrow" w:cs="Arial"/>
          <w:b/>
          <w:color w:val="000000" w:themeColor="text1"/>
          <w:sz w:val="26"/>
          <w:szCs w:val="26"/>
          <w:lang w:val="es-CO" w:eastAsia="ar-SA"/>
        </w:rPr>
        <w:t xml:space="preserve">5.4.2. </w:t>
      </w:r>
      <w:r w:rsidRPr="003C5DE8">
        <w:rPr>
          <w:rFonts w:ascii="Arial Narrow" w:hAnsi="Arial Narrow" w:cs="Arial"/>
          <w:b/>
          <w:color w:val="000000" w:themeColor="text1"/>
          <w:sz w:val="26"/>
          <w:szCs w:val="26"/>
          <w:lang w:val="es-CO" w:eastAsia="ar-SA"/>
        </w:rPr>
        <w:tab/>
        <w:t>Deterioro Individual</w:t>
      </w:r>
      <w:bookmarkEnd w:id="86"/>
      <w:bookmarkEnd w:id="87"/>
    </w:p>
    <w:p w14:paraId="2CAF2592" w14:textId="77777777" w:rsidR="0010027E" w:rsidRPr="003C5DE8" w:rsidRDefault="0010027E" w:rsidP="003C5DE8">
      <w:pPr>
        <w:ind w:left="567" w:hanging="567"/>
        <w:jc w:val="both"/>
        <w:rPr>
          <w:rFonts w:ascii="Arial Narrow" w:hAnsi="Arial Narrow" w:cs="Arial"/>
          <w:color w:val="000000" w:themeColor="text1"/>
          <w:sz w:val="26"/>
          <w:szCs w:val="26"/>
          <w:lang w:val="es-CO" w:eastAsia="ar-SA"/>
        </w:rPr>
      </w:pPr>
    </w:p>
    <w:p w14:paraId="075DC51A" w14:textId="670066D4" w:rsidR="0010027E" w:rsidRPr="003C5DE8" w:rsidRDefault="0010027E" w:rsidP="003C5DE8">
      <w:pPr>
        <w:suppressAutoHyphens/>
        <w:adjustRightInd w:val="0"/>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 xml:space="preserve">Sin perjuicio del reconocimiento del deterioro general a que se refiere el numeral anterior, </w:t>
      </w:r>
      <w:r w:rsidR="009A4C18">
        <w:rPr>
          <w:rFonts w:ascii="Arial Narrow" w:hAnsi="Arial Narrow" w:cs="Arial"/>
          <w:color w:val="000000" w:themeColor="text1"/>
          <w:sz w:val="26"/>
          <w:szCs w:val="26"/>
          <w:lang w:val="es-CO" w:eastAsia="ar-SA"/>
        </w:rPr>
        <w:t>FONDEJEMPLO</w:t>
      </w:r>
      <w:r w:rsidRPr="003C5DE8">
        <w:rPr>
          <w:rFonts w:ascii="Arial Narrow" w:hAnsi="Arial Narrow" w:cs="Arial"/>
          <w:color w:val="000000" w:themeColor="text1"/>
          <w:sz w:val="26"/>
          <w:szCs w:val="26"/>
          <w:lang w:val="es-CO" w:eastAsia="ar-SA"/>
        </w:rPr>
        <w:t xml:space="preserve"> </w:t>
      </w:r>
      <w:r w:rsidR="002140BF" w:rsidRPr="003C5DE8">
        <w:rPr>
          <w:rFonts w:ascii="Arial Narrow" w:hAnsi="Arial Narrow" w:cs="Arial"/>
          <w:color w:val="000000" w:themeColor="text1"/>
          <w:sz w:val="26"/>
          <w:szCs w:val="26"/>
          <w:lang w:val="es-CO" w:eastAsia="ar-SA"/>
        </w:rPr>
        <w:t>deberá</w:t>
      </w:r>
      <w:r w:rsidRPr="003C5DE8">
        <w:rPr>
          <w:rFonts w:ascii="Arial Narrow" w:hAnsi="Arial Narrow" w:cs="Arial"/>
          <w:color w:val="000000" w:themeColor="text1"/>
          <w:sz w:val="26"/>
          <w:szCs w:val="26"/>
          <w:lang w:val="es-CO" w:eastAsia="ar-SA"/>
        </w:rPr>
        <w:t xml:space="preserve"> reconocer el deterioro individual que se puede generar en la cartera por eventos de riesgo que pueden afectar la situación financiera del deudor y por tanto su perfil de riesgo al igual que la recuperación de las garantías.</w:t>
      </w:r>
      <w:r w:rsidR="003C5DE8">
        <w:rPr>
          <w:rFonts w:ascii="Arial Narrow" w:hAnsi="Arial Narrow" w:cs="Arial"/>
          <w:color w:val="000000" w:themeColor="text1"/>
          <w:sz w:val="26"/>
          <w:szCs w:val="26"/>
          <w:lang w:val="es-CO" w:eastAsia="ar-SA"/>
        </w:rPr>
        <w:t xml:space="preserve"> </w:t>
      </w:r>
      <w:r w:rsidRPr="003C5DE8">
        <w:rPr>
          <w:rFonts w:ascii="Arial Narrow" w:hAnsi="Arial Narrow" w:cs="Arial"/>
          <w:color w:val="000000" w:themeColor="text1"/>
          <w:sz w:val="26"/>
          <w:szCs w:val="26"/>
          <w:lang w:val="es-CO" w:eastAsia="ar-SA"/>
        </w:rPr>
        <w:t xml:space="preserve">La constitución del deterioro individual se realizará en función del </w:t>
      </w:r>
      <w:r w:rsidRPr="003C5DE8">
        <w:rPr>
          <w:rFonts w:ascii="Arial Narrow" w:hAnsi="Arial Narrow" w:cs="Arial"/>
          <w:b/>
          <w:color w:val="000000" w:themeColor="text1"/>
          <w:sz w:val="26"/>
          <w:szCs w:val="26"/>
          <w:lang w:val="es-CO" w:eastAsia="ar-SA"/>
        </w:rPr>
        <w:t>Anexo 1</w:t>
      </w:r>
      <w:r w:rsidRPr="003C5DE8">
        <w:rPr>
          <w:rFonts w:ascii="Arial Narrow" w:hAnsi="Arial Narrow" w:cs="Arial"/>
          <w:color w:val="000000" w:themeColor="text1"/>
          <w:sz w:val="26"/>
          <w:szCs w:val="26"/>
          <w:lang w:val="es-CO" w:eastAsia="ar-SA"/>
        </w:rPr>
        <w:t xml:space="preserve"> del </w:t>
      </w:r>
      <w:r w:rsidR="001C0DEB" w:rsidRPr="003C5DE8">
        <w:rPr>
          <w:rFonts w:ascii="Arial Narrow" w:hAnsi="Arial Narrow" w:cs="Arial"/>
          <w:color w:val="000000" w:themeColor="text1"/>
          <w:sz w:val="26"/>
          <w:szCs w:val="26"/>
          <w:lang w:val="es-CO" w:eastAsia="ar-SA"/>
        </w:rPr>
        <w:t>presente manual</w:t>
      </w:r>
      <w:r w:rsidRPr="003C5DE8">
        <w:rPr>
          <w:rFonts w:ascii="Arial Narrow" w:hAnsi="Arial Narrow" w:cs="Arial"/>
          <w:color w:val="000000" w:themeColor="text1"/>
          <w:sz w:val="26"/>
          <w:szCs w:val="26"/>
          <w:lang w:val="es-CO" w:eastAsia="ar-SA"/>
        </w:rPr>
        <w:t xml:space="preserve">. </w:t>
      </w:r>
    </w:p>
    <w:p w14:paraId="335F1FCF" w14:textId="77777777" w:rsidR="0010027E" w:rsidRPr="003C5DE8" w:rsidRDefault="0010027E" w:rsidP="003C5DE8">
      <w:pPr>
        <w:jc w:val="both"/>
        <w:rPr>
          <w:rFonts w:ascii="Arial Narrow" w:hAnsi="Arial Narrow" w:cs="Arial"/>
          <w:color w:val="000000" w:themeColor="text1"/>
          <w:sz w:val="26"/>
          <w:szCs w:val="26"/>
          <w:lang w:val="es-CO" w:eastAsia="ar-SA"/>
        </w:rPr>
      </w:pPr>
    </w:p>
    <w:p w14:paraId="100F21D7" w14:textId="604F69E4" w:rsidR="0010027E" w:rsidRPr="003C5DE8" w:rsidRDefault="0010027E" w:rsidP="003C5DE8">
      <w:pPr>
        <w:suppressAutoHyphens/>
        <w:adjustRightInd w:val="0"/>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 xml:space="preserve">Así mismo, para estimar el deterioro individual, </w:t>
      </w:r>
      <w:r w:rsidR="009A4C18">
        <w:rPr>
          <w:rFonts w:ascii="Arial Narrow" w:hAnsi="Arial Narrow" w:cs="Arial"/>
          <w:color w:val="000000" w:themeColor="text1"/>
          <w:sz w:val="26"/>
          <w:szCs w:val="26"/>
          <w:lang w:val="es-CO" w:eastAsia="ar-SA"/>
        </w:rPr>
        <w:t>FONDEJEMPLO</w:t>
      </w:r>
      <w:r w:rsidRPr="003C5DE8">
        <w:rPr>
          <w:rFonts w:ascii="Arial Narrow" w:hAnsi="Arial Narrow" w:cs="Arial"/>
          <w:color w:val="000000" w:themeColor="text1"/>
          <w:sz w:val="26"/>
          <w:szCs w:val="26"/>
          <w:lang w:val="es-CO" w:eastAsia="ar-SA"/>
        </w:rPr>
        <w:t xml:space="preserve"> </w:t>
      </w:r>
      <w:r w:rsidR="002140BF" w:rsidRPr="003C5DE8">
        <w:rPr>
          <w:rFonts w:ascii="Arial Narrow" w:hAnsi="Arial Narrow" w:cs="Arial"/>
          <w:color w:val="000000" w:themeColor="text1"/>
          <w:sz w:val="26"/>
          <w:szCs w:val="26"/>
          <w:lang w:val="es-CO" w:eastAsia="ar-SA"/>
        </w:rPr>
        <w:t>deberá</w:t>
      </w:r>
      <w:r w:rsidRPr="003C5DE8">
        <w:rPr>
          <w:rFonts w:ascii="Arial Narrow" w:hAnsi="Arial Narrow" w:cs="Arial"/>
          <w:color w:val="000000" w:themeColor="text1"/>
          <w:sz w:val="26"/>
          <w:szCs w:val="26"/>
          <w:lang w:val="es-CO" w:eastAsia="ar-SA"/>
        </w:rPr>
        <w:t xml:space="preserve"> tener en cuenta la calificación de mayor riesgo del deudor, considerando las diferentes calificaciones obtenidas, así: la calificación producto de la aplicación del </w:t>
      </w:r>
      <w:r w:rsidRPr="003C5DE8">
        <w:rPr>
          <w:rFonts w:ascii="Arial Narrow" w:hAnsi="Arial Narrow" w:cs="Arial"/>
          <w:b/>
          <w:color w:val="000000" w:themeColor="text1"/>
          <w:sz w:val="26"/>
          <w:szCs w:val="26"/>
          <w:lang w:val="es-CO" w:eastAsia="ar-SA"/>
        </w:rPr>
        <w:t xml:space="preserve">Anexo </w:t>
      </w:r>
      <w:r w:rsidR="00574436" w:rsidRPr="003C5DE8">
        <w:rPr>
          <w:rFonts w:ascii="Arial Narrow" w:hAnsi="Arial Narrow" w:cs="Arial"/>
          <w:b/>
          <w:color w:val="000000" w:themeColor="text1"/>
          <w:sz w:val="26"/>
          <w:szCs w:val="26"/>
          <w:lang w:val="es-CO" w:eastAsia="ar-SA"/>
        </w:rPr>
        <w:t>1</w:t>
      </w:r>
      <w:r w:rsidRPr="003C5DE8">
        <w:rPr>
          <w:rFonts w:ascii="Arial Narrow" w:hAnsi="Arial Narrow" w:cs="Arial"/>
          <w:color w:val="000000" w:themeColor="text1"/>
          <w:sz w:val="26"/>
          <w:szCs w:val="26"/>
          <w:lang w:val="es-CO" w:eastAsia="ar-SA"/>
        </w:rPr>
        <w:t xml:space="preserve"> del </w:t>
      </w:r>
      <w:r w:rsidR="001C0DEB" w:rsidRPr="003C5DE8">
        <w:rPr>
          <w:rFonts w:ascii="Arial Narrow" w:hAnsi="Arial Narrow" w:cs="Arial"/>
          <w:color w:val="000000" w:themeColor="text1"/>
          <w:sz w:val="26"/>
          <w:szCs w:val="26"/>
          <w:lang w:val="es-CO" w:eastAsia="ar-SA"/>
        </w:rPr>
        <w:t>presente manual</w:t>
      </w:r>
      <w:r w:rsidRPr="003C5DE8">
        <w:rPr>
          <w:rFonts w:ascii="Arial Narrow" w:hAnsi="Arial Narrow" w:cs="Arial"/>
          <w:color w:val="000000" w:themeColor="text1"/>
          <w:sz w:val="26"/>
          <w:szCs w:val="26"/>
          <w:lang w:val="es-CO" w:eastAsia="ar-SA"/>
        </w:rPr>
        <w:t>, la calificación resultante del proceso de evaluación de cartera, la calificación por regla de alineamiento o arrastre, la calificación por condición de reestructurado.</w:t>
      </w:r>
    </w:p>
    <w:p w14:paraId="2F91E98E" w14:textId="77777777" w:rsidR="0010027E" w:rsidRPr="003C5DE8" w:rsidRDefault="0010027E" w:rsidP="003C5DE8">
      <w:pPr>
        <w:suppressAutoHyphens/>
        <w:adjustRightInd w:val="0"/>
        <w:ind w:left="567" w:hanging="567"/>
        <w:jc w:val="both"/>
        <w:rPr>
          <w:rFonts w:ascii="Arial Narrow" w:hAnsi="Arial Narrow" w:cs="Arial"/>
          <w:color w:val="000000" w:themeColor="text1"/>
          <w:sz w:val="26"/>
          <w:szCs w:val="26"/>
          <w:lang w:val="es-CO" w:eastAsia="ar-SA"/>
        </w:rPr>
      </w:pPr>
    </w:p>
    <w:p w14:paraId="0BB9CC1F" w14:textId="5A6C310D" w:rsidR="0010027E" w:rsidRPr="003C5DE8" w:rsidRDefault="0010027E" w:rsidP="003C5DE8">
      <w:pPr>
        <w:suppressAutoHyphens/>
        <w:adjustRightInd w:val="0"/>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Igualmente, para estimar el valor sobre el cual se debe realizar el deterioro individual, independientemente de la modalidad de cartera, se deberá calcular el valor expuesto del activo incluyendo los intereses del crédito y los pagos por cuenta de asociados relacionados con el crédito, y descontar los aportes sociales.</w:t>
      </w:r>
    </w:p>
    <w:p w14:paraId="71D88B70" w14:textId="77777777" w:rsidR="0010027E" w:rsidRPr="003C5DE8" w:rsidRDefault="0010027E" w:rsidP="003C5DE8">
      <w:pPr>
        <w:suppressAutoHyphens/>
        <w:adjustRightInd w:val="0"/>
        <w:ind w:left="567" w:hanging="567"/>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 xml:space="preserve"> </w:t>
      </w:r>
    </w:p>
    <w:p w14:paraId="1B6A4126" w14:textId="0D356556" w:rsidR="0010027E" w:rsidRPr="003C5DE8" w:rsidRDefault="0010027E" w:rsidP="003C5DE8">
      <w:pPr>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En el caso de los créditos de consumo a empleados otorgados en virtud de la relación laboral existente,</w:t>
      </w:r>
      <w:r w:rsidR="00AD6DA1" w:rsidRPr="003C5DE8">
        <w:rPr>
          <w:rFonts w:ascii="Arial Narrow" w:hAnsi="Arial Narrow" w:cs="Arial"/>
          <w:color w:val="000000" w:themeColor="text1"/>
          <w:sz w:val="26"/>
          <w:szCs w:val="26"/>
          <w:lang w:val="es-CO" w:eastAsia="ar-SA"/>
        </w:rPr>
        <w:t xml:space="preserve"> </w:t>
      </w:r>
      <w:r w:rsidR="009A4C18">
        <w:rPr>
          <w:rFonts w:ascii="Arial Narrow" w:hAnsi="Arial Narrow" w:cs="Arial"/>
          <w:color w:val="000000" w:themeColor="text1"/>
          <w:sz w:val="26"/>
          <w:szCs w:val="26"/>
          <w:lang w:val="es-CO" w:eastAsia="ar-SA"/>
        </w:rPr>
        <w:t>FONDEJEMPLO</w:t>
      </w:r>
      <w:r w:rsidRPr="003C5DE8">
        <w:rPr>
          <w:rFonts w:ascii="Arial Narrow" w:hAnsi="Arial Narrow" w:cs="Arial"/>
          <w:color w:val="000000" w:themeColor="text1"/>
          <w:sz w:val="26"/>
          <w:szCs w:val="26"/>
          <w:lang w:val="es-CO" w:eastAsia="ar-SA"/>
        </w:rPr>
        <w:t xml:space="preserve"> </w:t>
      </w:r>
      <w:r w:rsidR="002140BF" w:rsidRPr="003C5DE8">
        <w:rPr>
          <w:rFonts w:ascii="Arial Narrow" w:hAnsi="Arial Narrow" w:cs="Arial"/>
          <w:color w:val="000000" w:themeColor="text1"/>
          <w:sz w:val="26"/>
          <w:szCs w:val="26"/>
          <w:lang w:val="es-CO" w:eastAsia="ar-SA"/>
        </w:rPr>
        <w:t>deberá</w:t>
      </w:r>
      <w:r w:rsidRPr="003C5DE8">
        <w:rPr>
          <w:rFonts w:ascii="Arial Narrow" w:hAnsi="Arial Narrow" w:cs="Arial"/>
          <w:color w:val="000000" w:themeColor="text1"/>
          <w:sz w:val="26"/>
          <w:szCs w:val="26"/>
          <w:lang w:val="es-CO" w:eastAsia="ar-SA"/>
        </w:rPr>
        <w:t xml:space="preserve"> calificar las operaciones de acuerdo con los parámetros establecidos en el </w:t>
      </w:r>
      <w:r w:rsidRPr="003C5DE8">
        <w:rPr>
          <w:rFonts w:ascii="Arial Narrow" w:hAnsi="Arial Narrow" w:cs="Arial"/>
          <w:b/>
          <w:color w:val="000000" w:themeColor="text1"/>
          <w:sz w:val="26"/>
          <w:szCs w:val="26"/>
          <w:lang w:val="es-CO" w:eastAsia="ar-SA"/>
        </w:rPr>
        <w:t>Anexo 1</w:t>
      </w:r>
      <w:r w:rsidRPr="003C5DE8">
        <w:rPr>
          <w:rFonts w:ascii="Arial Narrow" w:hAnsi="Arial Narrow" w:cs="Arial"/>
          <w:color w:val="000000" w:themeColor="text1"/>
          <w:sz w:val="26"/>
          <w:szCs w:val="26"/>
          <w:lang w:val="es-CO" w:eastAsia="ar-SA"/>
        </w:rPr>
        <w:t xml:space="preserve">. </w:t>
      </w:r>
    </w:p>
    <w:p w14:paraId="56521337"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25B7F89A" w14:textId="77777777" w:rsidR="0010027E" w:rsidRPr="003C5DE8" w:rsidRDefault="0010027E" w:rsidP="003C5DE8">
      <w:pPr>
        <w:pStyle w:val="Ttulo2"/>
        <w:numPr>
          <w:ilvl w:val="1"/>
          <w:numId w:val="13"/>
        </w:numPr>
        <w:spacing w:before="0"/>
        <w:ind w:left="567" w:hanging="567"/>
        <w:jc w:val="both"/>
        <w:rPr>
          <w:rFonts w:ascii="Arial Narrow" w:hAnsi="Arial Narrow"/>
          <w:b/>
          <w:bCs/>
          <w:color w:val="000000" w:themeColor="text1"/>
          <w:lang w:eastAsia="ar-SA"/>
        </w:rPr>
      </w:pPr>
      <w:bookmarkStart w:id="88" w:name="_Toc56498202"/>
      <w:bookmarkStart w:id="89" w:name="_Toc97966917"/>
      <w:r w:rsidRPr="003C5DE8">
        <w:rPr>
          <w:rFonts w:ascii="Arial Narrow" w:hAnsi="Arial Narrow"/>
          <w:b/>
          <w:bCs/>
          <w:color w:val="000000" w:themeColor="text1"/>
          <w:lang w:eastAsia="ar-SA"/>
        </w:rPr>
        <w:t>ESTRUCTURA ORGANIZACIONAL</w:t>
      </w:r>
      <w:bookmarkEnd w:id="88"/>
      <w:bookmarkEnd w:id="89"/>
    </w:p>
    <w:p w14:paraId="1DC8FAB3" w14:textId="77777777" w:rsidR="0010027E" w:rsidRPr="003C5DE8" w:rsidRDefault="0010027E" w:rsidP="003C5DE8">
      <w:pPr>
        <w:ind w:left="567" w:hanging="567"/>
        <w:jc w:val="both"/>
        <w:rPr>
          <w:rFonts w:ascii="Arial Narrow" w:hAnsi="Arial Narrow" w:cs="Arial"/>
          <w:color w:val="000000" w:themeColor="text1"/>
          <w:sz w:val="26"/>
          <w:szCs w:val="26"/>
          <w:lang w:eastAsia="ar-SA"/>
        </w:rPr>
      </w:pPr>
    </w:p>
    <w:p w14:paraId="424654D5" w14:textId="4E8964AF" w:rsidR="0010027E" w:rsidRPr="003C5DE8" w:rsidRDefault="0010027E" w:rsidP="003C5DE8">
      <w:pPr>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Para la administración y la gestión del riesgo de crédito </w:t>
      </w:r>
      <w:r w:rsidR="00E92C3E" w:rsidRPr="003C5DE8">
        <w:rPr>
          <w:rFonts w:ascii="Arial Narrow" w:hAnsi="Arial Narrow" w:cs="Arial"/>
          <w:color w:val="000000" w:themeColor="text1"/>
          <w:sz w:val="26"/>
          <w:szCs w:val="26"/>
          <w:lang w:val="es-CO"/>
        </w:rPr>
        <w:t>el órgano permanente de administración</w:t>
      </w:r>
      <w:r w:rsidRPr="003C5DE8">
        <w:rPr>
          <w:rFonts w:ascii="Arial Narrow" w:hAnsi="Arial Narrow" w:cs="Arial"/>
          <w:color w:val="000000" w:themeColor="text1"/>
          <w:sz w:val="26"/>
          <w:szCs w:val="26"/>
          <w:lang w:val="es-CO"/>
        </w:rPr>
        <w:t xml:space="preserve"> de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 xml:space="preserve">, debe definir una estructura organizacional, acorde con el tamaño de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 en la cual exista separación funcional y administrativa entre las áreas encargadas de la función comercial de colocación de créditos, las encargadas de la operación crediticia y la encargada de la gestión del riesgo de crédito, que permita asignar responsabilidades a las personas y áreas involucradas en los respectivos procesos y establecer reglas internas dirigidas a prevenir y sancionar conflictos de interés.</w:t>
      </w:r>
    </w:p>
    <w:p w14:paraId="1F3144E0" w14:textId="77777777" w:rsidR="0010027E" w:rsidRPr="003C5DE8" w:rsidRDefault="0010027E" w:rsidP="003C5DE8">
      <w:pPr>
        <w:ind w:left="567" w:hanging="567"/>
        <w:jc w:val="both"/>
        <w:rPr>
          <w:rFonts w:ascii="Arial Narrow" w:hAnsi="Arial Narrow" w:cs="Arial"/>
          <w:color w:val="000000" w:themeColor="text1"/>
          <w:sz w:val="26"/>
          <w:szCs w:val="26"/>
          <w:lang w:val="es-CO" w:eastAsia="ar-SA"/>
        </w:rPr>
      </w:pPr>
    </w:p>
    <w:p w14:paraId="402C0284" w14:textId="77777777" w:rsidR="0010027E" w:rsidRPr="003C5DE8" w:rsidRDefault="0010027E" w:rsidP="003C5DE8">
      <w:pPr>
        <w:ind w:left="567" w:hanging="567"/>
        <w:jc w:val="both"/>
        <w:rPr>
          <w:rFonts w:ascii="Arial Narrow" w:hAnsi="Arial Narrow" w:cs="Arial"/>
          <w:b/>
          <w:color w:val="000000" w:themeColor="text1"/>
          <w:sz w:val="26"/>
          <w:szCs w:val="26"/>
          <w:lang w:val="es-CO" w:eastAsia="ar-SA"/>
        </w:rPr>
      </w:pPr>
      <w:bookmarkStart w:id="90" w:name="_Toc56498203"/>
      <w:r w:rsidRPr="003C5DE8">
        <w:rPr>
          <w:rFonts w:ascii="Arial Narrow" w:hAnsi="Arial Narrow" w:cs="Arial"/>
          <w:b/>
          <w:color w:val="000000" w:themeColor="text1"/>
          <w:sz w:val="26"/>
          <w:szCs w:val="26"/>
          <w:lang w:val="es-CO" w:eastAsia="ar-SA"/>
        </w:rPr>
        <w:t xml:space="preserve">5.5.1. </w:t>
      </w:r>
      <w:r w:rsidRPr="003C5DE8">
        <w:rPr>
          <w:rFonts w:ascii="Arial Narrow" w:hAnsi="Arial Narrow" w:cs="Arial"/>
          <w:b/>
          <w:color w:val="000000" w:themeColor="text1"/>
          <w:sz w:val="26"/>
          <w:szCs w:val="26"/>
          <w:lang w:val="es-CO" w:eastAsia="ar-SA"/>
        </w:rPr>
        <w:tab/>
        <w:t>Responsabilidades</w:t>
      </w:r>
      <w:bookmarkEnd w:id="90"/>
    </w:p>
    <w:p w14:paraId="7369642E" w14:textId="77777777" w:rsidR="0010027E" w:rsidRPr="003C5DE8" w:rsidRDefault="0010027E" w:rsidP="003C5DE8">
      <w:pPr>
        <w:ind w:left="567" w:hanging="567"/>
        <w:jc w:val="both"/>
        <w:rPr>
          <w:rFonts w:ascii="Arial Narrow" w:hAnsi="Arial Narrow" w:cs="Arial"/>
          <w:color w:val="000000" w:themeColor="text1"/>
          <w:sz w:val="26"/>
          <w:szCs w:val="26"/>
          <w:lang w:val="es-CO" w:eastAsia="ar-SA"/>
        </w:rPr>
      </w:pPr>
    </w:p>
    <w:p w14:paraId="04AC7505" w14:textId="1B372FC5" w:rsidR="0010027E" w:rsidRPr="003C5DE8" w:rsidRDefault="0010027E" w:rsidP="003C5DE8">
      <w:pPr>
        <w:pStyle w:val="Ttulo4"/>
        <w:numPr>
          <w:ilvl w:val="3"/>
          <w:numId w:val="13"/>
        </w:numPr>
        <w:suppressAutoHyphens/>
        <w:spacing w:before="0"/>
        <w:ind w:left="567" w:hanging="567"/>
        <w:jc w:val="both"/>
        <w:rPr>
          <w:rFonts w:ascii="Arial Narrow" w:hAnsi="Arial Narrow"/>
          <w:b/>
          <w:bCs/>
          <w:i w:val="0"/>
          <w:iCs w:val="0"/>
          <w:color w:val="000000" w:themeColor="text1"/>
          <w:sz w:val="26"/>
          <w:szCs w:val="26"/>
          <w:lang w:val="es-CO" w:bidi="en-US"/>
        </w:rPr>
      </w:pPr>
      <w:bookmarkStart w:id="91" w:name="_Toc56498204"/>
      <w:r w:rsidRPr="003C5DE8">
        <w:rPr>
          <w:rFonts w:ascii="Arial Narrow" w:hAnsi="Arial Narrow"/>
          <w:b/>
          <w:bCs/>
          <w:i w:val="0"/>
          <w:iCs w:val="0"/>
          <w:color w:val="000000" w:themeColor="text1"/>
          <w:sz w:val="26"/>
          <w:szCs w:val="26"/>
          <w:lang w:val="es-CO" w:bidi="en-US"/>
        </w:rPr>
        <w:t xml:space="preserve">Del </w:t>
      </w:r>
      <w:r w:rsidR="007D2AC3" w:rsidRPr="003C5DE8">
        <w:rPr>
          <w:rFonts w:ascii="Arial Narrow" w:hAnsi="Arial Narrow"/>
          <w:b/>
          <w:bCs/>
          <w:i w:val="0"/>
          <w:iCs w:val="0"/>
          <w:color w:val="000000" w:themeColor="text1"/>
          <w:sz w:val="26"/>
          <w:szCs w:val="26"/>
          <w:lang w:val="es-CO" w:bidi="en-US"/>
        </w:rPr>
        <w:t>Órgano permanente de administración</w:t>
      </w:r>
      <w:bookmarkEnd w:id="91"/>
    </w:p>
    <w:p w14:paraId="6711F9AF" w14:textId="77777777" w:rsidR="0010027E" w:rsidRPr="003C5DE8" w:rsidRDefault="0010027E" w:rsidP="003C5DE8">
      <w:pPr>
        <w:ind w:left="567" w:hanging="567"/>
        <w:jc w:val="both"/>
        <w:rPr>
          <w:rFonts w:ascii="Arial Narrow" w:hAnsi="Arial Narrow" w:cs="Arial"/>
          <w:color w:val="000000" w:themeColor="text1"/>
          <w:sz w:val="26"/>
          <w:szCs w:val="26"/>
          <w:lang w:val="es-CO"/>
        </w:rPr>
      </w:pPr>
    </w:p>
    <w:p w14:paraId="430B82E3" w14:textId="77777777" w:rsidR="0010027E" w:rsidRPr="003C5DE8" w:rsidRDefault="0010027E" w:rsidP="003C5DE8">
      <w:pPr>
        <w:ind w:left="567" w:hanging="567"/>
        <w:jc w:val="both"/>
        <w:rPr>
          <w:rFonts w:ascii="Arial Narrow" w:hAnsi="Arial Narrow" w:cs="Arial"/>
          <w:color w:val="000000" w:themeColor="text1"/>
          <w:sz w:val="26"/>
          <w:szCs w:val="26"/>
          <w:lang w:val="es-CO"/>
        </w:rPr>
      </w:pPr>
    </w:p>
    <w:p w14:paraId="2BA927AA" w14:textId="78898E0D" w:rsidR="0010027E" w:rsidRPr="003C5DE8" w:rsidRDefault="0010027E" w:rsidP="003C5DE8">
      <w:pPr>
        <w:pStyle w:val="Prrafodelista"/>
        <w:widowControl/>
        <w:numPr>
          <w:ilvl w:val="0"/>
          <w:numId w:val="34"/>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Aprobar las políticas para la administración del riesgo de crédito, que incluye la definición de límites de exposición y </w:t>
      </w:r>
      <w:r w:rsidRPr="003C5DE8">
        <w:rPr>
          <w:rFonts w:ascii="Arial Narrow" w:hAnsi="Arial Narrow" w:cs="Arial"/>
          <w:bCs/>
          <w:color w:val="000000" w:themeColor="text1"/>
          <w:sz w:val="26"/>
          <w:szCs w:val="26"/>
          <w:lang w:val="es-CO"/>
        </w:rPr>
        <w:t>apetito al riesgo</w:t>
      </w:r>
      <w:r w:rsidRPr="003C5DE8">
        <w:rPr>
          <w:rFonts w:ascii="Arial Narrow" w:hAnsi="Arial Narrow" w:cs="Arial"/>
          <w:color w:val="000000" w:themeColor="text1"/>
          <w:sz w:val="26"/>
          <w:szCs w:val="26"/>
          <w:lang w:val="es-CO"/>
        </w:rPr>
        <w:t xml:space="preserve"> de crédito, teniendo en cuenta que </w:t>
      </w:r>
      <w:r w:rsidR="009B3A78" w:rsidRPr="003C5DE8">
        <w:rPr>
          <w:rFonts w:ascii="Arial Narrow" w:hAnsi="Arial Narrow" w:cs="Arial"/>
          <w:color w:val="000000" w:themeColor="text1"/>
          <w:sz w:val="26"/>
          <w:szCs w:val="26"/>
          <w:lang w:val="es-CO"/>
        </w:rPr>
        <w:t>debe</w:t>
      </w:r>
      <w:r w:rsidRPr="003C5DE8">
        <w:rPr>
          <w:rFonts w:ascii="Arial Narrow" w:hAnsi="Arial Narrow" w:cs="Arial"/>
          <w:color w:val="000000" w:themeColor="text1"/>
          <w:sz w:val="26"/>
          <w:szCs w:val="26"/>
          <w:lang w:val="es-CO"/>
        </w:rPr>
        <w:t xml:space="preserve"> estar alineados con el plan estratégico, comercial, el presupuesto, entre otros de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w:t>
      </w:r>
    </w:p>
    <w:p w14:paraId="6B1F03B3" w14:textId="77777777" w:rsidR="0010027E" w:rsidRPr="003C5DE8" w:rsidRDefault="0010027E" w:rsidP="003C5DE8">
      <w:pPr>
        <w:pStyle w:val="Prrafodelista"/>
        <w:widowControl/>
        <w:numPr>
          <w:ilvl w:val="0"/>
          <w:numId w:val="34"/>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Aprobar la estructura organizacional y tecnológica del SARC.</w:t>
      </w:r>
    </w:p>
    <w:p w14:paraId="1DB4FF19" w14:textId="77777777" w:rsidR="0010027E" w:rsidRPr="003C5DE8" w:rsidRDefault="0010027E" w:rsidP="003C5DE8">
      <w:pPr>
        <w:pStyle w:val="Prrafodelista"/>
        <w:widowControl/>
        <w:numPr>
          <w:ilvl w:val="0"/>
          <w:numId w:val="34"/>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Aprobar las metodologías y/o procedimientos utilizados para el otorgamiento, seguimiento y recuperación de la cartera.</w:t>
      </w:r>
    </w:p>
    <w:p w14:paraId="1980116B" w14:textId="77777777" w:rsidR="0010027E" w:rsidRPr="003C5DE8" w:rsidRDefault="0010027E" w:rsidP="003C5DE8">
      <w:pPr>
        <w:pStyle w:val="Prrafodelista"/>
        <w:widowControl/>
        <w:numPr>
          <w:ilvl w:val="0"/>
          <w:numId w:val="34"/>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lastRenderedPageBreak/>
        <w:t>Aprobar los reglamentos, manuales de procedimientos y funciones de las áreas involucradas en el proceso de crédito y en la gestión del riesgo de crédito, así como sus respectivas actualizaciones.</w:t>
      </w:r>
    </w:p>
    <w:p w14:paraId="7E07B966" w14:textId="77777777" w:rsidR="0010027E" w:rsidRPr="003C5DE8" w:rsidRDefault="0010027E" w:rsidP="003C5DE8">
      <w:pPr>
        <w:pStyle w:val="Prrafodelista"/>
        <w:widowControl/>
        <w:numPr>
          <w:ilvl w:val="0"/>
          <w:numId w:val="34"/>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Definir las instancias para la aprobación de créditos y los niveles de atribuciones para cada una de ellas.</w:t>
      </w:r>
    </w:p>
    <w:p w14:paraId="5693533E" w14:textId="77777777" w:rsidR="0010027E" w:rsidRPr="003C5DE8" w:rsidRDefault="0010027E" w:rsidP="003C5DE8">
      <w:pPr>
        <w:pStyle w:val="Prrafodelista"/>
        <w:widowControl/>
        <w:numPr>
          <w:ilvl w:val="0"/>
          <w:numId w:val="34"/>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eastAsia="es-CO"/>
        </w:rPr>
        <w:t>Aprobar los créditos de directivos, sus familiares y de los asociados que posean más del 5% de los aportes sociales, de acuerdo con el artículo 106 de la Ley 795 de 2003.</w:t>
      </w:r>
    </w:p>
    <w:p w14:paraId="6679A011" w14:textId="77777777" w:rsidR="0010027E" w:rsidRPr="003C5DE8" w:rsidRDefault="0010027E" w:rsidP="003C5DE8">
      <w:pPr>
        <w:pStyle w:val="Prrafodelista"/>
        <w:widowControl/>
        <w:numPr>
          <w:ilvl w:val="0"/>
          <w:numId w:val="34"/>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Aprobar las excepciones a las políticas internas, previa recomendación por parte del comité o área responsable y del representante legal, junto con el soporte técnico correspondiente.</w:t>
      </w:r>
    </w:p>
    <w:p w14:paraId="5D3F2CE5" w14:textId="77777777" w:rsidR="0010027E" w:rsidRPr="003C5DE8" w:rsidRDefault="0010027E" w:rsidP="003C5DE8">
      <w:pPr>
        <w:pStyle w:val="Prrafodelista"/>
        <w:widowControl/>
        <w:numPr>
          <w:ilvl w:val="0"/>
          <w:numId w:val="34"/>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Evaluar y aprobar los resultados del proceso de evaluación de cartera en cuanto a recalificación de créditos y registro de deterioro, presentados por el comité de riesgos.</w:t>
      </w:r>
    </w:p>
    <w:p w14:paraId="2B181F07" w14:textId="77777777" w:rsidR="0010027E" w:rsidRPr="003C5DE8" w:rsidRDefault="0010027E" w:rsidP="003C5DE8">
      <w:pPr>
        <w:pStyle w:val="Prrafodelista"/>
        <w:widowControl/>
        <w:numPr>
          <w:ilvl w:val="0"/>
          <w:numId w:val="34"/>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Garantizar la asignación de recursos humanos, físicos, financieros y técnicos para el adecuado desarrollo del SARC.</w:t>
      </w:r>
    </w:p>
    <w:p w14:paraId="40BE58B6" w14:textId="77777777" w:rsidR="0010027E" w:rsidRPr="003C5DE8" w:rsidRDefault="0010027E" w:rsidP="003C5DE8">
      <w:pPr>
        <w:pStyle w:val="Prrafodelista"/>
        <w:widowControl/>
        <w:numPr>
          <w:ilvl w:val="0"/>
          <w:numId w:val="34"/>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Evaluar las propuestas de mejora al SARC que le presente el representante legal o el comité de riesgos y pronunciarse expresamente sobre ellas.</w:t>
      </w:r>
    </w:p>
    <w:p w14:paraId="711D6B6F" w14:textId="47980981" w:rsidR="0010027E" w:rsidRPr="003C5DE8" w:rsidRDefault="0010027E" w:rsidP="003C5DE8">
      <w:pPr>
        <w:pStyle w:val="Prrafodelista"/>
        <w:widowControl/>
        <w:numPr>
          <w:ilvl w:val="0"/>
          <w:numId w:val="34"/>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Exigir a la administración reporte mensual sobre la situación del SARC de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 xml:space="preserve"> y señalar las características de estos informes.</w:t>
      </w:r>
    </w:p>
    <w:p w14:paraId="34C74F4C" w14:textId="661E4FAD" w:rsidR="0010027E" w:rsidRPr="003C5DE8" w:rsidRDefault="0010027E" w:rsidP="003C5DE8">
      <w:pPr>
        <w:pStyle w:val="Prrafodelista"/>
        <w:widowControl/>
        <w:numPr>
          <w:ilvl w:val="0"/>
          <w:numId w:val="34"/>
        </w:numPr>
        <w:autoSpaceDE/>
        <w:autoSpaceDN/>
        <w:ind w:left="567" w:hanging="567"/>
        <w:contextualSpacing/>
        <w:jc w:val="both"/>
        <w:rPr>
          <w:rFonts w:ascii="Arial Narrow" w:hAnsi="Arial Narrow" w:cs="Arial"/>
          <w:bCs/>
          <w:color w:val="000000" w:themeColor="text1"/>
          <w:sz w:val="26"/>
          <w:szCs w:val="26"/>
          <w:lang w:val="es-CO"/>
        </w:rPr>
      </w:pPr>
      <w:r w:rsidRPr="003C5DE8">
        <w:rPr>
          <w:rFonts w:ascii="Arial Narrow" w:hAnsi="Arial Narrow" w:cs="Arial"/>
          <w:bCs/>
          <w:color w:val="000000" w:themeColor="text1"/>
          <w:sz w:val="26"/>
          <w:szCs w:val="26"/>
          <w:lang w:val="es-CO"/>
        </w:rPr>
        <w:t xml:space="preserve">Pronunciarse y hacer seguimiento a los reportes periódicos de exposición al riesgo crediticio que presente el comité de riesgos o </w:t>
      </w:r>
      <w:r w:rsidR="00BF6CE8" w:rsidRPr="003C5DE8">
        <w:rPr>
          <w:rFonts w:ascii="Arial Narrow" w:hAnsi="Arial Narrow" w:cs="Arial"/>
          <w:bCs/>
          <w:color w:val="000000" w:themeColor="text1"/>
          <w:sz w:val="26"/>
          <w:szCs w:val="26"/>
          <w:lang w:val="es-CO"/>
        </w:rPr>
        <w:t>la persona encargada</w:t>
      </w:r>
      <w:r w:rsidRPr="003C5DE8">
        <w:rPr>
          <w:rFonts w:ascii="Arial Narrow" w:hAnsi="Arial Narrow" w:cs="Arial"/>
          <w:bCs/>
          <w:color w:val="000000" w:themeColor="text1"/>
          <w:sz w:val="26"/>
          <w:szCs w:val="26"/>
          <w:lang w:val="es-CO"/>
        </w:rPr>
        <w:t xml:space="preserve"> de la gestión de riesgos de </w:t>
      </w:r>
      <w:r w:rsidR="009A4C18">
        <w:rPr>
          <w:rFonts w:ascii="Arial Narrow" w:hAnsi="Arial Narrow" w:cs="Arial"/>
          <w:bCs/>
          <w:color w:val="000000" w:themeColor="text1"/>
          <w:sz w:val="26"/>
          <w:szCs w:val="26"/>
          <w:lang w:val="es-CO"/>
        </w:rPr>
        <w:t>FONDEJEMPLO</w:t>
      </w:r>
      <w:r w:rsidRPr="003C5DE8">
        <w:rPr>
          <w:rFonts w:ascii="Arial Narrow" w:hAnsi="Arial Narrow" w:cs="Arial"/>
          <w:color w:val="000000" w:themeColor="text1"/>
          <w:sz w:val="26"/>
          <w:szCs w:val="26"/>
          <w:lang w:val="es-CO"/>
        </w:rPr>
        <w:t xml:space="preserve"> </w:t>
      </w:r>
      <w:r w:rsidRPr="003C5DE8">
        <w:rPr>
          <w:rFonts w:ascii="Arial Narrow" w:hAnsi="Arial Narrow" w:cs="Arial"/>
          <w:bCs/>
          <w:color w:val="000000" w:themeColor="text1"/>
          <w:sz w:val="26"/>
          <w:szCs w:val="26"/>
          <w:lang w:val="es-CO"/>
        </w:rPr>
        <w:t>y los órganos de control, dejando constancia en las actas de las reuniones respectivas.</w:t>
      </w:r>
    </w:p>
    <w:p w14:paraId="0EE4CA54" w14:textId="77777777" w:rsidR="0010027E" w:rsidRPr="003C5DE8" w:rsidRDefault="0010027E" w:rsidP="003C5DE8">
      <w:pPr>
        <w:pStyle w:val="Prrafodelista"/>
        <w:widowControl/>
        <w:numPr>
          <w:ilvl w:val="0"/>
          <w:numId w:val="34"/>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bCs/>
          <w:color w:val="000000" w:themeColor="text1"/>
          <w:sz w:val="26"/>
          <w:szCs w:val="26"/>
          <w:lang w:val="es-CO"/>
        </w:rPr>
        <w:t xml:space="preserve">Pronunciarse y hacer seguimiento sobre los reportes que presente el </w:t>
      </w:r>
      <w:r w:rsidRPr="003C5DE8">
        <w:rPr>
          <w:rFonts w:ascii="Arial Narrow" w:hAnsi="Arial Narrow" w:cs="Arial"/>
          <w:color w:val="000000" w:themeColor="text1"/>
          <w:sz w:val="26"/>
          <w:szCs w:val="26"/>
          <w:lang w:val="es-CO"/>
        </w:rPr>
        <w:t xml:space="preserve">Representante Legal sobre las medidas correctivas aplicadas para que se cumplan los límites de riesgo de crédito, </w:t>
      </w:r>
      <w:r w:rsidRPr="003C5DE8">
        <w:rPr>
          <w:rFonts w:ascii="Arial Narrow" w:hAnsi="Arial Narrow" w:cs="Arial"/>
          <w:bCs/>
          <w:color w:val="000000" w:themeColor="text1"/>
          <w:sz w:val="26"/>
          <w:szCs w:val="26"/>
          <w:lang w:val="es-CO"/>
        </w:rPr>
        <w:t>al igual que las mejoras al SARC,</w:t>
      </w:r>
      <w:r w:rsidRPr="003C5DE8">
        <w:rPr>
          <w:rFonts w:ascii="Arial Narrow" w:hAnsi="Arial Narrow" w:cs="Arial"/>
          <w:color w:val="000000" w:themeColor="text1"/>
          <w:sz w:val="26"/>
          <w:szCs w:val="26"/>
          <w:lang w:val="es-CO"/>
        </w:rPr>
        <w:t xml:space="preserve"> dejando constancia en las actas de las reuniones respectivas.</w:t>
      </w:r>
    </w:p>
    <w:p w14:paraId="06810F7D" w14:textId="3C215FAF" w:rsidR="0010027E" w:rsidRPr="003C5DE8" w:rsidRDefault="0010027E" w:rsidP="003C5DE8">
      <w:pPr>
        <w:pStyle w:val="Prrafodelista"/>
        <w:widowControl/>
        <w:numPr>
          <w:ilvl w:val="0"/>
          <w:numId w:val="34"/>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Aprobar los procedimientos de control interno del SARC que seguirá el encargado de dicha función en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 xml:space="preserve">. </w:t>
      </w:r>
    </w:p>
    <w:p w14:paraId="372432CE" w14:textId="77777777" w:rsidR="0010027E" w:rsidRPr="003C5DE8" w:rsidRDefault="0010027E" w:rsidP="003C5DE8">
      <w:pPr>
        <w:pStyle w:val="Prrafodelista"/>
        <w:widowControl/>
        <w:numPr>
          <w:ilvl w:val="0"/>
          <w:numId w:val="34"/>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Efectuar un monitoreo periódico al cumplimiento de los lineamientos del SARC y a la gestión del riesgo de crédito, dejando constancia de sus pronunciamientos en el acta de las reuniones respectivas.</w:t>
      </w:r>
    </w:p>
    <w:p w14:paraId="02BDE7C6" w14:textId="77777777" w:rsidR="0010027E" w:rsidRPr="003C5DE8" w:rsidRDefault="0010027E" w:rsidP="003C5DE8">
      <w:pPr>
        <w:pStyle w:val="Prrafodelista"/>
        <w:ind w:left="567" w:hanging="567"/>
        <w:jc w:val="both"/>
        <w:rPr>
          <w:rFonts w:ascii="Arial Narrow" w:hAnsi="Arial Narrow" w:cs="Arial"/>
          <w:color w:val="000000" w:themeColor="text1"/>
          <w:sz w:val="26"/>
          <w:szCs w:val="26"/>
          <w:lang w:val="es-CO"/>
        </w:rPr>
      </w:pPr>
    </w:p>
    <w:p w14:paraId="4A714FBA" w14:textId="77777777" w:rsidR="0010027E" w:rsidRPr="003C5DE8" w:rsidRDefault="0010027E" w:rsidP="003C5DE8">
      <w:pPr>
        <w:pStyle w:val="Ttulo4"/>
        <w:numPr>
          <w:ilvl w:val="3"/>
          <w:numId w:val="13"/>
        </w:numPr>
        <w:suppressAutoHyphens/>
        <w:spacing w:before="0"/>
        <w:ind w:left="567" w:hanging="567"/>
        <w:jc w:val="both"/>
        <w:rPr>
          <w:rFonts w:ascii="Arial Narrow" w:hAnsi="Arial Narrow"/>
          <w:b/>
          <w:bCs/>
          <w:i w:val="0"/>
          <w:iCs w:val="0"/>
          <w:color w:val="000000" w:themeColor="text1"/>
          <w:sz w:val="26"/>
          <w:szCs w:val="26"/>
          <w:lang w:bidi="en-US"/>
        </w:rPr>
      </w:pPr>
      <w:bookmarkStart w:id="92" w:name="_Toc56498205"/>
      <w:r w:rsidRPr="003C5DE8">
        <w:rPr>
          <w:rFonts w:ascii="Arial Narrow" w:hAnsi="Arial Narrow"/>
          <w:b/>
          <w:bCs/>
          <w:i w:val="0"/>
          <w:iCs w:val="0"/>
          <w:color w:val="000000" w:themeColor="text1"/>
          <w:sz w:val="26"/>
          <w:szCs w:val="26"/>
          <w:lang w:bidi="en-US"/>
        </w:rPr>
        <w:t>Del representante legal</w:t>
      </w:r>
      <w:bookmarkEnd w:id="92"/>
      <w:r w:rsidRPr="003C5DE8">
        <w:rPr>
          <w:rFonts w:ascii="Arial Narrow" w:hAnsi="Arial Narrow"/>
          <w:b/>
          <w:bCs/>
          <w:i w:val="0"/>
          <w:iCs w:val="0"/>
          <w:color w:val="000000" w:themeColor="text1"/>
          <w:sz w:val="26"/>
          <w:szCs w:val="26"/>
          <w:lang w:bidi="en-US"/>
        </w:rPr>
        <w:t xml:space="preserve"> </w:t>
      </w:r>
    </w:p>
    <w:p w14:paraId="780C6045" w14:textId="77777777" w:rsidR="0010027E" w:rsidRPr="003C5DE8" w:rsidRDefault="0010027E" w:rsidP="003C5DE8">
      <w:pPr>
        <w:ind w:left="567" w:hanging="567"/>
        <w:jc w:val="both"/>
        <w:rPr>
          <w:rFonts w:ascii="Arial Narrow" w:hAnsi="Arial Narrow" w:cs="Arial"/>
          <w:color w:val="000000" w:themeColor="text1"/>
          <w:sz w:val="26"/>
          <w:szCs w:val="26"/>
        </w:rPr>
      </w:pPr>
    </w:p>
    <w:p w14:paraId="51D17D1B" w14:textId="1B138258" w:rsidR="0010027E" w:rsidRPr="003C5DE8" w:rsidRDefault="0010027E" w:rsidP="003C5DE8">
      <w:pPr>
        <w:pStyle w:val="Prrafodelista"/>
        <w:widowControl/>
        <w:numPr>
          <w:ilvl w:val="0"/>
          <w:numId w:val="35"/>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Establecer y garantizar el cumplimiento de las políticas </w:t>
      </w:r>
      <w:r w:rsidRPr="003C5DE8">
        <w:rPr>
          <w:rFonts w:ascii="Arial Narrow" w:hAnsi="Arial Narrow" w:cs="Arial"/>
          <w:bCs/>
          <w:color w:val="000000" w:themeColor="text1"/>
          <w:sz w:val="26"/>
          <w:szCs w:val="26"/>
          <w:lang w:val="es-CO"/>
        </w:rPr>
        <w:t>de administración del riesgo de crédito</w:t>
      </w:r>
      <w:r w:rsidRPr="003C5DE8">
        <w:rPr>
          <w:rFonts w:ascii="Arial Narrow" w:hAnsi="Arial Narrow" w:cs="Arial"/>
          <w:color w:val="000000" w:themeColor="text1"/>
          <w:sz w:val="26"/>
          <w:szCs w:val="26"/>
          <w:lang w:val="es-CO"/>
        </w:rPr>
        <w:t xml:space="preserve"> definidas por </w:t>
      </w:r>
      <w:r w:rsidR="00E92C3E" w:rsidRPr="003C5DE8">
        <w:rPr>
          <w:rFonts w:ascii="Arial Narrow" w:hAnsi="Arial Narrow" w:cs="Arial"/>
          <w:color w:val="000000" w:themeColor="text1"/>
          <w:sz w:val="26"/>
          <w:szCs w:val="26"/>
          <w:lang w:val="es-CO"/>
        </w:rPr>
        <w:t>el órgano permanente de administración</w:t>
      </w:r>
      <w:r w:rsidRPr="003C5DE8">
        <w:rPr>
          <w:rFonts w:ascii="Arial Narrow" w:hAnsi="Arial Narrow" w:cs="Arial"/>
          <w:color w:val="000000" w:themeColor="text1"/>
          <w:sz w:val="26"/>
          <w:szCs w:val="26"/>
          <w:lang w:val="es-CO"/>
        </w:rPr>
        <w:t xml:space="preserve"> y proponer a dicho órgano los cambios en las políticas y demás elementos del SARC, para su respectiva aprobación.</w:t>
      </w:r>
    </w:p>
    <w:p w14:paraId="1E556D99" w14:textId="2141C2F4" w:rsidR="0010027E" w:rsidRPr="003C5DE8" w:rsidRDefault="0010027E" w:rsidP="003C5DE8">
      <w:pPr>
        <w:pStyle w:val="Prrafodelista"/>
        <w:widowControl/>
        <w:numPr>
          <w:ilvl w:val="0"/>
          <w:numId w:val="35"/>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Presentar al </w:t>
      </w:r>
      <w:r w:rsidR="007D2AC3" w:rsidRPr="003C5DE8">
        <w:rPr>
          <w:rFonts w:ascii="Arial Narrow" w:hAnsi="Arial Narrow" w:cs="Arial"/>
          <w:color w:val="000000" w:themeColor="text1"/>
          <w:sz w:val="26"/>
          <w:szCs w:val="26"/>
          <w:lang w:val="es-CO"/>
        </w:rPr>
        <w:t>Órgano permanente de administración</w:t>
      </w:r>
      <w:r w:rsidRPr="003C5DE8">
        <w:rPr>
          <w:rFonts w:ascii="Arial Narrow" w:hAnsi="Arial Narrow" w:cs="Arial"/>
          <w:color w:val="000000" w:themeColor="text1"/>
          <w:sz w:val="26"/>
          <w:szCs w:val="26"/>
          <w:lang w:val="es-CO"/>
        </w:rPr>
        <w:t xml:space="preserve"> para su aprobación, políticas para la administración del riesgo de crédito, las propuestas de metodologías y procedimientos que se utilizarán en el proceso de crédito y para la adecuada gestión del riesgo de crédito en el otorgamiento, seguimiento y recuperación de la cartera de créditos.</w:t>
      </w:r>
    </w:p>
    <w:p w14:paraId="4EBAC147" w14:textId="3863EDE5" w:rsidR="0010027E" w:rsidRPr="003C5DE8" w:rsidRDefault="0010027E" w:rsidP="003C5DE8">
      <w:pPr>
        <w:pStyle w:val="Prrafodelista"/>
        <w:widowControl/>
        <w:numPr>
          <w:ilvl w:val="0"/>
          <w:numId w:val="35"/>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Realizar un seguimiento permanente al SARC, y al cumplimiento de las funciones del área responsable de la administración del riesgo de crédito y mantener informado al </w:t>
      </w:r>
      <w:r w:rsidR="007D2AC3" w:rsidRPr="003C5DE8">
        <w:rPr>
          <w:rFonts w:ascii="Arial Narrow" w:hAnsi="Arial Narrow" w:cs="Arial"/>
          <w:color w:val="000000" w:themeColor="text1"/>
          <w:sz w:val="26"/>
          <w:szCs w:val="26"/>
          <w:lang w:val="es-CO"/>
        </w:rPr>
        <w:t>órgano permanente de administración</w:t>
      </w:r>
      <w:r w:rsidRPr="003C5DE8">
        <w:rPr>
          <w:rFonts w:ascii="Arial Narrow" w:hAnsi="Arial Narrow" w:cs="Arial"/>
          <w:color w:val="000000" w:themeColor="text1"/>
          <w:sz w:val="26"/>
          <w:szCs w:val="26"/>
          <w:lang w:val="es-CO"/>
        </w:rPr>
        <w:t>.</w:t>
      </w:r>
    </w:p>
    <w:p w14:paraId="6D959E14" w14:textId="7D7A6911" w:rsidR="0010027E" w:rsidRPr="003C5DE8" w:rsidRDefault="0010027E" w:rsidP="003C5DE8">
      <w:pPr>
        <w:pStyle w:val="Prrafodelista"/>
        <w:widowControl/>
        <w:numPr>
          <w:ilvl w:val="0"/>
          <w:numId w:val="35"/>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Adoptar los correctivos que sean necesarios para mantener un adecuado SARC en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w:t>
      </w:r>
    </w:p>
    <w:p w14:paraId="2CF9970B" w14:textId="77777777" w:rsidR="0010027E" w:rsidRPr="003C5DE8" w:rsidRDefault="0010027E" w:rsidP="003C5DE8">
      <w:pPr>
        <w:pStyle w:val="Prrafodelista"/>
        <w:widowControl/>
        <w:numPr>
          <w:ilvl w:val="0"/>
          <w:numId w:val="35"/>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Vigilar las relaciones entre los asociados y los empleados de las áreas comerciales, de las áreas encargadas del análisis de crédito, de la gestión del riesgo de crédito y de cobranza y/o seguimiento de la cartera, controlando de manera eficiente los conflictos de interés que pudieren presentarse.</w:t>
      </w:r>
    </w:p>
    <w:p w14:paraId="4ED56DEE" w14:textId="77777777" w:rsidR="0010027E" w:rsidRPr="003C5DE8" w:rsidRDefault="0010027E" w:rsidP="003C5DE8">
      <w:pPr>
        <w:pStyle w:val="Prrafodelista"/>
        <w:widowControl/>
        <w:numPr>
          <w:ilvl w:val="0"/>
          <w:numId w:val="35"/>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lastRenderedPageBreak/>
        <w:t>Hacer seguimiento y pronunciarse respecto de los informes que sobre la gestión del riesgo de crédito presente el revisor fiscal y control interno.</w:t>
      </w:r>
    </w:p>
    <w:p w14:paraId="78FA290A" w14:textId="7A2D87C7" w:rsidR="0010027E" w:rsidRPr="003C5DE8" w:rsidRDefault="0010027E" w:rsidP="003C5DE8">
      <w:pPr>
        <w:pStyle w:val="Prrafodelista"/>
        <w:widowControl/>
        <w:numPr>
          <w:ilvl w:val="0"/>
          <w:numId w:val="35"/>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eastAsia="ar-SA"/>
        </w:rPr>
        <w:t xml:space="preserve">Designar un funcionario que se encargue del permanente control y seguimiento de los aplicativos de </w:t>
      </w:r>
      <w:r w:rsidR="009A4C18">
        <w:rPr>
          <w:rFonts w:ascii="Arial Narrow" w:hAnsi="Arial Narrow" w:cs="Arial"/>
          <w:color w:val="000000" w:themeColor="text1"/>
          <w:sz w:val="26"/>
          <w:szCs w:val="26"/>
          <w:lang w:val="es-CO" w:eastAsia="ar-SA"/>
        </w:rPr>
        <w:t>FONDEJEMPLO</w:t>
      </w:r>
      <w:r w:rsidRPr="003C5DE8">
        <w:rPr>
          <w:rFonts w:ascii="Arial Narrow" w:hAnsi="Arial Narrow" w:cs="Arial"/>
          <w:color w:val="000000" w:themeColor="text1"/>
          <w:sz w:val="26"/>
          <w:szCs w:val="26"/>
          <w:lang w:val="es-CO" w:eastAsia="ar-SA"/>
        </w:rPr>
        <w:t>.</w:t>
      </w:r>
    </w:p>
    <w:p w14:paraId="3005570D" w14:textId="77777777" w:rsidR="0010027E" w:rsidRPr="003C5DE8" w:rsidRDefault="0010027E" w:rsidP="003C5DE8">
      <w:pPr>
        <w:ind w:left="567" w:hanging="567"/>
        <w:jc w:val="both"/>
        <w:rPr>
          <w:rFonts w:ascii="Arial Narrow" w:hAnsi="Arial Narrow" w:cs="Arial"/>
          <w:color w:val="000000" w:themeColor="text1"/>
          <w:sz w:val="26"/>
          <w:szCs w:val="26"/>
          <w:lang w:val="es-CO"/>
        </w:rPr>
      </w:pPr>
      <w:bookmarkStart w:id="93" w:name="_Hlk88552743"/>
    </w:p>
    <w:p w14:paraId="57E94F49" w14:textId="77777777" w:rsidR="0010027E" w:rsidRPr="003C5DE8" w:rsidRDefault="0010027E" w:rsidP="003C5DE8">
      <w:pPr>
        <w:pStyle w:val="Ttulo4"/>
        <w:numPr>
          <w:ilvl w:val="3"/>
          <w:numId w:val="13"/>
        </w:numPr>
        <w:suppressAutoHyphens/>
        <w:spacing w:before="0"/>
        <w:ind w:left="567" w:hanging="567"/>
        <w:jc w:val="both"/>
        <w:rPr>
          <w:rFonts w:ascii="Arial Narrow" w:hAnsi="Arial Narrow"/>
          <w:b/>
          <w:bCs/>
          <w:i w:val="0"/>
          <w:iCs w:val="0"/>
          <w:color w:val="000000" w:themeColor="text1"/>
          <w:sz w:val="26"/>
          <w:szCs w:val="26"/>
          <w:lang w:val="es-CO" w:bidi="en-US"/>
        </w:rPr>
      </w:pPr>
      <w:bookmarkStart w:id="94" w:name="_Toc56498206"/>
      <w:r w:rsidRPr="003C5DE8">
        <w:rPr>
          <w:rFonts w:ascii="Arial Narrow" w:hAnsi="Arial Narrow"/>
          <w:b/>
          <w:bCs/>
          <w:i w:val="0"/>
          <w:iCs w:val="0"/>
          <w:color w:val="000000" w:themeColor="text1"/>
          <w:sz w:val="26"/>
          <w:szCs w:val="26"/>
          <w:lang w:val="es-CO" w:bidi="en-US"/>
        </w:rPr>
        <w:t>Del responsable de la gestión del riesgo de crédito</w:t>
      </w:r>
      <w:bookmarkEnd w:id="94"/>
    </w:p>
    <w:p w14:paraId="2C937AE3" w14:textId="77777777" w:rsidR="0010027E" w:rsidRPr="003C5DE8" w:rsidRDefault="0010027E" w:rsidP="003C5DE8">
      <w:pPr>
        <w:ind w:left="567" w:hanging="567"/>
        <w:jc w:val="both"/>
        <w:rPr>
          <w:rFonts w:ascii="Arial Narrow" w:hAnsi="Arial Narrow" w:cs="Arial"/>
          <w:color w:val="000000" w:themeColor="text1"/>
          <w:sz w:val="26"/>
          <w:szCs w:val="26"/>
          <w:lang w:val="es-CO"/>
        </w:rPr>
      </w:pPr>
    </w:p>
    <w:p w14:paraId="24FC37B5" w14:textId="1794CADA" w:rsidR="0010027E" w:rsidRPr="003C5DE8" w:rsidRDefault="0010027E" w:rsidP="003C5DE8">
      <w:pPr>
        <w:pStyle w:val="Prrafodelista"/>
        <w:widowControl/>
        <w:numPr>
          <w:ilvl w:val="0"/>
          <w:numId w:val="36"/>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Proponer, a la Alta Dirección o al Comité de Riesgos, las políticas, límites de riesgo, metodologías y procedimientos del SARC acorde con el apetito al riesgo de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w:t>
      </w:r>
    </w:p>
    <w:p w14:paraId="2D4FF344" w14:textId="76342589" w:rsidR="0010027E" w:rsidRPr="003C5DE8" w:rsidRDefault="0010027E" w:rsidP="003C5DE8">
      <w:pPr>
        <w:pStyle w:val="Prrafodelista"/>
        <w:widowControl/>
        <w:numPr>
          <w:ilvl w:val="0"/>
          <w:numId w:val="36"/>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Atender las recomendaciones d</w:t>
      </w:r>
      <w:r w:rsidR="00E92C3E" w:rsidRPr="003C5DE8">
        <w:rPr>
          <w:rFonts w:ascii="Arial Narrow" w:hAnsi="Arial Narrow" w:cs="Arial"/>
          <w:color w:val="000000" w:themeColor="text1"/>
          <w:sz w:val="26"/>
          <w:szCs w:val="26"/>
          <w:lang w:val="es-CO"/>
        </w:rPr>
        <w:t>el órgano permanente de administración</w:t>
      </w:r>
      <w:r w:rsidRPr="003C5DE8">
        <w:rPr>
          <w:rFonts w:ascii="Arial Narrow" w:hAnsi="Arial Narrow" w:cs="Arial"/>
          <w:color w:val="000000" w:themeColor="text1"/>
          <w:sz w:val="26"/>
          <w:szCs w:val="26"/>
          <w:lang w:val="es-CO"/>
        </w:rPr>
        <w:t xml:space="preserve"> y del representante legal. </w:t>
      </w:r>
    </w:p>
    <w:p w14:paraId="42B66F5C" w14:textId="48FD7E7E" w:rsidR="0010027E" w:rsidRPr="003C5DE8" w:rsidRDefault="0010027E" w:rsidP="003C5DE8">
      <w:pPr>
        <w:pStyle w:val="Prrafodelista"/>
        <w:widowControl/>
        <w:numPr>
          <w:ilvl w:val="0"/>
          <w:numId w:val="36"/>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Velar por que las áreas que participen en el proceso de crédito cumplan estrictamente las políticas, cupos y límites de crédito establecidas por la alta dirección de </w:t>
      </w:r>
      <w:r w:rsidR="009A4C18">
        <w:rPr>
          <w:rFonts w:ascii="Arial Narrow" w:hAnsi="Arial Narrow" w:cs="Arial"/>
          <w:color w:val="000000" w:themeColor="text1"/>
          <w:sz w:val="26"/>
          <w:szCs w:val="26"/>
          <w:lang w:val="es-CO"/>
        </w:rPr>
        <w:t>FONDEJEMPLO</w:t>
      </w:r>
      <w:r w:rsidRPr="003C5DE8">
        <w:rPr>
          <w:rFonts w:ascii="Arial Narrow" w:hAnsi="Arial Narrow" w:cs="Arial"/>
          <w:color w:val="000000" w:themeColor="text1"/>
          <w:sz w:val="26"/>
          <w:szCs w:val="26"/>
          <w:lang w:val="es-CO"/>
        </w:rPr>
        <w:t xml:space="preserve"> y por las normas legales vigentes.</w:t>
      </w:r>
    </w:p>
    <w:p w14:paraId="4C7C1F1D" w14:textId="77777777" w:rsidR="0010027E" w:rsidRPr="003C5DE8" w:rsidRDefault="0010027E" w:rsidP="003C5DE8">
      <w:pPr>
        <w:pStyle w:val="Prrafodelista"/>
        <w:widowControl/>
        <w:numPr>
          <w:ilvl w:val="0"/>
          <w:numId w:val="36"/>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Proponer, diseñar y desarrollarla implementación de las metodologías y/o procedimientos utilizados en el otorgamiento, seguimiento y recuperación de la cartera.</w:t>
      </w:r>
    </w:p>
    <w:p w14:paraId="4D184CD3" w14:textId="77777777" w:rsidR="0010027E" w:rsidRPr="003C5DE8" w:rsidRDefault="0010027E" w:rsidP="003C5DE8">
      <w:pPr>
        <w:pStyle w:val="Prrafodelista"/>
        <w:widowControl/>
        <w:numPr>
          <w:ilvl w:val="0"/>
          <w:numId w:val="36"/>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Verificar el cálculo de los deterioros de cartera y velar porque se lleve a cabo su adecuado registro contable.</w:t>
      </w:r>
    </w:p>
    <w:p w14:paraId="422421FA" w14:textId="57A3F1B0" w:rsidR="0010027E" w:rsidRPr="003C5DE8" w:rsidRDefault="0010027E" w:rsidP="003C5DE8">
      <w:pPr>
        <w:pStyle w:val="Prrafodelista"/>
        <w:widowControl/>
        <w:numPr>
          <w:ilvl w:val="0"/>
          <w:numId w:val="36"/>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Preparar los informes y propuestas de mejora a los componentes del SARC, al comité de riesgos, para la posterior presentación y aprobación d</w:t>
      </w:r>
      <w:r w:rsidR="00E92C3E" w:rsidRPr="003C5DE8">
        <w:rPr>
          <w:rFonts w:ascii="Arial Narrow" w:hAnsi="Arial Narrow" w:cs="Arial"/>
          <w:color w:val="000000" w:themeColor="text1"/>
          <w:sz w:val="26"/>
          <w:szCs w:val="26"/>
          <w:lang w:val="es-CO"/>
        </w:rPr>
        <w:t>el órgano permanente de administración</w:t>
      </w:r>
      <w:r w:rsidRPr="003C5DE8">
        <w:rPr>
          <w:rFonts w:ascii="Arial Narrow" w:hAnsi="Arial Narrow" w:cs="Arial"/>
          <w:color w:val="000000" w:themeColor="text1"/>
          <w:sz w:val="26"/>
          <w:szCs w:val="26"/>
          <w:lang w:val="es-CO"/>
        </w:rPr>
        <w:t>.</w:t>
      </w:r>
    </w:p>
    <w:p w14:paraId="2EEE13B9" w14:textId="77777777" w:rsidR="0010027E" w:rsidRPr="003C5DE8" w:rsidRDefault="0010027E" w:rsidP="003C5DE8">
      <w:pPr>
        <w:pStyle w:val="Prrafodelista"/>
        <w:widowControl/>
        <w:numPr>
          <w:ilvl w:val="0"/>
          <w:numId w:val="36"/>
        </w:numPr>
        <w:autoSpaceDE/>
        <w:autoSpaceDN/>
        <w:ind w:left="567" w:hanging="567"/>
        <w:contextualSpacing/>
        <w:jc w:val="both"/>
        <w:rPr>
          <w:rFonts w:ascii="Arial Narrow" w:hAnsi="Arial Narrow" w:cs="Arial"/>
          <w:color w:val="000000" w:themeColor="text1"/>
          <w:sz w:val="26"/>
          <w:szCs w:val="26"/>
          <w:lang w:val="es-CO"/>
        </w:rPr>
      </w:pPr>
      <w:r w:rsidRPr="003C5DE8">
        <w:rPr>
          <w:rFonts w:ascii="Arial Narrow" w:hAnsi="Arial Narrow" w:cs="Arial"/>
          <w:color w:val="000000" w:themeColor="text1"/>
          <w:sz w:val="26"/>
          <w:szCs w:val="26"/>
          <w:lang w:val="es-CO"/>
        </w:rPr>
        <w:t xml:space="preserve">Presentar mensualmente al representante legal </w:t>
      </w:r>
      <w:r w:rsidRPr="003C5DE8">
        <w:rPr>
          <w:rFonts w:ascii="Arial Narrow" w:hAnsi="Arial Narrow" w:cs="Arial"/>
          <w:bCs/>
          <w:color w:val="000000" w:themeColor="text1"/>
          <w:sz w:val="26"/>
          <w:szCs w:val="26"/>
          <w:lang w:val="es-CO"/>
        </w:rPr>
        <w:t xml:space="preserve">y al Comité de riesgos, </w:t>
      </w:r>
      <w:r w:rsidRPr="003C5DE8">
        <w:rPr>
          <w:rFonts w:ascii="Arial Narrow" w:hAnsi="Arial Narrow" w:cs="Arial"/>
          <w:color w:val="000000" w:themeColor="text1"/>
          <w:sz w:val="26"/>
          <w:szCs w:val="26"/>
          <w:lang w:val="es-CO"/>
        </w:rPr>
        <w:t>el informe de exposición al riesgo del SARC.</w:t>
      </w:r>
    </w:p>
    <w:bookmarkEnd w:id="93"/>
    <w:p w14:paraId="7E7762F7" w14:textId="77777777" w:rsidR="0010027E" w:rsidRPr="003C5DE8" w:rsidRDefault="0010027E" w:rsidP="003C5DE8">
      <w:pPr>
        <w:pStyle w:val="Prrafodelista"/>
        <w:ind w:left="567" w:hanging="567"/>
        <w:jc w:val="both"/>
        <w:rPr>
          <w:rFonts w:ascii="Arial Narrow" w:hAnsi="Arial Narrow" w:cs="Arial"/>
          <w:color w:val="000000" w:themeColor="text1"/>
          <w:sz w:val="26"/>
          <w:szCs w:val="26"/>
          <w:lang w:val="es-CO"/>
        </w:rPr>
      </w:pPr>
    </w:p>
    <w:p w14:paraId="451C97DD" w14:textId="77777777" w:rsidR="0010027E" w:rsidRPr="003C5DE8" w:rsidRDefault="0010027E" w:rsidP="003C5DE8">
      <w:pPr>
        <w:pStyle w:val="Ttulo2"/>
        <w:numPr>
          <w:ilvl w:val="1"/>
          <w:numId w:val="13"/>
        </w:numPr>
        <w:spacing w:before="0"/>
        <w:ind w:left="567" w:hanging="567"/>
        <w:jc w:val="both"/>
        <w:rPr>
          <w:rFonts w:ascii="Arial Narrow" w:hAnsi="Arial Narrow"/>
          <w:b/>
          <w:bCs/>
          <w:color w:val="000000" w:themeColor="text1"/>
          <w:lang w:eastAsia="ar-SA"/>
        </w:rPr>
      </w:pPr>
      <w:bookmarkStart w:id="95" w:name="_Toc28362813"/>
      <w:bookmarkStart w:id="96" w:name="_Toc56498207"/>
      <w:bookmarkStart w:id="97" w:name="_Toc97966918"/>
      <w:bookmarkEnd w:id="95"/>
      <w:r w:rsidRPr="003C5DE8">
        <w:rPr>
          <w:rFonts w:ascii="Arial Narrow" w:hAnsi="Arial Narrow"/>
          <w:b/>
          <w:bCs/>
          <w:color w:val="000000" w:themeColor="text1"/>
          <w:lang w:eastAsia="ar-SA"/>
        </w:rPr>
        <w:t>INFRAESTRUCTURA TECNOLÓGICA</w:t>
      </w:r>
      <w:bookmarkEnd w:id="96"/>
      <w:bookmarkEnd w:id="97"/>
    </w:p>
    <w:p w14:paraId="74FAD61E" w14:textId="77777777" w:rsidR="0010027E" w:rsidRPr="003C5DE8" w:rsidRDefault="0010027E" w:rsidP="003C5DE8">
      <w:pPr>
        <w:ind w:left="567" w:hanging="567"/>
        <w:jc w:val="both"/>
        <w:rPr>
          <w:rFonts w:ascii="Arial Narrow" w:hAnsi="Arial Narrow" w:cs="Arial"/>
          <w:color w:val="000000" w:themeColor="text1"/>
          <w:sz w:val="26"/>
          <w:szCs w:val="26"/>
          <w:lang w:eastAsia="ar-SA"/>
        </w:rPr>
      </w:pPr>
    </w:p>
    <w:p w14:paraId="1B56A314" w14:textId="108065CF" w:rsidR="0010027E" w:rsidRPr="003C5DE8" w:rsidRDefault="009A4C18" w:rsidP="003C5DE8">
      <w:pPr>
        <w:tabs>
          <w:tab w:val="left" w:pos="3932"/>
          <w:tab w:val="center" w:pos="4536"/>
        </w:tabs>
        <w:jc w:val="both"/>
        <w:rPr>
          <w:rFonts w:ascii="Arial Narrow" w:hAnsi="Arial Narrow" w:cs="Arial"/>
          <w:bCs/>
          <w:color w:val="000000" w:themeColor="text1"/>
          <w:sz w:val="26"/>
          <w:szCs w:val="26"/>
          <w:lang w:val="es-MX"/>
        </w:rPr>
      </w:pPr>
      <w:r>
        <w:rPr>
          <w:rFonts w:ascii="Arial Narrow" w:hAnsi="Arial Narrow" w:cs="Arial"/>
          <w:bCs/>
          <w:color w:val="000000" w:themeColor="text1"/>
          <w:sz w:val="26"/>
          <w:szCs w:val="26"/>
          <w:lang w:val="es-MX"/>
        </w:rPr>
        <w:t>FONDEJEMPLO</w:t>
      </w:r>
      <w:r w:rsidR="0010027E" w:rsidRPr="003C5DE8">
        <w:rPr>
          <w:rFonts w:ascii="Arial Narrow" w:hAnsi="Arial Narrow" w:cs="Arial"/>
          <w:bCs/>
          <w:color w:val="000000" w:themeColor="text1"/>
          <w:sz w:val="26"/>
          <w:szCs w:val="26"/>
          <w:lang w:val="es-MX"/>
        </w:rPr>
        <w:t xml:space="preserve"> </w:t>
      </w:r>
      <w:r w:rsidR="009B3A78" w:rsidRPr="003C5DE8">
        <w:rPr>
          <w:rFonts w:ascii="Arial Narrow" w:hAnsi="Arial Narrow" w:cs="Arial"/>
          <w:bCs/>
          <w:color w:val="000000" w:themeColor="text1"/>
          <w:sz w:val="26"/>
          <w:szCs w:val="26"/>
          <w:lang w:val="es-MX"/>
        </w:rPr>
        <w:t>debe</w:t>
      </w:r>
      <w:r w:rsidR="0010027E" w:rsidRPr="003C5DE8">
        <w:rPr>
          <w:rFonts w:ascii="Arial Narrow" w:hAnsi="Arial Narrow" w:cs="Arial"/>
          <w:bCs/>
          <w:color w:val="000000" w:themeColor="text1"/>
          <w:sz w:val="26"/>
          <w:szCs w:val="26"/>
          <w:lang w:val="es-MX"/>
        </w:rPr>
        <w:t xml:space="preserve"> disponer de la plataforma tecnológica y de sistemas necesarios para garantizar el funcionamiento efectivo, eficiente y oportuno del SARC. Por tal motivo, </w:t>
      </w:r>
      <w:r w:rsidR="009B3A78" w:rsidRPr="003C5DE8">
        <w:rPr>
          <w:rFonts w:ascii="Arial Narrow" w:hAnsi="Arial Narrow" w:cs="Arial"/>
          <w:bCs/>
          <w:color w:val="000000" w:themeColor="text1"/>
          <w:sz w:val="26"/>
          <w:szCs w:val="26"/>
          <w:lang w:val="es-MX"/>
        </w:rPr>
        <w:t>debe</w:t>
      </w:r>
      <w:r w:rsidR="0010027E" w:rsidRPr="003C5DE8">
        <w:rPr>
          <w:rFonts w:ascii="Arial Narrow" w:hAnsi="Arial Narrow" w:cs="Arial"/>
          <w:bCs/>
          <w:color w:val="000000" w:themeColor="text1"/>
          <w:sz w:val="26"/>
          <w:szCs w:val="26"/>
          <w:lang w:val="es-MX"/>
        </w:rPr>
        <w:t xml:space="preserve"> contar con un soporte tecnológico como software, hardware o un sistema de comunicación acorde con su tamaño, su naturaleza, complejidad y volumen de las operaciones que realiza.</w:t>
      </w:r>
      <w:r w:rsidR="00DD3035" w:rsidRPr="003C5DE8">
        <w:rPr>
          <w:rFonts w:ascii="Arial Narrow" w:hAnsi="Arial Narrow" w:cs="Arial"/>
          <w:bCs/>
          <w:color w:val="000000" w:themeColor="text1"/>
          <w:sz w:val="26"/>
          <w:szCs w:val="26"/>
          <w:lang w:val="es-MX"/>
        </w:rPr>
        <w:t xml:space="preserve"> </w:t>
      </w:r>
      <w:r w:rsidR="0010027E" w:rsidRPr="003C5DE8">
        <w:rPr>
          <w:rFonts w:ascii="Arial Narrow" w:hAnsi="Arial Narrow" w:cs="Arial"/>
          <w:bCs/>
          <w:color w:val="000000" w:themeColor="text1"/>
          <w:sz w:val="26"/>
          <w:szCs w:val="26"/>
          <w:lang w:val="es-MX"/>
        </w:rPr>
        <w:t xml:space="preserve">Así mismo, </w:t>
      </w:r>
      <w:r w:rsidR="009B3A78" w:rsidRPr="003C5DE8">
        <w:rPr>
          <w:rFonts w:ascii="Arial Narrow" w:hAnsi="Arial Narrow" w:cs="Arial"/>
          <w:bCs/>
          <w:color w:val="000000" w:themeColor="text1"/>
          <w:sz w:val="26"/>
          <w:szCs w:val="26"/>
          <w:lang w:val="es-MX"/>
        </w:rPr>
        <w:t>debe</w:t>
      </w:r>
      <w:r w:rsidR="0010027E" w:rsidRPr="003C5DE8">
        <w:rPr>
          <w:rFonts w:ascii="Arial Narrow" w:hAnsi="Arial Narrow" w:cs="Arial"/>
          <w:bCs/>
          <w:color w:val="000000" w:themeColor="text1"/>
          <w:sz w:val="26"/>
          <w:szCs w:val="26"/>
          <w:lang w:val="es-MX"/>
        </w:rPr>
        <w:t xml:space="preserve"> contar con procesos que permitan realizar un control adecuado del cumplimiento de las políticas y demás elementos del SARC.</w:t>
      </w:r>
    </w:p>
    <w:p w14:paraId="65BB065D"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52EFFE4B" w14:textId="77777777" w:rsidR="0010027E" w:rsidRPr="003C5DE8" w:rsidRDefault="0010027E" w:rsidP="003C5DE8">
      <w:pPr>
        <w:pStyle w:val="Ttulo2"/>
        <w:numPr>
          <w:ilvl w:val="1"/>
          <w:numId w:val="13"/>
        </w:numPr>
        <w:spacing w:before="0"/>
        <w:ind w:left="567" w:hanging="567"/>
        <w:jc w:val="both"/>
        <w:rPr>
          <w:rFonts w:ascii="Arial Narrow" w:hAnsi="Arial Narrow"/>
          <w:b/>
          <w:bCs/>
          <w:color w:val="000000" w:themeColor="text1"/>
          <w:lang w:eastAsia="ar-SA"/>
        </w:rPr>
      </w:pPr>
      <w:bookmarkStart w:id="98" w:name="_Toc28362815"/>
      <w:bookmarkStart w:id="99" w:name="_Toc56498208"/>
      <w:bookmarkStart w:id="100" w:name="_Toc97966919"/>
      <w:bookmarkEnd w:id="98"/>
      <w:r w:rsidRPr="003C5DE8">
        <w:rPr>
          <w:rFonts w:ascii="Arial Narrow" w:hAnsi="Arial Narrow"/>
          <w:b/>
          <w:bCs/>
          <w:color w:val="000000" w:themeColor="text1"/>
          <w:lang w:eastAsia="ar-SA"/>
        </w:rPr>
        <w:t>DOCUMENTACIÓN</w:t>
      </w:r>
      <w:bookmarkEnd w:id="99"/>
      <w:bookmarkEnd w:id="100"/>
    </w:p>
    <w:p w14:paraId="5BFB5B49" w14:textId="77777777" w:rsidR="0010027E" w:rsidRPr="003C5DE8" w:rsidRDefault="0010027E" w:rsidP="003C5DE8">
      <w:pPr>
        <w:ind w:left="567" w:hanging="567"/>
        <w:jc w:val="both"/>
        <w:rPr>
          <w:rFonts w:ascii="Arial Narrow" w:hAnsi="Arial Narrow" w:cs="Arial"/>
          <w:color w:val="000000" w:themeColor="text1"/>
          <w:sz w:val="26"/>
          <w:szCs w:val="26"/>
          <w:lang w:eastAsia="ar-SA"/>
        </w:rPr>
      </w:pPr>
    </w:p>
    <w:p w14:paraId="6D19ADD1" w14:textId="111DAA82" w:rsidR="0010027E" w:rsidRPr="003C5DE8" w:rsidRDefault="0010027E" w:rsidP="003C5DE8">
      <w:pPr>
        <w:tabs>
          <w:tab w:val="left" w:pos="3932"/>
          <w:tab w:val="center" w:pos="4536"/>
        </w:tabs>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Con el objeto de contar con elementos para el adecuado análisis de riesgo de crédito,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w:t>
      </w:r>
      <w:r w:rsidR="009B3A78" w:rsidRPr="003C5DE8">
        <w:rPr>
          <w:rFonts w:ascii="Arial Narrow" w:hAnsi="Arial Narrow" w:cs="Arial"/>
          <w:bCs/>
          <w:color w:val="000000" w:themeColor="text1"/>
          <w:sz w:val="26"/>
          <w:szCs w:val="26"/>
          <w:lang w:val="es-MX"/>
        </w:rPr>
        <w:t>debe</w:t>
      </w:r>
      <w:r w:rsidRPr="003C5DE8">
        <w:rPr>
          <w:rFonts w:ascii="Arial Narrow" w:hAnsi="Arial Narrow" w:cs="Arial"/>
          <w:bCs/>
          <w:color w:val="000000" w:themeColor="text1"/>
          <w:sz w:val="26"/>
          <w:szCs w:val="26"/>
          <w:lang w:val="es-MX"/>
        </w:rPr>
        <w:t xml:space="preserve"> mantener expedientes de crédito de los respectivos deudores, así como las bases de datos utilizadas en el proceso de administración del riesgo crediticio p. ej., otorgamiento, seguimiento, cobranza etc.</w:t>
      </w:r>
      <w:r w:rsidR="00DD3035" w:rsidRPr="003C5DE8">
        <w:rPr>
          <w:rFonts w:ascii="Arial Narrow" w:hAnsi="Arial Narrow" w:cs="Arial"/>
          <w:bCs/>
          <w:color w:val="000000" w:themeColor="text1"/>
          <w:sz w:val="26"/>
          <w:szCs w:val="26"/>
          <w:lang w:val="es-MX"/>
        </w:rPr>
        <w:t xml:space="preserve"> </w:t>
      </w:r>
      <w:r w:rsidRPr="003C5DE8">
        <w:rPr>
          <w:rFonts w:ascii="Arial Narrow" w:hAnsi="Arial Narrow" w:cs="Arial"/>
          <w:bCs/>
          <w:color w:val="000000" w:themeColor="text1"/>
          <w:sz w:val="26"/>
          <w:szCs w:val="26"/>
          <w:lang w:val="es-MX"/>
        </w:rPr>
        <w:t xml:space="preserve">Las etapas, los elementos y demás aspectos relacionados con el SARC </w:t>
      </w:r>
      <w:r w:rsidR="00DD3035" w:rsidRPr="003C5DE8">
        <w:rPr>
          <w:rFonts w:ascii="Arial Narrow" w:hAnsi="Arial Narrow" w:cs="Arial"/>
          <w:bCs/>
          <w:color w:val="000000" w:themeColor="text1"/>
          <w:sz w:val="26"/>
          <w:szCs w:val="26"/>
          <w:lang w:val="es-MX"/>
        </w:rPr>
        <w:t>deberán</w:t>
      </w:r>
      <w:r w:rsidRPr="003C5DE8">
        <w:rPr>
          <w:rFonts w:ascii="Arial Narrow" w:hAnsi="Arial Narrow" w:cs="Arial"/>
          <w:bCs/>
          <w:color w:val="000000" w:themeColor="text1"/>
          <w:sz w:val="26"/>
          <w:szCs w:val="26"/>
          <w:lang w:val="es-MX"/>
        </w:rPr>
        <w:t xml:space="preserve"> constar en documentos y registros, garantizando la integridad, oportunidad, trazabilidad, confiabilidad y disponibilidad de la información allí contenida.</w:t>
      </w:r>
      <w:r w:rsidR="00DD3035" w:rsidRPr="003C5DE8">
        <w:rPr>
          <w:rFonts w:ascii="Arial Narrow" w:hAnsi="Arial Narrow" w:cs="Arial"/>
          <w:bCs/>
          <w:color w:val="000000" w:themeColor="text1"/>
          <w:sz w:val="26"/>
          <w:szCs w:val="26"/>
          <w:lang w:val="es-MX"/>
        </w:rPr>
        <w:t xml:space="preserve"> </w:t>
      </w:r>
      <w:r w:rsidRPr="003C5DE8">
        <w:rPr>
          <w:rFonts w:ascii="Arial Narrow" w:hAnsi="Arial Narrow" w:cs="Arial"/>
          <w:bCs/>
          <w:color w:val="000000" w:themeColor="text1"/>
          <w:sz w:val="26"/>
          <w:szCs w:val="26"/>
          <w:lang w:val="es-MX"/>
        </w:rPr>
        <w:t>El tratamiento de la documentación y registros que se generen por la implementación y ejecución del SARC deberá ajustarse a las prescripciones legales en lo que guarda relación con la protección de datos personales.</w:t>
      </w:r>
      <w:r w:rsidR="00DD3035" w:rsidRPr="003C5DE8">
        <w:rPr>
          <w:rFonts w:ascii="Arial Narrow" w:hAnsi="Arial Narrow" w:cs="Arial"/>
          <w:bCs/>
          <w:color w:val="000000" w:themeColor="text1"/>
          <w:sz w:val="26"/>
          <w:szCs w:val="26"/>
          <w:lang w:val="es-MX"/>
        </w:rPr>
        <w:t xml:space="preserve"> </w:t>
      </w:r>
      <w:r w:rsidRPr="003C5DE8">
        <w:rPr>
          <w:rFonts w:ascii="Arial Narrow" w:hAnsi="Arial Narrow" w:cs="Arial"/>
          <w:bCs/>
          <w:color w:val="000000" w:themeColor="text1"/>
          <w:sz w:val="26"/>
          <w:szCs w:val="26"/>
          <w:lang w:val="es-MX"/>
        </w:rPr>
        <w:t>Como mínimo la documentación deberá:</w:t>
      </w:r>
    </w:p>
    <w:p w14:paraId="0D2E0E36"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3AE3D4A8" w14:textId="77777777" w:rsidR="0010027E" w:rsidRPr="003C5DE8" w:rsidRDefault="0010027E" w:rsidP="003C5DE8">
      <w:pPr>
        <w:pStyle w:val="Prrafodelista"/>
        <w:widowControl/>
        <w:numPr>
          <w:ilvl w:val="0"/>
          <w:numId w:val="51"/>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Contar con un respaldo físico o en medio magnético que garantice su reproducción exacta.</w:t>
      </w:r>
    </w:p>
    <w:p w14:paraId="372E56DE" w14:textId="77777777" w:rsidR="0010027E" w:rsidRPr="003C5DE8" w:rsidRDefault="0010027E" w:rsidP="003C5DE8">
      <w:pPr>
        <w:pStyle w:val="Prrafodelista"/>
        <w:widowControl/>
        <w:numPr>
          <w:ilvl w:val="0"/>
          <w:numId w:val="51"/>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Contar con requisitos de seguridad de forma tal que se permita su consulta sólo por los funcionarios autorizados.</w:t>
      </w:r>
    </w:p>
    <w:p w14:paraId="7731C5F0" w14:textId="77777777" w:rsidR="00DD3035" w:rsidRPr="003C5DE8" w:rsidRDefault="0010027E" w:rsidP="003C5DE8">
      <w:pPr>
        <w:pStyle w:val="Prrafodelista"/>
        <w:widowControl/>
        <w:numPr>
          <w:ilvl w:val="0"/>
          <w:numId w:val="51"/>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Contar con los criterios y procesos de manejo, guarda y conservación de la misma.</w:t>
      </w:r>
    </w:p>
    <w:p w14:paraId="036D9DB1" w14:textId="68428907" w:rsidR="00E638AB" w:rsidRPr="003C5DE8" w:rsidRDefault="00E638AB" w:rsidP="003C5DE8">
      <w:pPr>
        <w:pStyle w:val="Prrafodelista"/>
        <w:widowControl/>
        <w:numPr>
          <w:ilvl w:val="0"/>
          <w:numId w:val="51"/>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lastRenderedPageBreak/>
        <w:t xml:space="preserve">En el expediente de crédito del respectivo deudor se deberá mantener actualizada y completa su información sociodemográfica y financiera, la información de las garantías y los demás aspectos utilizados en los procesos de otorgamiento, seguimiento y recuperación del crédito, así como la correspondencia cruzada con el deudor. Igualmente, el expediente deberá contener el análisis que realizó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para la aprobación de modificaciones o reestructuraciones al crédito.</w:t>
      </w:r>
    </w:p>
    <w:p w14:paraId="0B21D254" w14:textId="3512B938" w:rsidR="00E638AB" w:rsidRPr="003C5DE8" w:rsidRDefault="00E638AB" w:rsidP="003C5DE8">
      <w:pPr>
        <w:pStyle w:val="Prrafodelista"/>
        <w:widowControl/>
        <w:numPr>
          <w:ilvl w:val="0"/>
          <w:numId w:val="51"/>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Conservación de los documentos por un término mínimo de cinco (5) años, según lo establecido en el Estatuto Orgánico del Sistema Financiero para las cooperativas de ahorro y crédito y, multiactivas e integrales con sección de ahorro y crédito. Para las demás organizaciones solidarias el término de conservación de documentos será de diez (10) años como lo establece el Código de Comercio y demás normas que le apliquen. Es importante resaltar que, vencido el plazo de conservación exigido en las disposiciones legales en mención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podrá destruirlos siempre que por cualquier medio técnico adecuado garantice su reproducción exacta.</w:t>
      </w:r>
    </w:p>
    <w:p w14:paraId="5B87CF72" w14:textId="6A788479" w:rsidR="008602BC" w:rsidRPr="003C5DE8" w:rsidRDefault="00E638AB" w:rsidP="003C5DE8">
      <w:pPr>
        <w:pStyle w:val="Prrafodelista"/>
        <w:numPr>
          <w:ilvl w:val="0"/>
          <w:numId w:val="51"/>
        </w:numPr>
        <w:tabs>
          <w:tab w:val="left" w:pos="3932"/>
          <w:tab w:val="center" w:pos="4536"/>
        </w:tabs>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Toda la información cuantitativa y cualitativa evaluada que sirva de insumo para los métodos y técnicas utilizadas por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para el otorgamiento y el seguimiento de su cartera, debe quedar a disposición de la Supersolidaria. Para preservar la confidencialidad de la información,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debe suministrarla únicamente a los funcionarios autorizados previa y expresamente para el efecto por la Supersolidaria.</w:t>
      </w:r>
    </w:p>
    <w:p w14:paraId="54FAE9F3" w14:textId="660B534E" w:rsidR="0010027E" w:rsidRPr="003C5DE8" w:rsidRDefault="00DD3035" w:rsidP="003C5DE8">
      <w:pPr>
        <w:pStyle w:val="Prrafodelista"/>
        <w:numPr>
          <w:ilvl w:val="0"/>
          <w:numId w:val="51"/>
        </w:numPr>
        <w:tabs>
          <w:tab w:val="left" w:pos="3932"/>
          <w:tab w:val="center" w:pos="4536"/>
        </w:tabs>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L</w:t>
      </w:r>
      <w:r w:rsidR="0010027E" w:rsidRPr="003C5DE8">
        <w:rPr>
          <w:rFonts w:ascii="Arial Narrow" w:hAnsi="Arial Narrow" w:cs="Arial"/>
          <w:bCs/>
          <w:color w:val="000000" w:themeColor="text1"/>
          <w:sz w:val="26"/>
          <w:szCs w:val="26"/>
          <w:lang w:val="es-MX"/>
        </w:rPr>
        <w:t>a documentación que soporta el SARC deberá comprender por lo menos:</w:t>
      </w:r>
    </w:p>
    <w:p w14:paraId="38EDEB24"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191DFFC6" w14:textId="77777777" w:rsidR="00E638AB" w:rsidRPr="003C5DE8" w:rsidRDefault="0010027E" w:rsidP="003C5DE8">
      <w:pPr>
        <w:pStyle w:val="Prrafodelista"/>
        <w:widowControl/>
        <w:numPr>
          <w:ilvl w:val="0"/>
          <w:numId w:val="50"/>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El manual de políticas y procedimientos del SARC y sus anexos.</w:t>
      </w:r>
    </w:p>
    <w:p w14:paraId="570A970B" w14:textId="77777777" w:rsidR="00E638AB" w:rsidRPr="003C5DE8" w:rsidRDefault="0010027E" w:rsidP="003C5DE8">
      <w:pPr>
        <w:pStyle w:val="Prrafodelista"/>
        <w:widowControl/>
        <w:numPr>
          <w:ilvl w:val="0"/>
          <w:numId w:val="50"/>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Los documentos y registros que evidencien el funcionamiento oportuno, efectivo y eficiente del SARC.</w:t>
      </w:r>
    </w:p>
    <w:p w14:paraId="3C3DCF56" w14:textId="77777777" w:rsidR="00E638AB" w:rsidRPr="003C5DE8" w:rsidRDefault="0010027E" w:rsidP="003C5DE8">
      <w:pPr>
        <w:pStyle w:val="Prrafodelista"/>
        <w:widowControl/>
        <w:numPr>
          <w:ilvl w:val="0"/>
          <w:numId w:val="50"/>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Los informes del Consejo de Administración o de </w:t>
      </w:r>
      <w:r w:rsidR="003862F6" w:rsidRPr="003C5DE8">
        <w:rPr>
          <w:rFonts w:ascii="Arial Narrow" w:hAnsi="Arial Narrow" w:cs="Arial"/>
          <w:bCs/>
          <w:color w:val="000000" w:themeColor="text1"/>
          <w:sz w:val="26"/>
          <w:szCs w:val="26"/>
          <w:lang w:val="es-MX"/>
        </w:rPr>
        <w:t>El órgano permanente de administración</w:t>
      </w:r>
      <w:r w:rsidRPr="003C5DE8">
        <w:rPr>
          <w:rFonts w:ascii="Arial Narrow" w:hAnsi="Arial Narrow" w:cs="Arial"/>
          <w:bCs/>
          <w:color w:val="000000" w:themeColor="text1"/>
          <w:sz w:val="26"/>
          <w:szCs w:val="26"/>
          <w:lang w:val="es-MX"/>
        </w:rPr>
        <w:t>, del representante legal, del área encargada de la administración de riesgos y/o del comité de riesgos y de los órganos de control establecidos.</w:t>
      </w:r>
    </w:p>
    <w:p w14:paraId="380BCBCB" w14:textId="62A05731" w:rsidR="0010027E" w:rsidRPr="003C5DE8" w:rsidRDefault="0010027E" w:rsidP="003C5DE8">
      <w:pPr>
        <w:pStyle w:val="Prrafodelista"/>
        <w:widowControl/>
        <w:numPr>
          <w:ilvl w:val="0"/>
          <w:numId w:val="50"/>
        </w:numPr>
        <w:tabs>
          <w:tab w:val="left" w:pos="3932"/>
          <w:tab w:val="center" w:pos="4536"/>
        </w:tabs>
        <w:autoSpaceDE/>
        <w:autoSpaceDN/>
        <w:contextualSpacing/>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Las actas del </w:t>
      </w:r>
      <w:r w:rsidRPr="003C5DE8">
        <w:rPr>
          <w:rFonts w:ascii="Arial Narrow" w:hAnsi="Arial Narrow" w:cs="Arial"/>
          <w:color w:val="000000" w:themeColor="text1"/>
          <w:sz w:val="26"/>
          <w:szCs w:val="26"/>
          <w:lang w:val="es-MX"/>
        </w:rPr>
        <w:t>Comité Riesgos</w:t>
      </w:r>
      <w:r w:rsidRPr="003C5DE8">
        <w:rPr>
          <w:rFonts w:ascii="Arial Narrow" w:hAnsi="Arial Narrow" w:cs="Arial"/>
          <w:bCs/>
          <w:color w:val="000000" w:themeColor="text1"/>
          <w:sz w:val="26"/>
          <w:szCs w:val="26"/>
          <w:lang w:val="es-MX"/>
        </w:rPr>
        <w:t xml:space="preserve">, los reportes al </w:t>
      </w:r>
      <w:r w:rsidR="007D2AC3" w:rsidRPr="003C5DE8">
        <w:rPr>
          <w:rFonts w:ascii="Arial Narrow" w:hAnsi="Arial Narrow" w:cs="Arial"/>
          <w:bCs/>
          <w:color w:val="000000" w:themeColor="text1"/>
          <w:sz w:val="26"/>
          <w:szCs w:val="26"/>
          <w:lang w:val="es-MX"/>
        </w:rPr>
        <w:t>Órgano permanente de administración</w:t>
      </w:r>
      <w:r w:rsidRPr="003C5DE8">
        <w:rPr>
          <w:rFonts w:ascii="Arial Narrow" w:hAnsi="Arial Narrow" w:cs="Arial"/>
          <w:bCs/>
          <w:color w:val="000000" w:themeColor="text1"/>
          <w:sz w:val="26"/>
          <w:szCs w:val="26"/>
          <w:lang w:val="es-MX"/>
        </w:rPr>
        <w:t xml:space="preserve"> y al representante legal referente al Riesgo de Crédito.</w:t>
      </w:r>
    </w:p>
    <w:p w14:paraId="3795ECD5" w14:textId="77777777" w:rsidR="0010027E" w:rsidRPr="003C5DE8" w:rsidRDefault="0010027E" w:rsidP="003C5DE8">
      <w:pPr>
        <w:pStyle w:val="Prrafodelista"/>
        <w:tabs>
          <w:tab w:val="left" w:pos="3932"/>
          <w:tab w:val="center" w:pos="4536"/>
        </w:tabs>
        <w:ind w:left="567" w:hanging="567"/>
        <w:jc w:val="both"/>
        <w:rPr>
          <w:rFonts w:ascii="Arial Narrow" w:hAnsi="Arial Narrow" w:cs="Arial"/>
          <w:bCs/>
          <w:color w:val="000000" w:themeColor="text1"/>
          <w:sz w:val="26"/>
          <w:szCs w:val="26"/>
          <w:lang w:val="es-MX"/>
        </w:rPr>
      </w:pPr>
    </w:p>
    <w:p w14:paraId="133FB717" w14:textId="77777777" w:rsidR="0010027E" w:rsidRPr="003C5DE8" w:rsidRDefault="0010027E" w:rsidP="003C5DE8">
      <w:pPr>
        <w:pStyle w:val="Ttulo2"/>
        <w:numPr>
          <w:ilvl w:val="1"/>
          <w:numId w:val="13"/>
        </w:numPr>
        <w:spacing w:before="0"/>
        <w:ind w:left="567" w:hanging="567"/>
        <w:jc w:val="both"/>
        <w:rPr>
          <w:rFonts w:ascii="Arial Narrow" w:hAnsi="Arial Narrow"/>
          <w:b/>
          <w:bCs/>
          <w:color w:val="000000" w:themeColor="text1"/>
          <w:lang w:val="es-CO" w:eastAsia="ar-SA"/>
        </w:rPr>
      </w:pPr>
      <w:bookmarkStart w:id="101" w:name="_Toc56498209"/>
      <w:bookmarkStart w:id="102" w:name="_Toc97966920"/>
      <w:r w:rsidRPr="003C5DE8">
        <w:rPr>
          <w:rFonts w:ascii="Arial Narrow" w:hAnsi="Arial Narrow"/>
          <w:b/>
          <w:bCs/>
          <w:color w:val="000000" w:themeColor="text1"/>
          <w:lang w:val="es-CO" w:eastAsia="ar-SA"/>
        </w:rPr>
        <w:t>DIVULGACIÓN DE INFORMACIÓN Y REPORTES</w:t>
      </w:r>
      <w:bookmarkEnd w:id="101"/>
      <w:bookmarkEnd w:id="102"/>
    </w:p>
    <w:p w14:paraId="0E5FA8ED"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06E04F16" w14:textId="221A7939" w:rsidR="0010027E" w:rsidRPr="003C5DE8" w:rsidRDefault="009A4C18" w:rsidP="003C5DE8">
      <w:pPr>
        <w:tabs>
          <w:tab w:val="left" w:pos="3932"/>
          <w:tab w:val="center" w:pos="4536"/>
        </w:tabs>
        <w:jc w:val="both"/>
        <w:rPr>
          <w:rFonts w:ascii="Arial Narrow" w:hAnsi="Arial Narrow" w:cs="Arial"/>
          <w:bCs/>
          <w:color w:val="000000" w:themeColor="text1"/>
          <w:sz w:val="26"/>
          <w:szCs w:val="26"/>
          <w:lang w:val="es-MX"/>
        </w:rPr>
      </w:pPr>
      <w:bookmarkStart w:id="103" w:name="_Toc11674651"/>
      <w:r>
        <w:rPr>
          <w:rFonts w:ascii="Arial Narrow" w:hAnsi="Arial Narrow" w:cs="Arial"/>
          <w:bCs/>
          <w:color w:val="000000" w:themeColor="text1"/>
          <w:sz w:val="26"/>
          <w:szCs w:val="26"/>
          <w:lang w:val="es-MX"/>
        </w:rPr>
        <w:t>FONDEJEMPLO</w:t>
      </w:r>
      <w:r w:rsidR="0010027E" w:rsidRPr="003C5DE8">
        <w:rPr>
          <w:rFonts w:ascii="Arial Narrow" w:hAnsi="Arial Narrow" w:cs="Arial"/>
          <w:bCs/>
          <w:color w:val="000000" w:themeColor="text1"/>
          <w:sz w:val="26"/>
          <w:szCs w:val="26"/>
          <w:lang w:val="es-MX"/>
        </w:rPr>
        <w:t xml:space="preserve"> </w:t>
      </w:r>
      <w:r w:rsidR="009B3A78" w:rsidRPr="003C5DE8">
        <w:rPr>
          <w:rFonts w:ascii="Arial Narrow" w:hAnsi="Arial Narrow" w:cs="Arial"/>
          <w:bCs/>
          <w:color w:val="000000" w:themeColor="text1"/>
          <w:sz w:val="26"/>
          <w:szCs w:val="26"/>
          <w:lang w:val="es-MX"/>
        </w:rPr>
        <w:t>debe</w:t>
      </w:r>
      <w:r w:rsidR="0010027E" w:rsidRPr="003C5DE8">
        <w:rPr>
          <w:rFonts w:ascii="Arial Narrow" w:hAnsi="Arial Narrow" w:cs="Arial"/>
          <w:bCs/>
          <w:color w:val="000000" w:themeColor="text1"/>
          <w:sz w:val="26"/>
          <w:szCs w:val="26"/>
          <w:lang w:val="es-MX"/>
        </w:rPr>
        <w:t xml:space="preserve"> diseñar un sistema efectivo, veraz, eficiente y oportuno de divulgación de información con reportes tanto internos como externos, que garantice el funcionamiento de sus procesos, procedimientos y el cumplimiento de los requerimientos normativos. Esta divulgación de la información debe hacerse en forma periódica y estar disponible, cuando así se requiera.</w:t>
      </w:r>
    </w:p>
    <w:p w14:paraId="6646C14D"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43729DA9" w14:textId="77777777" w:rsidR="0010027E" w:rsidRPr="003C5DE8" w:rsidRDefault="0010027E" w:rsidP="003C5DE8">
      <w:pPr>
        <w:ind w:left="567" w:hanging="567"/>
        <w:jc w:val="both"/>
        <w:rPr>
          <w:rFonts w:ascii="Arial Narrow" w:hAnsi="Arial Narrow" w:cs="Arial"/>
          <w:b/>
          <w:color w:val="000000" w:themeColor="text1"/>
          <w:sz w:val="26"/>
          <w:szCs w:val="26"/>
          <w:lang w:val="es-CO" w:eastAsia="ar-SA"/>
        </w:rPr>
      </w:pPr>
      <w:bookmarkStart w:id="104" w:name="_Toc26200319"/>
      <w:bookmarkStart w:id="105" w:name="_Toc56498210"/>
      <w:r w:rsidRPr="003C5DE8">
        <w:rPr>
          <w:rFonts w:ascii="Arial Narrow" w:hAnsi="Arial Narrow" w:cs="Arial"/>
          <w:b/>
          <w:color w:val="000000" w:themeColor="text1"/>
          <w:sz w:val="26"/>
          <w:szCs w:val="26"/>
          <w:lang w:val="es-CO" w:eastAsia="ar-SA"/>
        </w:rPr>
        <w:t xml:space="preserve">5.8.1. </w:t>
      </w:r>
      <w:r w:rsidRPr="003C5DE8">
        <w:rPr>
          <w:rFonts w:ascii="Arial Narrow" w:hAnsi="Arial Narrow" w:cs="Arial"/>
          <w:b/>
          <w:color w:val="000000" w:themeColor="text1"/>
          <w:sz w:val="26"/>
          <w:szCs w:val="26"/>
          <w:lang w:val="es-CO" w:eastAsia="ar-SA"/>
        </w:rPr>
        <w:tab/>
        <w:t>Divulgación en relación con las centrales de riesgo</w:t>
      </w:r>
      <w:bookmarkEnd w:id="104"/>
      <w:bookmarkEnd w:id="105"/>
    </w:p>
    <w:p w14:paraId="1F172B72" w14:textId="77777777" w:rsidR="0010027E" w:rsidRPr="003C5DE8" w:rsidRDefault="0010027E" w:rsidP="003C5DE8">
      <w:pPr>
        <w:ind w:left="567" w:hanging="567"/>
        <w:jc w:val="both"/>
        <w:rPr>
          <w:rFonts w:ascii="Arial Narrow" w:hAnsi="Arial Narrow" w:cs="Arial"/>
          <w:color w:val="000000" w:themeColor="text1"/>
          <w:sz w:val="26"/>
          <w:szCs w:val="26"/>
          <w:lang w:val="es-CO" w:eastAsia="ar-SA"/>
        </w:rPr>
      </w:pPr>
    </w:p>
    <w:p w14:paraId="56EA8017" w14:textId="37086B1A" w:rsidR="0010027E" w:rsidRPr="003C5DE8" w:rsidRDefault="0010027E" w:rsidP="003C5DE8">
      <w:pPr>
        <w:tabs>
          <w:tab w:val="left" w:pos="3932"/>
          <w:tab w:val="center" w:pos="4536"/>
        </w:tabs>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El SARC deberá contar con mecanismos de información periódica (internet, páginas web, mensajes electrónicos, correos, carteleras, folletos, información adjunta a los extractos, etc.) a los asociados y deudores de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acerca del alcance de sus convenios con centrales de riesgos, de los efectos generales que conlleva el reporte a las mismas y de las reglas internas sobre permanencia del dato, que hayan adoptado tales centrales de riesgos, teniendo en cuenta la jurisprudencia constitucional y los mandatos que se establezcan en las normas legales aplicables.</w:t>
      </w:r>
    </w:p>
    <w:p w14:paraId="7D40DDB9"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3C870D93" w14:textId="62E53B2C" w:rsidR="0010027E" w:rsidRPr="003C5DE8" w:rsidRDefault="0010027E" w:rsidP="003C5DE8">
      <w:pPr>
        <w:tabs>
          <w:tab w:val="left" w:pos="3932"/>
          <w:tab w:val="center" w:pos="4536"/>
        </w:tabs>
        <w:ind w:left="567" w:hanging="567"/>
        <w:jc w:val="both"/>
        <w:rPr>
          <w:rFonts w:ascii="Arial Narrow" w:hAnsi="Arial Narrow" w:cs="Arial"/>
          <w:b/>
          <w:bCs/>
          <w:color w:val="000000" w:themeColor="text1"/>
          <w:sz w:val="26"/>
          <w:szCs w:val="26"/>
          <w:lang w:val="es-MX"/>
        </w:rPr>
      </w:pPr>
      <w:bookmarkStart w:id="106" w:name="_Toc26200320"/>
      <w:bookmarkStart w:id="107" w:name="_Toc56498211"/>
      <w:r w:rsidRPr="003C5DE8">
        <w:rPr>
          <w:rFonts w:ascii="Arial Narrow" w:hAnsi="Arial Narrow" w:cs="Arial"/>
          <w:b/>
          <w:bCs/>
          <w:color w:val="000000" w:themeColor="text1"/>
          <w:sz w:val="26"/>
          <w:szCs w:val="26"/>
          <w:lang w:val="es-MX"/>
        </w:rPr>
        <w:t xml:space="preserve">5.8.2. </w:t>
      </w:r>
      <w:proofErr w:type="gramStart"/>
      <w:r w:rsidRPr="003C5DE8">
        <w:rPr>
          <w:rFonts w:ascii="Arial Narrow" w:hAnsi="Arial Narrow" w:cs="Arial"/>
          <w:b/>
          <w:bCs/>
          <w:color w:val="000000" w:themeColor="text1"/>
          <w:sz w:val="26"/>
          <w:szCs w:val="26"/>
          <w:lang w:val="es-MX"/>
        </w:rPr>
        <w:t>Información a suministrar</w:t>
      </w:r>
      <w:proofErr w:type="gramEnd"/>
      <w:r w:rsidRPr="003C5DE8">
        <w:rPr>
          <w:rFonts w:ascii="Arial Narrow" w:hAnsi="Arial Narrow" w:cs="Arial"/>
          <w:b/>
          <w:bCs/>
          <w:color w:val="000000" w:themeColor="text1"/>
          <w:sz w:val="26"/>
          <w:szCs w:val="26"/>
          <w:lang w:val="es-MX"/>
        </w:rPr>
        <w:t xml:space="preserve"> al deudor</w:t>
      </w:r>
      <w:bookmarkEnd w:id="106"/>
      <w:r w:rsidRPr="003C5DE8">
        <w:rPr>
          <w:rFonts w:ascii="Arial Narrow" w:hAnsi="Arial Narrow" w:cs="Arial"/>
          <w:b/>
          <w:bCs/>
          <w:color w:val="000000" w:themeColor="text1"/>
          <w:sz w:val="26"/>
          <w:szCs w:val="26"/>
          <w:lang w:val="es-MX"/>
        </w:rPr>
        <w:t xml:space="preserve"> cuando éste lo solicite</w:t>
      </w:r>
      <w:bookmarkEnd w:id="107"/>
    </w:p>
    <w:p w14:paraId="2420948D"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10EF9807" w14:textId="4F7F5489" w:rsidR="0010027E" w:rsidRPr="003C5DE8" w:rsidRDefault="0010027E" w:rsidP="003C5DE8">
      <w:pPr>
        <w:tabs>
          <w:tab w:val="left" w:pos="3932"/>
          <w:tab w:val="center" w:pos="4536"/>
        </w:tabs>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lastRenderedPageBreak/>
        <w:t xml:space="preserve">Dentro de los diez (10) días siguientes a la respectiva solicitud del asociado,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acreedoras </w:t>
      </w:r>
      <w:r w:rsidR="002140BF" w:rsidRPr="003C5DE8">
        <w:rPr>
          <w:rFonts w:ascii="Arial Narrow" w:hAnsi="Arial Narrow" w:cs="Arial"/>
          <w:bCs/>
          <w:color w:val="000000" w:themeColor="text1"/>
          <w:sz w:val="26"/>
          <w:szCs w:val="26"/>
          <w:lang w:val="es-MX"/>
        </w:rPr>
        <w:t>deberá</w:t>
      </w:r>
      <w:r w:rsidRPr="003C5DE8">
        <w:rPr>
          <w:rFonts w:ascii="Arial Narrow" w:hAnsi="Arial Narrow" w:cs="Arial"/>
          <w:bCs/>
          <w:color w:val="000000" w:themeColor="text1"/>
          <w:sz w:val="26"/>
          <w:szCs w:val="26"/>
          <w:lang w:val="es-MX"/>
        </w:rPr>
        <w:t xml:space="preserve"> comunicarle la última calificación y clasificación de riesgo que le ha asignado, junto con los fundamentos que la justifican según la evaluación correspondiente realizada por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En el momento en que se solicita u otorga el crédito, el asociado debe ser ilustrado acerca de su derecho a obtener esta información.</w:t>
      </w:r>
    </w:p>
    <w:p w14:paraId="11C2DF67"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7C013D45" w14:textId="18EAC2F7" w:rsidR="0010027E" w:rsidRPr="003C5DE8" w:rsidRDefault="0010027E" w:rsidP="003C5DE8">
      <w:pPr>
        <w:tabs>
          <w:tab w:val="left" w:pos="3932"/>
          <w:tab w:val="center" w:pos="4536"/>
        </w:tabs>
        <w:ind w:left="567" w:hanging="567"/>
        <w:jc w:val="both"/>
        <w:rPr>
          <w:rFonts w:ascii="Arial Narrow" w:hAnsi="Arial Narrow" w:cs="Arial"/>
          <w:b/>
          <w:bCs/>
          <w:color w:val="000000" w:themeColor="text1"/>
          <w:sz w:val="26"/>
          <w:szCs w:val="26"/>
          <w:lang w:val="es-MX"/>
        </w:rPr>
      </w:pPr>
      <w:bookmarkStart w:id="108" w:name="_Toc26200321"/>
      <w:bookmarkStart w:id="109" w:name="_Toc56498212"/>
      <w:r w:rsidRPr="003C5DE8">
        <w:rPr>
          <w:rFonts w:ascii="Arial Narrow" w:hAnsi="Arial Narrow" w:cs="Arial"/>
          <w:b/>
          <w:bCs/>
          <w:color w:val="000000" w:themeColor="text1"/>
          <w:sz w:val="26"/>
          <w:szCs w:val="26"/>
          <w:lang w:val="es-MX"/>
        </w:rPr>
        <w:t>5.8.3. Reportes internos</w:t>
      </w:r>
      <w:bookmarkEnd w:id="108"/>
      <w:bookmarkEnd w:id="109"/>
    </w:p>
    <w:p w14:paraId="56986B83"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30616CB6" w14:textId="05EEBD96" w:rsidR="0010027E" w:rsidRPr="003C5DE8" w:rsidRDefault="0010027E" w:rsidP="003C5DE8">
      <w:pPr>
        <w:tabs>
          <w:tab w:val="left" w:pos="3932"/>
          <w:tab w:val="center" w:pos="4536"/>
        </w:tabs>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El área encargada de la gestión de riesgo de </w:t>
      </w:r>
      <w:proofErr w:type="gramStart"/>
      <w:r w:rsidRPr="003C5DE8">
        <w:rPr>
          <w:rFonts w:ascii="Arial Narrow" w:hAnsi="Arial Narrow" w:cs="Arial"/>
          <w:bCs/>
          <w:color w:val="000000" w:themeColor="text1"/>
          <w:sz w:val="26"/>
          <w:szCs w:val="26"/>
          <w:lang w:val="es-MX"/>
        </w:rPr>
        <w:t>crédito,</w:t>
      </w:r>
      <w:proofErr w:type="gramEnd"/>
      <w:r w:rsidRPr="003C5DE8">
        <w:rPr>
          <w:rFonts w:ascii="Arial Narrow" w:hAnsi="Arial Narrow" w:cs="Arial"/>
          <w:bCs/>
          <w:color w:val="000000" w:themeColor="text1"/>
          <w:sz w:val="26"/>
          <w:szCs w:val="26"/>
          <w:lang w:val="es-MX"/>
        </w:rPr>
        <w:t xml:space="preserve"> debe elaborar por lo menos cada mes, reportes que permitan a la administración conocer el perfil de riesgo de crédito que tiene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la situación de la cartera colocada, el cumplimiento de las políticas, cupos, límites, atribuciones de crédito y demás elementos del SARC, así como, el cumplimiento de las normas legales vigentes en materia de gestión del riesgo de crédito. </w:t>
      </w:r>
    </w:p>
    <w:p w14:paraId="24946014"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6B36B08F" w14:textId="04DF178A" w:rsidR="0010027E" w:rsidRPr="003C5DE8" w:rsidRDefault="0010027E" w:rsidP="003C5DE8">
      <w:pPr>
        <w:tabs>
          <w:tab w:val="left" w:pos="3932"/>
          <w:tab w:val="center" w:pos="4536"/>
        </w:tabs>
        <w:ind w:left="567" w:hanging="567"/>
        <w:jc w:val="both"/>
        <w:rPr>
          <w:rFonts w:ascii="Arial Narrow" w:hAnsi="Arial Narrow" w:cs="Arial"/>
          <w:b/>
          <w:bCs/>
          <w:color w:val="000000" w:themeColor="text1"/>
          <w:sz w:val="26"/>
          <w:szCs w:val="26"/>
          <w:lang w:val="es-MX"/>
        </w:rPr>
      </w:pPr>
      <w:bookmarkStart w:id="110" w:name="_Toc26200322"/>
      <w:bookmarkStart w:id="111" w:name="_Toc56498213"/>
      <w:r w:rsidRPr="003C5DE8">
        <w:rPr>
          <w:rFonts w:ascii="Arial Narrow" w:hAnsi="Arial Narrow" w:cs="Arial"/>
          <w:b/>
          <w:bCs/>
          <w:color w:val="000000" w:themeColor="text1"/>
          <w:sz w:val="26"/>
          <w:szCs w:val="26"/>
          <w:lang w:val="es-MX"/>
        </w:rPr>
        <w:t xml:space="preserve">5.8.4. </w:t>
      </w:r>
      <w:r w:rsidR="005B338A" w:rsidRPr="003C5DE8">
        <w:rPr>
          <w:rFonts w:ascii="Arial Narrow" w:hAnsi="Arial Narrow" w:cs="Arial"/>
          <w:b/>
          <w:bCs/>
          <w:color w:val="000000" w:themeColor="text1"/>
          <w:sz w:val="26"/>
          <w:szCs w:val="26"/>
          <w:lang w:val="es-MX"/>
        </w:rPr>
        <w:t xml:space="preserve"> </w:t>
      </w:r>
      <w:r w:rsidRPr="003C5DE8">
        <w:rPr>
          <w:rFonts w:ascii="Arial Narrow" w:hAnsi="Arial Narrow" w:cs="Arial"/>
          <w:b/>
          <w:bCs/>
          <w:color w:val="000000" w:themeColor="text1"/>
          <w:sz w:val="26"/>
          <w:szCs w:val="26"/>
          <w:lang w:val="es-MX"/>
        </w:rPr>
        <w:t>Reportes externos</w:t>
      </w:r>
      <w:bookmarkEnd w:id="110"/>
      <w:bookmarkEnd w:id="111"/>
    </w:p>
    <w:p w14:paraId="2C20613A"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713EAA89" w14:textId="634D671B" w:rsidR="0010027E" w:rsidRPr="003C5DE8" w:rsidRDefault="0010027E" w:rsidP="003C5DE8">
      <w:pPr>
        <w:tabs>
          <w:tab w:val="left" w:pos="3932"/>
          <w:tab w:val="center" w:pos="4536"/>
        </w:tabs>
        <w:jc w:val="both"/>
        <w:rPr>
          <w:rFonts w:ascii="Arial Narrow" w:hAnsi="Arial Narrow" w:cs="Arial"/>
          <w:bCs/>
          <w:color w:val="000000" w:themeColor="text1"/>
          <w:sz w:val="26"/>
          <w:szCs w:val="26"/>
          <w:lang w:val="es-MX"/>
        </w:rPr>
      </w:pPr>
      <w:r w:rsidRPr="003C5DE8">
        <w:rPr>
          <w:rFonts w:ascii="Arial Narrow" w:hAnsi="Arial Narrow" w:cs="Arial"/>
          <w:bCs/>
          <w:color w:val="000000" w:themeColor="text1"/>
          <w:sz w:val="26"/>
          <w:szCs w:val="26"/>
          <w:lang w:val="es-MX"/>
        </w:rPr>
        <w:t xml:space="preserve">En concordancia con las disposiciones legales vigentes sobre la materia,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w:t>
      </w:r>
      <w:r w:rsidR="009B3A78" w:rsidRPr="003C5DE8">
        <w:rPr>
          <w:rFonts w:ascii="Arial Narrow" w:hAnsi="Arial Narrow" w:cs="Arial"/>
          <w:bCs/>
          <w:color w:val="000000" w:themeColor="text1"/>
          <w:sz w:val="26"/>
          <w:szCs w:val="26"/>
          <w:lang w:val="es-MX"/>
        </w:rPr>
        <w:t>debe</w:t>
      </w:r>
      <w:r w:rsidRPr="003C5DE8">
        <w:rPr>
          <w:rFonts w:ascii="Arial Narrow" w:hAnsi="Arial Narrow" w:cs="Arial"/>
          <w:bCs/>
          <w:color w:val="000000" w:themeColor="text1"/>
          <w:sz w:val="26"/>
          <w:szCs w:val="26"/>
          <w:lang w:val="es-MX"/>
        </w:rPr>
        <w:t xml:space="preserve"> suministrar a los asociados la información necesaria con el fin de que éstos puedan conocer las condiciones del crédito y la estrategia general de gestión del riesgo de crédito que lleva a cabo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w:t>
      </w:r>
    </w:p>
    <w:p w14:paraId="0C213A04" w14:textId="77777777" w:rsidR="0010027E" w:rsidRPr="003C5DE8" w:rsidRDefault="0010027E" w:rsidP="003C5DE8">
      <w:pPr>
        <w:tabs>
          <w:tab w:val="left" w:pos="3932"/>
          <w:tab w:val="center" w:pos="4536"/>
        </w:tabs>
        <w:ind w:left="567" w:hanging="567"/>
        <w:jc w:val="both"/>
        <w:rPr>
          <w:rFonts w:ascii="Arial Narrow" w:hAnsi="Arial Narrow" w:cs="Arial"/>
          <w:bCs/>
          <w:color w:val="000000" w:themeColor="text1"/>
          <w:sz w:val="26"/>
          <w:szCs w:val="26"/>
          <w:lang w:val="es-MX"/>
        </w:rPr>
      </w:pPr>
    </w:p>
    <w:p w14:paraId="40064E34" w14:textId="77777777" w:rsidR="005B338A" w:rsidRPr="003C5DE8" w:rsidRDefault="005B338A" w:rsidP="003C5DE8">
      <w:pPr>
        <w:tabs>
          <w:tab w:val="left" w:pos="3932"/>
          <w:tab w:val="center" w:pos="4536"/>
        </w:tabs>
        <w:jc w:val="both"/>
        <w:rPr>
          <w:rFonts w:ascii="Arial Narrow" w:hAnsi="Arial Narrow" w:cs="Arial"/>
          <w:b/>
          <w:color w:val="000000" w:themeColor="text1"/>
          <w:sz w:val="26"/>
          <w:szCs w:val="26"/>
          <w:lang w:val="es-MX"/>
        </w:rPr>
      </w:pPr>
      <w:r w:rsidRPr="003C5DE8">
        <w:rPr>
          <w:rFonts w:ascii="Arial Narrow" w:hAnsi="Arial Narrow" w:cs="Arial"/>
          <w:b/>
          <w:color w:val="000000" w:themeColor="text1"/>
          <w:sz w:val="26"/>
          <w:szCs w:val="26"/>
          <w:lang w:val="es-MX"/>
        </w:rPr>
        <w:t xml:space="preserve">5.8.4.1. Reporte de las calificaciones de riesgo </w:t>
      </w:r>
    </w:p>
    <w:p w14:paraId="21C2FB83" w14:textId="77777777" w:rsidR="005B338A" w:rsidRPr="003C5DE8" w:rsidRDefault="005B338A" w:rsidP="003C5DE8">
      <w:pPr>
        <w:tabs>
          <w:tab w:val="left" w:pos="3932"/>
          <w:tab w:val="center" w:pos="4536"/>
        </w:tabs>
        <w:jc w:val="both"/>
        <w:rPr>
          <w:rFonts w:ascii="Arial Narrow" w:hAnsi="Arial Narrow" w:cs="Arial"/>
          <w:bCs/>
          <w:color w:val="000000" w:themeColor="text1"/>
          <w:sz w:val="26"/>
          <w:szCs w:val="26"/>
          <w:lang w:val="es-MX"/>
        </w:rPr>
      </w:pPr>
    </w:p>
    <w:p w14:paraId="323D3D26" w14:textId="6AA164BF" w:rsidR="00E013A1" w:rsidRPr="003C5DE8" w:rsidRDefault="009A4C18" w:rsidP="003C5DE8">
      <w:pPr>
        <w:tabs>
          <w:tab w:val="left" w:pos="3932"/>
          <w:tab w:val="center" w:pos="4536"/>
        </w:tabs>
        <w:jc w:val="both"/>
        <w:rPr>
          <w:rFonts w:ascii="Arial Narrow" w:hAnsi="Arial Narrow"/>
          <w:color w:val="000000" w:themeColor="text1"/>
          <w:sz w:val="26"/>
          <w:szCs w:val="26"/>
          <w:lang w:val="es-CO"/>
        </w:rPr>
      </w:pPr>
      <w:r>
        <w:rPr>
          <w:rFonts w:ascii="Arial Narrow" w:hAnsi="Arial Narrow" w:cs="Arial"/>
          <w:bCs/>
          <w:color w:val="000000" w:themeColor="text1"/>
          <w:sz w:val="26"/>
          <w:szCs w:val="26"/>
          <w:lang w:val="es-MX"/>
        </w:rPr>
        <w:t>FONDEJEMPLO</w:t>
      </w:r>
      <w:r w:rsidR="005B338A" w:rsidRPr="003C5DE8">
        <w:rPr>
          <w:rFonts w:ascii="Arial Narrow" w:hAnsi="Arial Narrow" w:cs="Arial"/>
          <w:bCs/>
          <w:color w:val="000000" w:themeColor="text1"/>
          <w:sz w:val="26"/>
          <w:szCs w:val="26"/>
          <w:lang w:val="es-MX"/>
        </w:rPr>
        <w:t xml:space="preserve"> cuando reporte la calificación por riesgo de su cartera de crédito a las centrales de información, deberán tener en cuenta lo previsto en la normatividad vigente sobre las disposiciones generales del Hábeas Data y el manejo de la información contenida en bases de datos personales. </w:t>
      </w:r>
      <w:r w:rsidR="00E013A1" w:rsidRPr="003C5DE8">
        <w:rPr>
          <w:rFonts w:ascii="Arial Narrow" w:hAnsi="Arial Narrow" w:cs="Arial"/>
          <w:bCs/>
          <w:color w:val="000000" w:themeColor="text1"/>
          <w:sz w:val="26"/>
          <w:szCs w:val="26"/>
          <w:lang w:val="es-MX"/>
        </w:rPr>
        <w:t xml:space="preserve"> </w:t>
      </w:r>
      <w:r w:rsidR="00E013A1" w:rsidRPr="003C5DE8">
        <w:rPr>
          <w:rFonts w:ascii="Arial Narrow" w:hAnsi="Arial Narrow"/>
          <w:color w:val="000000" w:themeColor="text1"/>
          <w:sz w:val="26"/>
          <w:szCs w:val="26"/>
          <w:lang w:val="es-CO"/>
        </w:rPr>
        <w:t>En caso de reportar la calificación por riesgo a las centrales de información, se deberá aplicar la siguiente homologación</w:t>
      </w:r>
      <w:r w:rsidR="00BB582D" w:rsidRPr="003C5DE8">
        <w:rPr>
          <w:rFonts w:ascii="Arial Narrow" w:hAnsi="Arial Narrow"/>
          <w:color w:val="000000" w:themeColor="text1"/>
          <w:sz w:val="26"/>
          <w:szCs w:val="26"/>
          <w:lang w:val="es-CO"/>
        </w:rPr>
        <w:t>:</w:t>
      </w:r>
      <w:r w:rsidR="00E013A1" w:rsidRPr="003C5DE8">
        <w:rPr>
          <w:rFonts w:ascii="Arial Narrow" w:hAnsi="Arial Narrow"/>
          <w:color w:val="000000" w:themeColor="text1"/>
          <w:sz w:val="26"/>
          <w:szCs w:val="26"/>
          <w:lang w:val="es-CO"/>
        </w:rPr>
        <w:t xml:space="preserve"> </w:t>
      </w:r>
    </w:p>
    <w:p w14:paraId="58BF5C5C" w14:textId="77777777" w:rsidR="00E013A1" w:rsidRPr="003C5DE8" w:rsidRDefault="00E013A1" w:rsidP="003C5DE8">
      <w:pPr>
        <w:tabs>
          <w:tab w:val="left" w:pos="3932"/>
          <w:tab w:val="center" w:pos="4536"/>
        </w:tabs>
        <w:jc w:val="both"/>
        <w:rPr>
          <w:rFonts w:ascii="Arial Narrow" w:hAnsi="Arial Narrow"/>
          <w:color w:val="000000" w:themeColor="text1"/>
          <w:sz w:val="26"/>
          <w:szCs w:val="26"/>
          <w:lang w:val="es-CO"/>
        </w:rPr>
      </w:pPr>
    </w:p>
    <w:p w14:paraId="4703455E" w14:textId="02906FD3" w:rsidR="00BB582D" w:rsidRPr="003C5DE8" w:rsidRDefault="00BB582D" w:rsidP="003C5DE8">
      <w:pPr>
        <w:tabs>
          <w:tab w:val="left" w:pos="3932"/>
          <w:tab w:val="center" w:pos="4536"/>
        </w:tabs>
        <w:jc w:val="both"/>
        <w:rPr>
          <w:rFonts w:ascii="Arial Narrow" w:hAnsi="Arial Narrow"/>
          <w:color w:val="000000" w:themeColor="text1"/>
          <w:sz w:val="26"/>
          <w:szCs w:val="26"/>
          <w:lang w:val="es-CO"/>
        </w:rPr>
      </w:pPr>
      <w:r w:rsidRPr="003C5DE8">
        <w:rPr>
          <w:rFonts w:ascii="Arial Narrow" w:hAnsi="Arial Narrow"/>
          <w:noProof/>
          <w:color w:val="000000" w:themeColor="text1"/>
          <w:sz w:val="26"/>
          <w:szCs w:val="26"/>
          <w:lang w:val="es-CO"/>
        </w:rPr>
        <w:drawing>
          <wp:inline distT="0" distB="0" distL="0" distR="0" wp14:anchorId="7A1E9C49" wp14:editId="035E83ED">
            <wp:extent cx="3943900" cy="1895740"/>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943900" cy="1895740"/>
                    </a:xfrm>
                    <a:prstGeom prst="rect">
                      <a:avLst/>
                    </a:prstGeom>
                  </pic:spPr>
                </pic:pic>
              </a:graphicData>
            </a:graphic>
          </wp:inline>
        </w:drawing>
      </w:r>
    </w:p>
    <w:p w14:paraId="020744AB" w14:textId="77777777" w:rsidR="00E013A1" w:rsidRPr="003C5DE8" w:rsidRDefault="00E013A1" w:rsidP="003C5DE8">
      <w:pPr>
        <w:tabs>
          <w:tab w:val="left" w:pos="3932"/>
          <w:tab w:val="center" w:pos="4536"/>
        </w:tabs>
        <w:jc w:val="both"/>
        <w:rPr>
          <w:rFonts w:ascii="Arial Narrow" w:hAnsi="Arial Narrow"/>
          <w:color w:val="000000" w:themeColor="text1"/>
          <w:sz w:val="26"/>
          <w:szCs w:val="26"/>
          <w:lang w:val="es-CO"/>
        </w:rPr>
      </w:pPr>
    </w:p>
    <w:p w14:paraId="3B2F8B0A" w14:textId="231AB80D" w:rsidR="00E013A1" w:rsidRPr="003C5DE8" w:rsidRDefault="00E013A1" w:rsidP="003C5DE8">
      <w:pPr>
        <w:tabs>
          <w:tab w:val="left" w:pos="3932"/>
          <w:tab w:val="center" w:pos="4536"/>
        </w:tabs>
        <w:jc w:val="both"/>
        <w:rPr>
          <w:rFonts w:ascii="Arial Narrow" w:hAnsi="Arial Narrow" w:cs="Arial"/>
          <w:bCs/>
          <w:color w:val="000000" w:themeColor="text1"/>
          <w:sz w:val="26"/>
          <w:szCs w:val="26"/>
          <w:lang w:val="es-MX"/>
        </w:rPr>
      </w:pPr>
      <w:r w:rsidRPr="003C5DE8">
        <w:rPr>
          <w:rFonts w:ascii="Arial Narrow" w:hAnsi="Arial Narrow"/>
          <w:color w:val="000000" w:themeColor="text1"/>
          <w:sz w:val="26"/>
          <w:szCs w:val="26"/>
          <w:lang w:val="es-CO"/>
        </w:rPr>
        <w:t xml:space="preserve">Para efectos de la homologación, la mora actual a la que se refieren las tablas </w:t>
      </w:r>
      <w:r w:rsidR="00BB582D" w:rsidRPr="003C5DE8">
        <w:rPr>
          <w:rFonts w:ascii="Arial Narrow" w:hAnsi="Arial Narrow"/>
          <w:color w:val="000000" w:themeColor="text1"/>
          <w:sz w:val="26"/>
          <w:szCs w:val="26"/>
          <w:lang w:val="es-CO"/>
        </w:rPr>
        <w:t>anteriores</w:t>
      </w:r>
      <w:r w:rsidRPr="003C5DE8">
        <w:rPr>
          <w:rFonts w:ascii="Arial Narrow" w:hAnsi="Arial Narrow"/>
          <w:color w:val="000000" w:themeColor="text1"/>
          <w:sz w:val="26"/>
          <w:szCs w:val="26"/>
          <w:lang w:val="es-CO"/>
        </w:rPr>
        <w:t xml:space="preserve"> debe entenderse como la máxima que registra el deudor en los productos alineados por modalidad de cartera.</w:t>
      </w:r>
    </w:p>
    <w:p w14:paraId="5575E570" w14:textId="77777777" w:rsidR="005B338A" w:rsidRPr="003C5DE8" w:rsidRDefault="005B338A" w:rsidP="003C5DE8">
      <w:pPr>
        <w:tabs>
          <w:tab w:val="left" w:pos="3932"/>
          <w:tab w:val="center" w:pos="4536"/>
        </w:tabs>
        <w:jc w:val="both"/>
        <w:rPr>
          <w:rFonts w:ascii="Arial Narrow" w:hAnsi="Arial Narrow" w:cs="Arial"/>
          <w:bCs/>
          <w:color w:val="000000" w:themeColor="text1"/>
          <w:sz w:val="26"/>
          <w:szCs w:val="26"/>
          <w:lang w:val="es-MX"/>
        </w:rPr>
      </w:pPr>
    </w:p>
    <w:p w14:paraId="7E6D5F5A" w14:textId="77777777" w:rsidR="005B338A" w:rsidRPr="003C5DE8" w:rsidRDefault="005B338A" w:rsidP="003C5DE8">
      <w:pPr>
        <w:tabs>
          <w:tab w:val="left" w:pos="3932"/>
          <w:tab w:val="center" w:pos="4536"/>
        </w:tabs>
        <w:jc w:val="both"/>
        <w:rPr>
          <w:rFonts w:ascii="Arial Narrow" w:hAnsi="Arial Narrow" w:cs="Arial"/>
          <w:b/>
          <w:color w:val="000000" w:themeColor="text1"/>
          <w:sz w:val="26"/>
          <w:szCs w:val="26"/>
          <w:lang w:val="es-MX"/>
        </w:rPr>
      </w:pPr>
      <w:r w:rsidRPr="003C5DE8">
        <w:rPr>
          <w:rFonts w:ascii="Arial Narrow" w:hAnsi="Arial Narrow" w:cs="Arial"/>
          <w:b/>
          <w:color w:val="000000" w:themeColor="text1"/>
          <w:sz w:val="26"/>
          <w:szCs w:val="26"/>
          <w:lang w:val="es-MX"/>
        </w:rPr>
        <w:t xml:space="preserve">5.8.4.2. Reportes a la Superintendencia </w:t>
      </w:r>
    </w:p>
    <w:p w14:paraId="4413E4EE" w14:textId="77777777" w:rsidR="005B338A" w:rsidRPr="003C5DE8" w:rsidRDefault="005B338A" w:rsidP="003C5DE8">
      <w:pPr>
        <w:tabs>
          <w:tab w:val="left" w:pos="3932"/>
          <w:tab w:val="center" w:pos="4536"/>
        </w:tabs>
        <w:jc w:val="both"/>
        <w:rPr>
          <w:rFonts w:ascii="Arial Narrow" w:hAnsi="Arial Narrow" w:cs="Arial"/>
          <w:bCs/>
          <w:color w:val="000000" w:themeColor="text1"/>
          <w:sz w:val="26"/>
          <w:szCs w:val="26"/>
          <w:lang w:val="es-MX"/>
        </w:rPr>
      </w:pPr>
    </w:p>
    <w:p w14:paraId="6B88E37C" w14:textId="20BE4CAB" w:rsidR="0010027E" w:rsidRPr="003C5DE8" w:rsidRDefault="005B338A" w:rsidP="003C5DE8">
      <w:pPr>
        <w:tabs>
          <w:tab w:val="left" w:pos="3932"/>
          <w:tab w:val="center" w:pos="4536"/>
        </w:tabs>
        <w:jc w:val="both"/>
        <w:rPr>
          <w:rFonts w:ascii="Arial Narrow" w:hAnsi="Arial Narrow"/>
          <w:color w:val="000000" w:themeColor="text1"/>
          <w:sz w:val="26"/>
          <w:szCs w:val="26"/>
          <w:lang w:val="es-CO"/>
        </w:rPr>
      </w:pPr>
      <w:r w:rsidRPr="003C5DE8">
        <w:rPr>
          <w:rFonts w:ascii="Arial Narrow" w:hAnsi="Arial Narrow" w:cs="Arial"/>
          <w:bCs/>
          <w:color w:val="000000" w:themeColor="text1"/>
          <w:sz w:val="26"/>
          <w:szCs w:val="26"/>
          <w:lang w:val="es-MX"/>
        </w:rPr>
        <w:t xml:space="preserve">Los resultados de las evaluaciones totales y de las actualizaciones de calificación por riesgo efectuadas por </w:t>
      </w:r>
      <w:r w:rsidR="009A4C18">
        <w:rPr>
          <w:rFonts w:ascii="Arial Narrow" w:hAnsi="Arial Narrow" w:cs="Arial"/>
          <w:bCs/>
          <w:color w:val="000000" w:themeColor="text1"/>
          <w:sz w:val="26"/>
          <w:szCs w:val="26"/>
          <w:lang w:val="es-MX"/>
        </w:rPr>
        <w:t>FONDEJEMPLO</w:t>
      </w:r>
      <w:r w:rsidRPr="003C5DE8">
        <w:rPr>
          <w:rFonts w:ascii="Arial Narrow" w:hAnsi="Arial Narrow" w:cs="Arial"/>
          <w:bCs/>
          <w:color w:val="000000" w:themeColor="text1"/>
          <w:sz w:val="26"/>
          <w:szCs w:val="26"/>
          <w:lang w:val="es-MX"/>
        </w:rPr>
        <w:t xml:space="preserve">, deberán reflejarse en la información reportada periódicamente a la </w:t>
      </w:r>
      <w:r w:rsidRPr="003C5DE8">
        <w:rPr>
          <w:rFonts w:ascii="Arial Narrow" w:hAnsi="Arial Narrow" w:cs="Arial"/>
          <w:bCs/>
          <w:color w:val="000000" w:themeColor="text1"/>
          <w:sz w:val="26"/>
          <w:szCs w:val="26"/>
          <w:lang w:val="es-MX"/>
        </w:rPr>
        <w:lastRenderedPageBreak/>
        <w:t>Superintendencia, en los formatos dispuestos para el efecto, sin perjuicio que este Ente de Supervisión pueda solicitar informes adicionales cuando los considere necesarios. Así mismo, deberán reportar a esta Superintendencia información sobre créditos y deudores modificados,</w:t>
      </w:r>
      <w:r w:rsidRPr="003C5DE8">
        <w:rPr>
          <w:rFonts w:ascii="Arial Narrow" w:hAnsi="Arial Narrow"/>
          <w:color w:val="000000" w:themeColor="text1"/>
          <w:sz w:val="26"/>
          <w:szCs w:val="26"/>
          <w:lang w:val="es-CO"/>
        </w:rPr>
        <w:t xml:space="preserve"> reestructurados, novados y castigados, de acuerdo con las instrucciones y formatos que se definan para tal efecto.</w:t>
      </w:r>
    </w:p>
    <w:p w14:paraId="3CCF555F" w14:textId="77777777" w:rsidR="005B338A" w:rsidRPr="003C5DE8" w:rsidRDefault="005B338A" w:rsidP="003C5DE8">
      <w:pPr>
        <w:ind w:left="567" w:hanging="567"/>
        <w:jc w:val="both"/>
        <w:rPr>
          <w:rFonts w:ascii="Arial Narrow" w:hAnsi="Arial Narrow" w:cs="Arial"/>
          <w:color w:val="000000" w:themeColor="text1"/>
          <w:sz w:val="26"/>
          <w:szCs w:val="26"/>
          <w:lang w:val="es-CO"/>
        </w:rPr>
      </w:pPr>
    </w:p>
    <w:p w14:paraId="7D8BEB0D" w14:textId="77777777" w:rsidR="0010027E" w:rsidRPr="003C5DE8" w:rsidRDefault="0010027E" w:rsidP="003C5DE8">
      <w:pPr>
        <w:pStyle w:val="Ttulo2"/>
        <w:numPr>
          <w:ilvl w:val="1"/>
          <w:numId w:val="13"/>
        </w:numPr>
        <w:spacing w:before="0"/>
        <w:ind w:left="567" w:hanging="567"/>
        <w:jc w:val="both"/>
        <w:rPr>
          <w:rFonts w:ascii="Arial Narrow" w:hAnsi="Arial Narrow"/>
          <w:b/>
          <w:bCs/>
          <w:color w:val="000000" w:themeColor="text1"/>
          <w:lang w:eastAsia="ar-SA"/>
        </w:rPr>
      </w:pPr>
      <w:bookmarkStart w:id="112" w:name="_Toc56498216"/>
      <w:bookmarkStart w:id="113" w:name="_Toc97966921"/>
      <w:r w:rsidRPr="003C5DE8">
        <w:rPr>
          <w:rFonts w:ascii="Arial Narrow" w:hAnsi="Arial Narrow"/>
          <w:b/>
          <w:bCs/>
          <w:color w:val="000000" w:themeColor="text1"/>
          <w:lang w:eastAsia="ar-SA"/>
        </w:rPr>
        <w:t>ÓRGANOS DE CONTROL</w:t>
      </w:r>
      <w:bookmarkEnd w:id="103"/>
      <w:bookmarkEnd w:id="112"/>
      <w:bookmarkEnd w:id="113"/>
      <w:r w:rsidRPr="003C5DE8">
        <w:rPr>
          <w:rFonts w:ascii="Arial Narrow" w:hAnsi="Arial Narrow"/>
          <w:b/>
          <w:bCs/>
          <w:color w:val="000000" w:themeColor="text1"/>
          <w:lang w:eastAsia="ar-SA"/>
        </w:rPr>
        <w:t xml:space="preserve"> </w:t>
      </w:r>
    </w:p>
    <w:p w14:paraId="7BC55E36" w14:textId="77777777" w:rsidR="0010027E" w:rsidRPr="003C5DE8" w:rsidRDefault="0010027E" w:rsidP="003C5DE8">
      <w:pPr>
        <w:suppressAutoHyphens/>
        <w:ind w:left="567" w:hanging="567"/>
        <w:jc w:val="both"/>
        <w:rPr>
          <w:rFonts w:ascii="Arial Narrow" w:hAnsi="Arial Narrow" w:cs="Arial"/>
          <w:color w:val="000000" w:themeColor="text1"/>
          <w:sz w:val="26"/>
          <w:szCs w:val="26"/>
          <w:lang w:val="es-CO" w:eastAsia="ar-SA"/>
        </w:rPr>
      </w:pPr>
    </w:p>
    <w:p w14:paraId="7449F009" w14:textId="77777777" w:rsidR="00996946" w:rsidRPr="003C5DE8" w:rsidRDefault="00996946" w:rsidP="003C5DE8">
      <w:pPr>
        <w:pStyle w:val="Prrafodelista"/>
        <w:numPr>
          <w:ilvl w:val="0"/>
          <w:numId w:val="52"/>
        </w:numPr>
        <w:suppressAutoHyphens/>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El responsable de riesgos debe</w:t>
      </w:r>
      <w:r w:rsidR="0010027E" w:rsidRPr="003C5DE8">
        <w:rPr>
          <w:rFonts w:ascii="Arial Narrow" w:hAnsi="Arial Narrow" w:cs="Arial"/>
          <w:color w:val="000000" w:themeColor="text1"/>
          <w:sz w:val="26"/>
          <w:szCs w:val="26"/>
          <w:lang w:val="es-CO" w:eastAsia="ar-SA"/>
        </w:rPr>
        <w:t xml:space="preserve"> efectuar una revisión y evaluación del SARC e informar oportunamente los resultados de dichas evaluaciones a los órganos competentes.</w:t>
      </w:r>
      <w:r w:rsidRPr="003C5DE8">
        <w:rPr>
          <w:rFonts w:ascii="Arial Narrow" w:hAnsi="Arial Narrow" w:cs="Arial"/>
          <w:color w:val="000000" w:themeColor="text1"/>
          <w:sz w:val="26"/>
          <w:szCs w:val="26"/>
          <w:lang w:val="es-CO" w:eastAsia="ar-SA"/>
        </w:rPr>
        <w:t xml:space="preserve"> </w:t>
      </w:r>
    </w:p>
    <w:p w14:paraId="04CB9881" w14:textId="332D71C3" w:rsidR="00996946" w:rsidRPr="003C5DE8" w:rsidRDefault="0010027E" w:rsidP="003C5DE8">
      <w:pPr>
        <w:pStyle w:val="Prrafodelista"/>
        <w:numPr>
          <w:ilvl w:val="0"/>
          <w:numId w:val="52"/>
        </w:numPr>
        <w:suppressAutoHyphens/>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 xml:space="preserve">En el contexto del SARC, </w:t>
      </w:r>
      <w:r w:rsidR="00996946" w:rsidRPr="003C5DE8">
        <w:rPr>
          <w:rFonts w:ascii="Arial Narrow" w:hAnsi="Arial Narrow" w:cs="Arial"/>
          <w:color w:val="000000" w:themeColor="text1"/>
          <w:sz w:val="26"/>
          <w:szCs w:val="26"/>
          <w:lang w:val="es-CO" w:eastAsia="ar-SA"/>
        </w:rPr>
        <w:t>La Revisoría Fiscal debe</w:t>
      </w:r>
      <w:r w:rsidRPr="003C5DE8">
        <w:rPr>
          <w:rFonts w:ascii="Arial Narrow" w:hAnsi="Arial Narrow" w:cs="Arial"/>
          <w:color w:val="000000" w:themeColor="text1"/>
          <w:sz w:val="26"/>
          <w:szCs w:val="26"/>
          <w:lang w:val="es-CO" w:eastAsia="ar-SA"/>
        </w:rPr>
        <w:t xml:space="preserve"> realizar auditorías que garanticen el cumplimiento de la totalidad de las disposiciones de esta norma y de todas aquellas que la modifiquen, complementen o adicionen. Adicionalmente, </w:t>
      </w:r>
      <w:r w:rsidR="00996946" w:rsidRPr="003C5DE8">
        <w:rPr>
          <w:rFonts w:ascii="Arial Narrow" w:hAnsi="Arial Narrow" w:cs="Arial"/>
          <w:color w:val="000000" w:themeColor="text1"/>
          <w:sz w:val="26"/>
          <w:szCs w:val="26"/>
          <w:lang w:val="es-CO" w:eastAsia="ar-SA"/>
        </w:rPr>
        <w:t>estas evaluaciones deben</w:t>
      </w:r>
      <w:r w:rsidRPr="003C5DE8">
        <w:rPr>
          <w:rFonts w:ascii="Arial Narrow" w:hAnsi="Arial Narrow" w:cs="Arial"/>
          <w:color w:val="000000" w:themeColor="text1"/>
          <w:sz w:val="26"/>
          <w:szCs w:val="26"/>
          <w:lang w:val="es-CO" w:eastAsia="ar-SA"/>
        </w:rPr>
        <w:t xml:space="preserve"> cubrir las operaciones que </w:t>
      </w:r>
      <w:r w:rsidR="009A4C18">
        <w:rPr>
          <w:rFonts w:ascii="Arial Narrow" w:hAnsi="Arial Narrow" w:cs="Arial"/>
          <w:color w:val="000000" w:themeColor="text1"/>
          <w:sz w:val="26"/>
          <w:szCs w:val="26"/>
          <w:lang w:val="es-CO" w:eastAsia="ar-SA"/>
        </w:rPr>
        <w:t>FONDEJEMPLO</w:t>
      </w:r>
      <w:r w:rsidRPr="003C5DE8">
        <w:rPr>
          <w:rFonts w:ascii="Arial Narrow" w:hAnsi="Arial Narrow" w:cs="Arial"/>
          <w:color w:val="000000" w:themeColor="text1"/>
          <w:sz w:val="26"/>
          <w:szCs w:val="26"/>
          <w:lang w:val="es-CO" w:eastAsia="ar-SA"/>
        </w:rPr>
        <w:t xml:space="preserve"> realice con empresas, personas vinculadas a </w:t>
      </w:r>
      <w:r w:rsidR="009A4C18">
        <w:rPr>
          <w:rFonts w:ascii="Arial Narrow" w:hAnsi="Arial Narrow" w:cs="Arial"/>
          <w:color w:val="000000" w:themeColor="text1"/>
          <w:sz w:val="26"/>
          <w:szCs w:val="26"/>
          <w:lang w:val="es-CO" w:eastAsia="ar-SA"/>
        </w:rPr>
        <w:t>FONDEJEMPLO</w:t>
      </w:r>
      <w:r w:rsidRPr="003C5DE8">
        <w:rPr>
          <w:rFonts w:ascii="Arial Narrow" w:hAnsi="Arial Narrow" w:cs="Arial"/>
          <w:color w:val="000000" w:themeColor="text1"/>
          <w:sz w:val="26"/>
          <w:szCs w:val="26"/>
          <w:lang w:val="es-CO" w:eastAsia="ar-SA"/>
        </w:rPr>
        <w:t xml:space="preserve"> o partes relacionadas. </w:t>
      </w:r>
    </w:p>
    <w:p w14:paraId="314FC32B" w14:textId="40112C16" w:rsidR="00996946" w:rsidRPr="003C5DE8" w:rsidRDefault="0010027E" w:rsidP="003C5DE8">
      <w:pPr>
        <w:pStyle w:val="Prrafodelista"/>
        <w:numPr>
          <w:ilvl w:val="0"/>
          <w:numId w:val="52"/>
        </w:numPr>
        <w:suppressAutoHyphens/>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 xml:space="preserve">En cumplimiento de la función consagrada en el numeral 2 del artículo 207 del Código de Comercio, corresponde al revisor fiscal presentar oportunamente los informes a la administración o a la asamblea de </w:t>
      </w:r>
      <w:r w:rsidR="009A4C18">
        <w:rPr>
          <w:rFonts w:ascii="Arial Narrow" w:hAnsi="Arial Narrow" w:cs="Arial"/>
          <w:color w:val="000000" w:themeColor="text1"/>
          <w:sz w:val="26"/>
          <w:szCs w:val="26"/>
          <w:lang w:val="es-CO" w:eastAsia="ar-SA"/>
        </w:rPr>
        <w:t>FONDEJEMPLO</w:t>
      </w:r>
      <w:r w:rsidRPr="003C5DE8">
        <w:rPr>
          <w:rFonts w:ascii="Arial Narrow" w:hAnsi="Arial Narrow" w:cs="Arial"/>
          <w:color w:val="000000" w:themeColor="text1"/>
          <w:sz w:val="26"/>
          <w:szCs w:val="26"/>
          <w:lang w:val="es-CO" w:eastAsia="ar-SA"/>
        </w:rPr>
        <w:t xml:space="preserve"> acerca de las desviaciones en el cumplimiento de los instructivos externos e internos, de las deficiencias en los controles internos sobre esta materia, así como de las irregularidades encontradas, que surjan como resultado del examen del SARC. </w:t>
      </w:r>
    </w:p>
    <w:p w14:paraId="633658EE" w14:textId="23DEC14C" w:rsidR="00996946" w:rsidRPr="003C5DE8" w:rsidRDefault="00996946" w:rsidP="003C5DE8">
      <w:pPr>
        <w:pStyle w:val="Prrafodelista"/>
        <w:numPr>
          <w:ilvl w:val="0"/>
          <w:numId w:val="52"/>
        </w:numPr>
        <w:suppressAutoHyphens/>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Estos aspectos deberán</w:t>
      </w:r>
      <w:r w:rsidR="0010027E" w:rsidRPr="003C5DE8">
        <w:rPr>
          <w:rFonts w:ascii="Arial Narrow" w:hAnsi="Arial Narrow" w:cs="Arial"/>
          <w:color w:val="000000" w:themeColor="text1"/>
          <w:sz w:val="26"/>
          <w:szCs w:val="26"/>
          <w:lang w:val="es-CO" w:eastAsia="ar-SA"/>
        </w:rPr>
        <w:t xml:space="preserve"> quedar suficientemente documentados en los papeles de trabajo y en los informes presentados.</w:t>
      </w:r>
      <w:r w:rsidRPr="003C5DE8">
        <w:rPr>
          <w:rFonts w:ascii="Arial Narrow" w:hAnsi="Arial Narrow" w:cs="Arial"/>
          <w:color w:val="000000" w:themeColor="text1"/>
          <w:sz w:val="26"/>
          <w:szCs w:val="26"/>
          <w:lang w:val="es-CO" w:eastAsia="ar-SA"/>
        </w:rPr>
        <w:t xml:space="preserve"> </w:t>
      </w:r>
      <w:r w:rsidR="0010027E" w:rsidRPr="003C5DE8">
        <w:rPr>
          <w:rFonts w:ascii="Arial Narrow" w:hAnsi="Arial Narrow" w:cs="Arial"/>
          <w:color w:val="000000" w:themeColor="text1"/>
          <w:sz w:val="26"/>
          <w:szCs w:val="26"/>
          <w:lang w:val="es-CO" w:eastAsia="ar-SA"/>
        </w:rPr>
        <w:t xml:space="preserve">Adicionalmente, en el informe que presente a la asamblea general de asociados o delegados, el revisor fiscal deberá dar su opinión sobre la efectividad del SARC, subsanadas o no por la administración de </w:t>
      </w:r>
      <w:r w:rsidR="009A4C18">
        <w:rPr>
          <w:rFonts w:ascii="Arial Narrow" w:hAnsi="Arial Narrow" w:cs="Arial"/>
          <w:color w:val="000000" w:themeColor="text1"/>
          <w:sz w:val="26"/>
          <w:szCs w:val="26"/>
          <w:lang w:val="es-CO" w:eastAsia="ar-SA"/>
        </w:rPr>
        <w:t>FONDEJEMPLO</w:t>
      </w:r>
      <w:r w:rsidR="0010027E" w:rsidRPr="003C5DE8">
        <w:rPr>
          <w:rFonts w:ascii="Arial Narrow" w:hAnsi="Arial Narrow" w:cs="Arial"/>
          <w:color w:val="000000" w:themeColor="text1"/>
          <w:sz w:val="26"/>
          <w:szCs w:val="26"/>
          <w:lang w:val="es-CO" w:eastAsia="ar-SA"/>
        </w:rPr>
        <w:t>, a la fecha de corte del ejercicio respecto del cual el revisor fiscal presenta el informe de cumplimiento y de control interno al que hace referencia el artículo 209 del Código de Comercio.</w:t>
      </w:r>
      <w:r w:rsidRPr="003C5DE8">
        <w:rPr>
          <w:rFonts w:ascii="Arial Narrow" w:hAnsi="Arial Narrow" w:cs="Arial"/>
          <w:color w:val="000000" w:themeColor="text1"/>
          <w:sz w:val="26"/>
          <w:szCs w:val="26"/>
          <w:lang w:val="es-CO" w:eastAsia="ar-SA"/>
        </w:rPr>
        <w:t xml:space="preserve"> </w:t>
      </w:r>
    </w:p>
    <w:p w14:paraId="0AA2ADE9" w14:textId="5BFF10DA" w:rsidR="0010027E" w:rsidRPr="003C5DE8" w:rsidRDefault="0010027E" w:rsidP="003C5DE8">
      <w:pPr>
        <w:pStyle w:val="Prrafodelista"/>
        <w:numPr>
          <w:ilvl w:val="0"/>
          <w:numId w:val="52"/>
        </w:numPr>
        <w:suppressAutoHyphens/>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 xml:space="preserve">La revisoría fiscal informará a </w:t>
      </w:r>
      <w:r w:rsidR="002140BF" w:rsidRPr="003C5DE8">
        <w:rPr>
          <w:rFonts w:ascii="Arial Narrow" w:hAnsi="Arial Narrow" w:cs="Arial"/>
          <w:color w:val="000000" w:themeColor="text1"/>
          <w:sz w:val="26"/>
          <w:szCs w:val="26"/>
          <w:lang w:val="es-CO" w:eastAsia="ar-SA"/>
        </w:rPr>
        <w:t>la Supersolidaria</w:t>
      </w:r>
      <w:r w:rsidRPr="003C5DE8">
        <w:rPr>
          <w:rFonts w:ascii="Arial Narrow" w:hAnsi="Arial Narrow" w:cs="Arial"/>
          <w:color w:val="000000" w:themeColor="text1"/>
          <w:sz w:val="26"/>
          <w:szCs w:val="26"/>
          <w:lang w:val="es-CO" w:eastAsia="ar-SA"/>
        </w:rPr>
        <w:t xml:space="preserve">, en desarrollo de su deber de colaboración establecido en el numeral 3 del artículo 207 del Código de Comercio, sobre los aspectos significativos evidenciados en sus auditorías al SARC, indicando el grado de incidencia en que estaría afectándose el cumplimiento de las instrucciones impartidas por la Superintendencia sobre esta materia. </w:t>
      </w:r>
    </w:p>
    <w:p w14:paraId="1DF67DDE" w14:textId="77777777" w:rsidR="0010027E" w:rsidRPr="003C5DE8" w:rsidRDefault="0010027E" w:rsidP="003C5DE8">
      <w:pPr>
        <w:ind w:left="567" w:hanging="567"/>
        <w:jc w:val="both"/>
        <w:rPr>
          <w:rFonts w:ascii="Arial Narrow" w:hAnsi="Arial Narrow" w:cs="Arial"/>
          <w:color w:val="000000" w:themeColor="text1"/>
          <w:sz w:val="26"/>
          <w:szCs w:val="26"/>
          <w:lang w:val="es-CO" w:eastAsia="ar-SA"/>
        </w:rPr>
      </w:pPr>
    </w:p>
    <w:p w14:paraId="1447664C" w14:textId="77777777" w:rsidR="0010027E" w:rsidRPr="003C5DE8" w:rsidRDefault="0010027E" w:rsidP="003C5DE8">
      <w:pPr>
        <w:pStyle w:val="Ttulo1"/>
        <w:numPr>
          <w:ilvl w:val="0"/>
          <w:numId w:val="13"/>
        </w:numPr>
        <w:suppressAutoHyphens/>
        <w:ind w:left="567" w:hanging="567"/>
        <w:jc w:val="both"/>
        <w:rPr>
          <w:rFonts w:ascii="Arial Narrow" w:hAnsi="Arial Narrow"/>
          <w:b w:val="0"/>
          <w:color w:val="000000" w:themeColor="text1"/>
          <w:sz w:val="26"/>
          <w:szCs w:val="26"/>
          <w:lang w:val="es-CO"/>
        </w:rPr>
      </w:pPr>
      <w:bookmarkStart w:id="114" w:name="_Toc11674654"/>
      <w:bookmarkStart w:id="115" w:name="_Toc26200328"/>
      <w:bookmarkStart w:id="116" w:name="_Toc56498219"/>
      <w:bookmarkStart w:id="117" w:name="_Toc97966922"/>
      <w:r w:rsidRPr="003C5DE8">
        <w:rPr>
          <w:rFonts w:ascii="Arial Narrow" w:hAnsi="Arial Narrow"/>
          <w:color w:val="000000" w:themeColor="text1"/>
          <w:sz w:val="26"/>
          <w:szCs w:val="26"/>
          <w:lang w:val="es-CO"/>
        </w:rPr>
        <w:t>REGLAS ADICIONALES PARA EL ADECUADO FUNCIONAMIENTO DEL SARC</w:t>
      </w:r>
      <w:bookmarkEnd w:id="114"/>
      <w:bookmarkEnd w:id="115"/>
      <w:bookmarkEnd w:id="116"/>
      <w:bookmarkEnd w:id="117"/>
    </w:p>
    <w:p w14:paraId="122C3160" w14:textId="77777777" w:rsidR="0010027E" w:rsidRPr="003C5DE8" w:rsidRDefault="0010027E" w:rsidP="003C5DE8">
      <w:pPr>
        <w:ind w:left="567" w:hanging="567"/>
        <w:jc w:val="both"/>
        <w:rPr>
          <w:rFonts w:ascii="Arial Narrow" w:hAnsi="Arial Narrow" w:cs="Arial"/>
          <w:color w:val="000000" w:themeColor="text1"/>
          <w:sz w:val="26"/>
          <w:szCs w:val="26"/>
          <w:lang w:val="es-CO" w:eastAsia="ar-SA"/>
        </w:rPr>
      </w:pPr>
    </w:p>
    <w:p w14:paraId="446EF974" w14:textId="77777777" w:rsidR="0010027E" w:rsidRPr="003C5DE8" w:rsidRDefault="0010027E" w:rsidP="003C5DE8">
      <w:pPr>
        <w:pStyle w:val="Ttulo2"/>
        <w:numPr>
          <w:ilvl w:val="1"/>
          <w:numId w:val="13"/>
        </w:numPr>
        <w:spacing w:before="0"/>
        <w:ind w:left="567" w:hanging="567"/>
        <w:jc w:val="both"/>
        <w:rPr>
          <w:rFonts w:ascii="Arial Narrow" w:hAnsi="Arial Narrow"/>
          <w:b/>
          <w:bCs/>
          <w:color w:val="000000" w:themeColor="text1"/>
          <w:lang w:eastAsia="ar-SA"/>
        </w:rPr>
      </w:pPr>
      <w:bookmarkStart w:id="118" w:name="_Toc10655638"/>
      <w:bookmarkStart w:id="119" w:name="_Toc10655725"/>
      <w:bookmarkStart w:id="120" w:name="_Toc10655796"/>
      <w:bookmarkStart w:id="121" w:name="_Toc10655990"/>
      <w:bookmarkStart w:id="122" w:name="_Toc11651984"/>
      <w:bookmarkStart w:id="123" w:name="_Toc11652178"/>
      <w:bookmarkStart w:id="124" w:name="_Toc11652372"/>
      <w:bookmarkStart w:id="125" w:name="_Toc11652565"/>
      <w:bookmarkStart w:id="126" w:name="_Toc11652760"/>
      <w:bookmarkStart w:id="127" w:name="_Toc11665951"/>
      <w:bookmarkStart w:id="128" w:name="_Toc11671745"/>
      <w:bookmarkStart w:id="129" w:name="_Toc11674293"/>
      <w:bookmarkStart w:id="130" w:name="_Toc11674660"/>
      <w:bookmarkStart w:id="131" w:name="_Toc11674296"/>
      <w:bookmarkStart w:id="132" w:name="_Toc11674663"/>
      <w:bookmarkStart w:id="133" w:name="_Toc11674297"/>
      <w:bookmarkStart w:id="134" w:name="_Toc11674664"/>
      <w:bookmarkStart w:id="135" w:name="_Toc11674298"/>
      <w:bookmarkStart w:id="136" w:name="_Toc11674665"/>
      <w:bookmarkStart w:id="137" w:name="_Toc11674299"/>
      <w:bookmarkStart w:id="138" w:name="_Toc11674666"/>
      <w:bookmarkStart w:id="139" w:name="_Toc11674300"/>
      <w:bookmarkStart w:id="140" w:name="_Toc11674667"/>
      <w:bookmarkStart w:id="141" w:name="_Toc11674301"/>
      <w:bookmarkStart w:id="142" w:name="_Toc11674668"/>
      <w:bookmarkStart w:id="143" w:name="_Toc11674302"/>
      <w:bookmarkStart w:id="144" w:name="_Toc11674669"/>
      <w:bookmarkStart w:id="145" w:name="_Toc11674303"/>
      <w:bookmarkStart w:id="146" w:name="_Toc11674670"/>
      <w:bookmarkStart w:id="147" w:name="_Toc11674304"/>
      <w:bookmarkStart w:id="148" w:name="_Toc11674671"/>
      <w:bookmarkStart w:id="149" w:name="_Toc11674305"/>
      <w:bookmarkStart w:id="150" w:name="_Toc11674672"/>
      <w:bookmarkStart w:id="151" w:name="_Toc11674306"/>
      <w:bookmarkStart w:id="152" w:name="_Toc11674673"/>
      <w:bookmarkStart w:id="153" w:name="_Toc11674307"/>
      <w:bookmarkStart w:id="154" w:name="_Toc11674674"/>
      <w:bookmarkStart w:id="155" w:name="_Toc11674308"/>
      <w:bookmarkStart w:id="156" w:name="_Toc11674675"/>
      <w:bookmarkStart w:id="157" w:name="_Toc11674309"/>
      <w:bookmarkStart w:id="158" w:name="_Toc11674676"/>
      <w:bookmarkStart w:id="159" w:name="_Toc11674310"/>
      <w:bookmarkStart w:id="160" w:name="_Toc11674677"/>
      <w:bookmarkStart w:id="161" w:name="_Toc11674311"/>
      <w:bookmarkStart w:id="162" w:name="_Toc11674678"/>
      <w:bookmarkStart w:id="163" w:name="_Toc11674312"/>
      <w:bookmarkStart w:id="164" w:name="_Toc11674679"/>
      <w:bookmarkStart w:id="165" w:name="_Toc11674313"/>
      <w:bookmarkStart w:id="166" w:name="_Toc11674680"/>
      <w:bookmarkStart w:id="167" w:name="_Toc11674314"/>
      <w:bookmarkStart w:id="168" w:name="_Toc11674681"/>
      <w:bookmarkStart w:id="169" w:name="_Toc11674315"/>
      <w:bookmarkStart w:id="170" w:name="_Toc11674682"/>
      <w:bookmarkStart w:id="171" w:name="_Toc11674316"/>
      <w:bookmarkStart w:id="172" w:name="_Toc11674683"/>
      <w:bookmarkStart w:id="173" w:name="_Toc11674322"/>
      <w:bookmarkStart w:id="174" w:name="_Toc11674689"/>
      <w:bookmarkStart w:id="175" w:name="_Toc11674402"/>
      <w:bookmarkStart w:id="176" w:name="_Toc11674769"/>
      <w:bookmarkStart w:id="177" w:name="_Toc11674403"/>
      <w:bookmarkStart w:id="178" w:name="_Toc11674770"/>
      <w:bookmarkStart w:id="179" w:name="_Toc11674404"/>
      <w:bookmarkStart w:id="180" w:name="_Toc11674771"/>
      <w:bookmarkStart w:id="181" w:name="_Toc11674405"/>
      <w:bookmarkStart w:id="182" w:name="_Toc11674772"/>
      <w:bookmarkStart w:id="183" w:name="_Toc11674406"/>
      <w:bookmarkStart w:id="184" w:name="_Toc11674773"/>
      <w:bookmarkStart w:id="185" w:name="_Toc11674407"/>
      <w:bookmarkStart w:id="186" w:name="_Toc11674774"/>
      <w:bookmarkStart w:id="187" w:name="_Toc11674408"/>
      <w:bookmarkStart w:id="188" w:name="_Toc11674775"/>
      <w:bookmarkStart w:id="189" w:name="_Toc11674409"/>
      <w:bookmarkStart w:id="190" w:name="_Toc11674776"/>
      <w:bookmarkStart w:id="191" w:name="_Toc11674410"/>
      <w:bookmarkStart w:id="192" w:name="_Toc11674777"/>
      <w:bookmarkStart w:id="193" w:name="_Toc11674411"/>
      <w:bookmarkStart w:id="194" w:name="_Toc11674778"/>
      <w:bookmarkStart w:id="195" w:name="_Toc11674412"/>
      <w:bookmarkStart w:id="196" w:name="_Toc11674779"/>
      <w:bookmarkStart w:id="197" w:name="_Toc11674413"/>
      <w:bookmarkStart w:id="198" w:name="_Toc11674780"/>
      <w:bookmarkStart w:id="199" w:name="_Toc11674414"/>
      <w:bookmarkStart w:id="200" w:name="_Toc11674781"/>
      <w:bookmarkStart w:id="201" w:name="_Toc11674415"/>
      <w:bookmarkStart w:id="202" w:name="_Toc11674782"/>
      <w:bookmarkStart w:id="203" w:name="_Toc11674416"/>
      <w:bookmarkStart w:id="204" w:name="_Toc11674783"/>
      <w:bookmarkStart w:id="205" w:name="_Toc11674417"/>
      <w:bookmarkStart w:id="206" w:name="_Toc11674784"/>
      <w:bookmarkStart w:id="207" w:name="_Toc11674418"/>
      <w:bookmarkStart w:id="208" w:name="_Toc11674785"/>
      <w:bookmarkStart w:id="209" w:name="_Toc11674419"/>
      <w:bookmarkStart w:id="210" w:name="_Toc11674786"/>
      <w:bookmarkStart w:id="211" w:name="_Toc11674420"/>
      <w:bookmarkStart w:id="212" w:name="_Toc11674787"/>
      <w:bookmarkStart w:id="213" w:name="_Toc11674421"/>
      <w:bookmarkStart w:id="214" w:name="_Toc11674788"/>
      <w:bookmarkStart w:id="215" w:name="_Toc11674422"/>
      <w:bookmarkStart w:id="216" w:name="_Toc11674789"/>
      <w:bookmarkStart w:id="217" w:name="_Toc11674423"/>
      <w:bookmarkStart w:id="218" w:name="_Toc11674790"/>
      <w:bookmarkStart w:id="219" w:name="_Toc11674424"/>
      <w:bookmarkStart w:id="220" w:name="_Toc11674791"/>
      <w:bookmarkStart w:id="221" w:name="_Toc11674425"/>
      <w:bookmarkStart w:id="222" w:name="_Toc11674792"/>
      <w:bookmarkStart w:id="223" w:name="_Toc11674426"/>
      <w:bookmarkStart w:id="224" w:name="_Toc11674793"/>
      <w:bookmarkStart w:id="225" w:name="_Toc11674427"/>
      <w:bookmarkStart w:id="226" w:name="_Toc11674794"/>
      <w:bookmarkStart w:id="227" w:name="_Toc11674440"/>
      <w:bookmarkStart w:id="228" w:name="_Toc11674807"/>
      <w:bookmarkStart w:id="229" w:name="_Toc11674441"/>
      <w:bookmarkStart w:id="230" w:name="_Toc11674808"/>
      <w:bookmarkStart w:id="231" w:name="_Toc11674442"/>
      <w:bookmarkStart w:id="232" w:name="_Toc11674809"/>
      <w:bookmarkStart w:id="233" w:name="_Toc11674443"/>
      <w:bookmarkStart w:id="234" w:name="_Toc11674810"/>
      <w:bookmarkStart w:id="235" w:name="_Toc11674444"/>
      <w:bookmarkStart w:id="236" w:name="_Toc11674811"/>
      <w:bookmarkStart w:id="237" w:name="_Toc11674445"/>
      <w:bookmarkStart w:id="238" w:name="_Toc11674812"/>
      <w:bookmarkStart w:id="239" w:name="_Toc11674446"/>
      <w:bookmarkStart w:id="240" w:name="_Toc11674813"/>
      <w:bookmarkStart w:id="241" w:name="_Toc11674465"/>
      <w:bookmarkStart w:id="242" w:name="_Toc11674832"/>
      <w:bookmarkStart w:id="243" w:name="_Toc11674466"/>
      <w:bookmarkStart w:id="244" w:name="_Toc11674833"/>
      <w:bookmarkStart w:id="245" w:name="_Toc11674467"/>
      <w:bookmarkStart w:id="246" w:name="_Toc11674834"/>
      <w:bookmarkStart w:id="247" w:name="_Toc11674468"/>
      <w:bookmarkStart w:id="248" w:name="_Toc11674835"/>
      <w:bookmarkStart w:id="249" w:name="_Toc11674836"/>
      <w:bookmarkStart w:id="250" w:name="_Toc56498220"/>
      <w:bookmarkStart w:id="251" w:name="_Toc97966923"/>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r w:rsidRPr="003C5DE8">
        <w:rPr>
          <w:rFonts w:ascii="Arial Narrow" w:hAnsi="Arial Narrow"/>
          <w:b/>
          <w:bCs/>
          <w:color w:val="000000" w:themeColor="text1"/>
          <w:lang w:eastAsia="ar-SA"/>
        </w:rPr>
        <w:t>ASPECTOS CONTABLES</w:t>
      </w:r>
      <w:bookmarkEnd w:id="249"/>
      <w:bookmarkEnd w:id="250"/>
      <w:bookmarkEnd w:id="251"/>
      <w:r w:rsidRPr="003C5DE8">
        <w:rPr>
          <w:rFonts w:ascii="Arial Narrow" w:hAnsi="Arial Narrow"/>
          <w:b/>
          <w:bCs/>
          <w:color w:val="000000" w:themeColor="text1"/>
          <w:lang w:eastAsia="ar-SA"/>
        </w:rPr>
        <w:t xml:space="preserve">  </w:t>
      </w:r>
    </w:p>
    <w:p w14:paraId="7064BF37" w14:textId="77777777" w:rsidR="0010027E" w:rsidRPr="003C5DE8" w:rsidRDefault="0010027E" w:rsidP="003C5DE8">
      <w:pPr>
        <w:suppressAutoHyphens/>
        <w:ind w:left="567" w:hanging="567"/>
        <w:jc w:val="both"/>
        <w:rPr>
          <w:rFonts w:ascii="Arial Narrow" w:hAnsi="Arial Narrow" w:cs="Arial"/>
          <w:color w:val="000000" w:themeColor="text1"/>
          <w:sz w:val="26"/>
          <w:szCs w:val="26"/>
          <w:lang w:val="es-CO" w:eastAsia="ar-SA"/>
        </w:rPr>
      </w:pPr>
    </w:p>
    <w:p w14:paraId="64088648" w14:textId="77777777" w:rsidR="0010027E" w:rsidRPr="003C5DE8" w:rsidRDefault="0010027E" w:rsidP="003C5DE8">
      <w:pPr>
        <w:suppressAutoHyphens/>
        <w:ind w:left="567" w:hanging="567"/>
        <w:jc w:val="both"/>
        <w:rPr>
          <w:rFonts w:ascii="Arial Narrow" w:hAnsi="Arial Narrow" w:cs="Arial"/>
          <w:b/>
          <w:color w:val="000000" w:themeColor="text1"/>
          <w:sz w:val="26"/>
          <w:szCs w:val="26"/>
          <w:lang w:val="es-CO" w:eastAsia="ar-SA"/>
        </w:rPr>
      </w:pPr>
      <w:bookmarkStart w:id="252" w:name="_Toc56498221"/>
      <w:r w:rsidRPr="003C5DE8">
        <w:rPr>
          <w:rFonts w:ascii="Arial Narrow" w:hAnsi="Arial Narrow" w:cs="Arial"/>
          <w:b/>
          <w:color w:val="000000" w:themeColor="text1"/>
          <w:sz w:val="26"/>
          <w:szCs w:val="26"/>
          <w:lang w:val="es-CO" w:eastAsia="ar-SA"/>
        </w:rPr>
        <w:t xml:space="preserve">6.1.1. </w:t>
      </w:r>
      <w:r w:rsidRPr="003C5DE8">
        <w:rPr>
          <w:rFonts w:ascii="Arial Narrow" w:hAnsi="Arial Narrow" w:cs="Arial"/>
          <w:b/>
          <w:color w:val="000000" w:themeColor="text1"/>
          <w:sz w:val="26"/>
          <w:szCs w:val="26"/>
          <w:lang w:val="es-CO" w:eastAsia="ar-SA"/>
        </w:rPr>
        <w:tab/>
        <w:t>Suspensión de la causación de intereses</w:t>
      </w:r>
      <w:bookmarkEnd w:id="252"/>
      <w:r w:rsidRPr="003C5DE8">
        <w:rPr>
          <w:rFonts w:ascii="Arial Narrow" w:hAnsi="Arial Narrow" w:cs="Arial"/>
          <w:b/>
          <w:color w:val="000000" w:themeColor="text1"/>
          <w:sz w:val="26"/>
          <w:szCs w:val="26"/>
          <w:lang w:val="es-CO" w:eastAsia="ar-SA"/>
        </w:rPr>
        <w:t xml:space="preserve"> </w:t>
      </w:r>
    </w:p>
    <w:p w14:paraId="3614682D" w14:textId="77777777" w:rsidR="0010027E" w:rsidRPr="003C5DE8" w:rsidRDefault="0010027E" w:rsidP="003C5DE8">
      <w:pPr>
        <w:suppressAutoHyphens/>
        <w:ind w:left="567" w:hanging="567"/>
        <w:jc w:val="both"/>
        <w:rPr>
          <w:rFonts w:ascii="Arial Narrow" w:hAnsi="Arial Narrow" w:cs="Arial"/>
          <w:color w:val="000000" w:themeColor="text1"/>
          <w:sz w:val="26"/>
          <w:szCs w:val="26"/>
          <w:lang w:val="es-CO" w:eastAsia="ar-SA"/>
        </w:rPr>
      </w:pPr>
    </w:p>
    <w:p w14:paraId="47ED4F07" w14:textId="77777777" w:rsidR="0010027E" w:rsidRPr="003C5DE8" w:rsidRDefault="0010027E" w:rsidP="003C5DE8">
      <w:pPr>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Dejarán de causarse intereses, corrección monetaria, ajustes en cambio, cánones e ingresos por otros conceptos, cuando un crédito presente la mora indicada en el siguiente cuadro:</w:t>
      </w:r>
    </w:p>
    <w:p w14:paraId="75FDA0B9" w14:textId="77777777" w:rsidR="0010027E" w:rsidRPr="003C5DE8" w:rsidRDefault="0010027E" w:rsidP="003C5DE8">
      <w:pPr>
        <w:suppressAutoHyphens/>
        <w:adjustRightInd w:val="0"/>
        <w:ind w:left="567" w:hanging="567"/>
        <w:jc w:val="both"/>
        <w:rPr>
          <w:rFonts w:ascii="Arial Narrow" w:hAnsi="Arial Narrow" w:cs="Arial"/>
          <w:color w:val="000000" w:themeColor="text1"/>
          <w:sz w:val="26"/>
          <w:szCs w:val="26"/>
          <w:lang w:val="es-CO" w:eastAsia="ar-SA"/>
        </w:rPr>
      </w:pPr>
    </w:p>
    <w:tbl>
      <w:tblPr>
        <w:tblW w:w="5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3080"/>
        <w:gridCol w:w="2284"/>
      </w:tblGrid>
      <w:tr w:rsidR="00C95FDD" w:rsidRPr="003C5DE8" w14:paraId="0AF27E64" w14:textId="77777777" w:rsidTr="00D45DDC">
        <w:trPr>
          <w:trHeight w:val="271"/>
          <w:jc w:val="center"/>
        </w:trPr>
        <w:tc>
          <w:tcPr>
            <w:tcW w:w="3080" w:type="dxa"/>
            <w:shd w:val="clear" w:color="auto" w:fill="auto"/>
            <w:tcMar>
              <w:top w:w="15" w:type="dxa"/>
              <w:left w:w="70" w:type="dxa"/>
              <w:bottom w:w="0" w:type="dxa"/>
              <w:right w:w="70" w:type="dxa"/>
            </w:tcMar>
            <w:hideMark/>
          </w:tcPr>
          <w:p w14:paraId="1E0BC99A" w14:textId="77777777" w:rsidR="0010027E" w:rsidRPr="003C5DE8" w:rsidRDefault="0010027E" w:rsidP="003C5DE8">
            <w:pPr>
              <w:suppressAutoHyphens/>
              <w:adjustRightInd w:val="0"/>
              <w:ind w:left="567" w:hanging="567"/>
              <w:jc w:val="both"/>
              <w:rPr>
                <w:rFonts w:ascii="Arial Narrow" w:hAnsi="Arial Narrow" w:cs="Arial"/>
                <w:b/>
                <w:color w:val="000000" w:themeColor="text1"/>
                <w:sz w:val="26"/>
                <w:szCs w:val="26"/>
                <w:lang w:val="es-CO" w:eastAsia="ar-SA"/>
              </w:rPr>
            </w:pPr>
            <w:r w:rsidRPr="003C5DE8">
              <w:rPr>
                <w:rFonts w:ascii="Arial Narrow" w:hAnsi="Arial Narrow" w:cs="Arial"/>
                <w:b/>
                <w:color w:val="000000" w:themeColor="text1"/>
                <w:sz w:val="26"/>
                <w:szCs w:val="26"/>
                <w:lang w:val="es-CO" w:eastAsia="ar-SA"/>
              </w:rPr>
              <w:t>MODALIDAD DE CREDITO</w:t>
            </w:r>
          </w:p>
        </w:tc>
        <w:tc>
          <w:tcPr>
            <w:tcW w:w="2284" w:type="dxa"/>
            <w:shd w:val="clear" w:color="auto" w:fill="auto"/>
            <w:tcMar>
              <w:top w:w="15" w:type="dxa"/>
              <w:left w:w="70" w:type="dxa"/>
              <w:bottom w:w="0" w:type="dxa"/>
              <w:right w:w="70" w:type="dxa"/>
            </w:tcMar>
            <w:hideMark/>
          </w:tcPr>
          <w:p w14:paraId="4541DE1B" w14:textId="77777777" w:rsidR="0010027E" w:rsidRPr="003C5DE8" w:rsidRDefault="0010027E" w:rsidP="003C5DE8">
            <w:pPr>
              <w:suppressAutoHyphens/>
              <w:adjustRightInd w:val="0"/>
              <w:ind w:left="567" w:hanging="567"/>
              <w:jc w:val="both"/>
              <w:rPr>
                <w:rFonts w:ascii="Arial Narrow" w:hAnsi="Arial Narrow" w:cs="Arial"/>
                <w:b/>
                <w:color w:val="000000" w:themeColor="text1"/>
                <w:sz w:val="26"/>
                <w:szCs w:val="26"/>
                <w:lang w:val="es-CO" w:eastAsia="ar-SA"/>
              </w:rPr>
            </w:pPr>
            <w:r w:rsidRPr="003C5DE8">
              <w:rPr>
                <w:rFonts w:ascii="Arial Narrow" w:hAnsi="Arial Narrow" w:cs="Arial"/>
                <w:b/>
                <w:color w:val="000000" w:themeColor="text1"/>
                <w:sz w:val="26"/>
                <w:szCs w:val="26"/>
                <w:lang w:val="es-CO" w:eastAsia="ar-SA"/>
              </w:rPr>
              <w:t>MORA SUPERIOR A</w:t>
            </w:r>
          </w:p>
        </w:tc>
      </w:tr>
      <w:tr w:rsidR="00C95FDD" w:rsidRPr="003C5DE8" w14:paraId="241231F4" w14:textId="77777777" w:rsidTr="00D45DDC">
        <w:trPr>
          <w:trHeight w:val="271"/>
          <w:jc w:val="center"/>
        </w:trPr>
        <w:tc>
          <w:tcPr>
            <w:tcW w:w="3080" w:type="dxa"/>
            <w:shd w:val="clear" w:color="auto" w:fill="auto"/>
            <w:tcMar>
              <w:top w:w="15" w:type="dxa"/>
              <w:left w:w="70" w:type="dxa"/>
              <w:bottom w:w="0" w:type="dxa"/>
              <w:right w:w="70" w:type="dxa"/>
            </w:tcMar>
            <w:hideMark/>
          </w:tcPr>
          <w:p w14:paraId="13E767DF" w14:textId="77777777" w:rsidR="0010027E" w:rsidRPr="003C5DE8" w:rsidRDefault="0010027E" w:rsidP="003C5DE8">
            <w:pPr>
              <w:suppressAutoHyphens/>
              <w:adjustRightInd w:val="0"/>
              <w:ind w:left="567" w:hanging="567"/>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Comercial</w:t>
            </w:r>
          </w:p>
        </w:tc>
        <w:tc>
          <w:tcPr>
            <w:tcW w:w="2284" w:type="dxa"/>
            <w:shd w:val="clear" w:color="auto" w:fill="auto"/>
            <w:tcMar>
              <w:top w:w="15" w:type="dxa"/>
              <w:left w:w="70" w:type="dxa"/>
              <w:bottom w:w="0" w:type="dxa"/>
              <w:right w:w="70" w:type="dxa"/>
            </w:tcMar>
            <w:hideMark/>
          </w:tcPr>
          <w:p w14:paraId="2F888990" w14:textId="77777777" w:rsidR="0010027E" w:rsidRPr="003C5DE8" w:rsidRDefault="0010027E" w:rsidP="003C5DE8">
            <w:pPr>
              <w:suppressAutoHyphens/>
              <w:adjustRightInd w:val="0"/>
              <w:ind w:left="567" w:hanging="567"/>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90 días</w:t>
            </w:r>
          </w:p>
        </w:tc>
      </w:tr>
      <w:tr w:rsidR="00C95FDD" w:rsidRPr="003C5DE8" w14:paraId="0ADEB01F" w14:textId="77777777" w:rsidTr="00D45DDC">
        <w:trPr>
          <w:trHeight w:val="271"/>
          <w:jc w:val="center"/>
        </w:trPr>
        <w:tc>
          <w:tcPr>
            <w:tcW w:w="3080" w:type="dxa"/>
            <w:shd w:val="clear" w:color="auto" w:fill="auto"/>
            <w:tcMar>
              <w:top w:w="15" w:type="dxa"/>
              <w:left w:w="70" w:type="dxa"/>
              <w:bottom w:w="0" w:type="dxa"/>
              <w:right w:w="70" w:type="dxa"/>
            </w:tcMar>
            <w:hideMark/>
          </w:tcPr>
          <w:p w14:paraId="691332E8" w14:textId="77777777" w:rsidR="0010027E" w:rsidRPr="003C5DE8" w:rsidRDefault="0010027E" w:rsidP="003C5DE8">
            <w:pPr>
              <w:suppressAutoHyphens/>
              <w:adjustRightInd w:val="0"/>
              <w:ind w:left="567" w:hanging="567"/>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Consumo</w:t>
            </w:r>
          </w:p>
        </w:tc>
        <w:tc>
          <w:tcPr>
            <w:tcW w:w="2284" w:type="dxa"/>
            <w:shd w:val="clear" w:color="auto" w:fill="auto"/>
            <w:tcMar>
              <w:top w:w="15" w:type="dxa"/>
              <w:left w:w="70" w:type="dxa"/>
              <w:bottom w:w="0" w:type="dxa"/>
              <w:right w:w="70" w:type="dxa"/>
            </w:tcMar>
            <w:hideMark/>
          </w:tcPr>
          <w:p w14:paraId="2094E33F" w14:textId="77777777" w:rsidR="0010027E" w:rsidRPr="003C5DE8" w:rsidRDefault="0010027E" w:rsidP="003C5DE8">
            <w:pPr>
              <w:suppressAutoHyphens/>
              <w:adjustRightInd w:val="0"/>
              <w:ind w:left="567" w:hanging="567"/>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60 días</w:t>
            </w:r>
          </w:p>
        </w:tc>
      </w:tr>
      <w:tr w:rsidR="00C95FDD" w:rsidRPr="003C5DE8" w14:paraId="7120B495" w14:textId="77777777" w:rsidTr="00D45DDC">
        <w:trPr>
          <w:trHeight w:val="271"/>
          <w:jc w:val="center"/>
        </w:trPr>
        <w:tc>
          <w:tcPr>
            <w:tcW w:w="3080" w:type="dxa"/>
            <w:shd w:val="clear" w:color="auto" w:fill="auto"/>
            <w:tcMar>
              <w:top w:w="15" w:type="dxa"/>
              <w:left w:w="70" w:type="dxa"/>
              <w:bottom w:w="0" w:type="dxa"/>
              <w:right w:w="70" w:type="dxa"/>
            </w:tcMar>
            <w:hideMark/>
          </w:tcPr>
          <w:p w14:paraId="1C174CA3" w14:textId="77777777" w:rsidR="0010027E" w:rsidRPr="003C5DE8" w:rsidRDefault="0010027E" w:rsidP="003C5DE8">
            <w:pPr>
              <w:suppressAutoHyphens/>
              <w:adjustRightInd w:val="0"/>
              <w:ind w:left="567" w:hanging="567"/>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Vivienda</w:t>
            </w:r>
          </w:p>
        </w:tc>
        <w:tc>
          <w:tcPr>
            <w:tcW w:w="2284" w:type="dxa"/>
            <w:shd w:val="clear" w:color="auto" w:fill="auto"/>
            <w:tcMar>
              <w:top w:w="15" w:type="dxa"/>
              <w:left w:w="70" w:type="dxa"/>
              <w:bottom w:w="0" w:type="dxa"/>
              <w:right w:w="70" w:type="dxa"/>
            </w:tcMar>
            <w:hideMark/>
          </w:tcPr>
          <w:p w14:paraId="44E3C59B" w14:textId="77777777" w:rsidR="0010027E" w:rsidRPr="003C5DE8" w:rsidRDefault="0010027E" w:rsidP="003C5DE8">
            <w:pPr>
              <w:suppressAutoHyphens/>
              <w:adjustRightInd w:val="0"/>
              <w:ind w:left="567" w:hanging="567"/>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60 días</w:t>
            </w:r>
          </w:p>
        </w:tc>
      </w:tr>
      <w:tr w:rsidR="0010027E" w:rsidRPr="003C5DE8" w14:paraId="1A90AF1D" w14:textId="77777777" w:rsidTr="00D45DDC">
        <w:trPr>
          <w:trHeight w:val="271"/>
          <w:jc w:val="center"/>
        </w:trPr>
        <w:tc>
          <w:tcPr>
            <w:tcW w:w="3080" w:type="dxa"/>
            <w:shd w:val="clear" w:color="auto" w:fill="auto"/>
            <w:tcMar>
              <w:top w:w="15" w:type="dxa"/>
              <w:left w:w="70" w:type="dxa"/>
              <w:bottom w:w="0" w:type="dxa"/>
              <w:right w:w="70" w:type="dxa"/>
            </w:tcMar>
            <w:hideMark/>
          </w:tcPr>
          <w:p w14:paraId="0EBC99D7" w14:textId="77777777" w:rsidR="0010027E" w:rsidRPr="003C5DE8" w:rsidRDefault="0010027E" w:rsidP="003C5DE8">
            <w:pPr>
              <w:suppressAutoHyphens/>
              <w:adjustRightInd w:val="0"/>
              <w:ind w:left="567" w:hanging="567"/>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Microcrédito</w:t>
            </w:r>
          </w:p>
        </w:tc>
        <w:tc>
          <w:tcPr>
            <w:tcW w:w="2284" w:type="dxa"/>
            <w:shd w:val="clear" w:color="auto" w:fill="auto"/>
            <w:tcMar>
              <w:top w:w="15" w:type="dxa"/>
              <w:left w:w="70" w:type="dxa"/>
              <w:bottom w:w="0" w:type="dxa"/>
              <w:right w:w="70" w:type="dxa"/>
            </w:tcMar>
            <w:hideMark/>
          </w:tcPr>
          <w:p w14:paraId="74667B2F" w14:textId="77777777" w:rsidR="0010027E" w:rsidRPr="003C5DE8" w:rsidRDefault="0010027E" w:rsidP="003C5DE8">
            <w:pPr>
              <w:suppressAutoHyphens/>
              <w:adjustRightInd w:val="0"/>
              <w:ind w:left="567" w:hanging="567"/>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30 días</w:t>
            </w:r>
          </w:p>
        </w:tc>
      </w:tr>
    </w:tbl>
    <w:p w14:paraId="3B9ABAE3" w14:textId="77777777" w:rsidR="0010027E" w:rsidRPr="003C5DE8" w:rsidRDefault="0010027E" w:rsidP="003C5DE8">
      <w:pPr>
        <w:suppressAutoHyphens/>
        <w:adjustRightInd w:val="0"/>
        <w:ind w:left="567" w:hanging="567"/>
        <w:jc w:val="both"/>
        <w:rPr>
          <w:rFonts w:ascii="Arial Narrow" w:hAnsi="Arial Narrow" w:cs="Arial"/>
          <w:color w:val="000000" w:themeColor="text1"/>
          <w:sz w:val="26"/>
          <w:szCs w:val="26"/>
          <w:lang w:val="es-CO" w:eastAsia="ar-SA"/>
        </w:rPr>
      </w:pPr>
    </w:p>
    <w:p w14:paraId="3A0057A7" w14:textId="26845D33" w:rsidR="0010027E" w:rsidRPr="003C5DE8" w:rsidRDefault="0010027E" w:rsidP="003C5DE8">
      <w:pPr>
        <w:suppressAutoHyphens/>
        <w:adjustRightInd w:val="0"/>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lastRenderedPageBreak/>
        <w:t xml:space="preserve">Cuando el capital del respectivo crédito ha sido calificado de mayor riesgo, igualmente los intereses y otros conceptos se </w:t>
      </w:r>
      <w:r w:rsidR="009B3A78" w:rsidRPr="003C5DE8">
        <w:rPr>
          <w:rFonts w:ascii="Arial Narrow" w:hAnsi="Arial Narrow" w:cs="Arial"/>
          <w:color w:val="000000" w:themeColor="text1"/>
          <w:sz w:val="26"/>
          <w:szCs w:val="26"/>
          <w:lang w:val="es-CO" w:eastAsia="ar-SA"/>
        </w:rPr>
        <w:t>debe</w:t>
      </w:r>
      <w:r w:rsidRPr="003C5DE8">
        <w:rPr>
          <w:rFonts w:ascii="Arial Narrow" w:hAnsi="Arial Narrow" w:cs="Arial"/>
          <w:color w:val="000000" w:themeColor="text1"/>
          <w:sz w:val="26"/>
          <w:szCs w:val="26"/>
          <w:lang w:val="es-CO" w:eastAsia="ar-SA"/>
        </w:rPr>
        <w:t xml:space="preserve"> reclasificar en la categoría de riesgo en que fue calificado su principal.</w:t>
      </w:r>
      <w:bookmarkStart w:id="253" w:name="_Toc10655803"/>
      <w:bookmarkStart w:id="254" w:name="_Toc10655997"/>
      <w:bookmarkStart w:id="255" w:name="_Toc11651991"/>
      <w:bookmarkStart w:id="256" w:name="_Toc11652185"/>
      <w:bookmarkStart w:id="257" w:name="_Toc11652379"/>
      <w:bookmarkStart w:id="258" w:name="_Toc11652572"/>
      <w:bookmarkStart w:id="259" w:name="_Toc11652767"/>
      <w:bookmarkStart w:id="260" w:name="_Toc11665957"/>
      <w:bookmarkStart w:id="261" w:name="_Toc11671751"/>
      <w:bookmarkStart w:id="262" w:name="_Toc11674472"/>
      <w:bookmarkStart w:id="263" w:name="_Toc11674839"/>
      <w:bookmarkStart w:id="264" w:name="_Toc10655804"/>
      <w:bookmarkStart w:id="265" w:name="_Toc10655998"/>
      <w:bookmarkStart w:id="266" w:name="_Toc11651992"/>
      <w:bookmarkStart w:id="267" w:name="_Toc11652186"/>
      <w:bookmarkStart w:id="268" w:name="_Toc11652380"/>
      <w:bookmarkStart w:id="269" w:name="_Toc11652573"/>
      <w:bookmarkStart w:id="270" w:name="_Toc11652768"/>
      <w:bookmarkStart w:id="271" w:name="_Toc11665958"/>
      <w:bookmarkStart w:id="272" w:name="_Toc11671752"/>
      <w:bookmarkStart w:id="273" w:name="_Toc11674473"/>
      <w:bookmarkStart w:id="274" w:name="_Toc11674840"/>
      <w:bookmarkStart w:id="275" w:name="_Toc10655805"/>
      <w:bookmarkStart w:id="276" w:name="_Toc10655999"/>
      <w:bookmarkStart w:id="277" w:name="_Toc11651993"/>
      <w:bookmarkStart w:id="278" w:name="_Toc11652187"/>
      <w:bookmarkStart w:id="279" w:name="_Toc11652381"/>
      <w:bookmarkStart w:id="280" w:name="_Toc11652574"/>
      <w:bookmarkStart w:id="281" w:name="_Toc11652769"/>
      <w:bookmarkStart w:id="282" w:name="_Toc11665959"/>
      <w:bookmarkStart w:id="283" w:name="_Toc11671753"/>
      <w:bookmarkStart w:id="284" w:name="_Toc11674474"/>
      <w:bookmarkStart w:id="285" w:name="_Toc11674841"/>
      <w:bookmarkStart w:id="286" w:name="_Toc10655806"/>
      <w:bookmarkStart w:id="287" w:name="_Toc10656000"/>
      <w:bookmarkStart w:id="288" w:name="_Toc11651994"/>
      <w:bookmarkStart w:id="289" w:name="_Toc11652188"/>
      <w:bookmarkStart w:id="290" w:name="_Toc11652382"/>
      <w:bookmarkStart w:id="291" w:name="_Toc11652575"/>
      <w:bookmarkStart w:id="292" w:name="_Toc11652770"/>
      <w:bookmarkStart w:id="293" w:name="_Toc11665960"/>
      <w:bookmarkStart w:id="294" w:name="_Toc11671754"/>
      <w:bookmarkStart w:id="295" w:name="_Toc11674475"/>
      <w:bookmarkStart w:id="296" w:name="_Toc11674842"/>
      <w:bookmarkStart w:id="297" w:name="_Toc10655807"/>
      <w:bookmarkStart w:id="298" w:name="_Toc10656001"/>
      <w:bookmarkStart w:id="299" w:name="_Toc11651995"/>
      <w:bookmarkStart w:id="300" w:name="_Toc11652189"/>
      <w:bookmarkStart w:id="301" w:name="_Toc11652383"/>
      <w:bookmarkStart w:id="302" w:name="_Toc11652576"/>
      <w:bookmarkStart w:id="303" w:name="_Toc11652771"/>
      <w:bookmarkStart w:id="304" w:name="_Toc11665961"/>
      <w:bookmarkStart w:id="305" w:name="_Toc11671755"/>
      <w:bookmarkStart w:id="306" w:name="_Toc11674476"/>
      <w:bookmarkStart w:id="307" w:name="_Toc11674843"/>
      <w:bookmarkStart w:id="308" w:name="_Toc10655808"/>
      <w:bookmarkStart w:id="309" w:name="_Toc10656002"/>
      <w:bookmarkStart w:id="310" w:name="_Toc11651996"/>
      <w:bookmarkStart w:id="311" w:name="_Toc11652190"/>
      <w:bookmarkStart w:id="312" w:name="_Toc11652384"/>
      <w:bookmarkStart w:id="313" w:name="_Toc11652577"/>
      <w:bookmarkStart w:id="314" w:name="_Toc11652772"/>
      <w:bookmarkStart w:id="315" w:name="_Toc11665962"/>
      <w:bookmarkStart w:id="316" w:name="_Toc11671756"/>
      <w:bookmarkStart w:id="317" w:name="_Toc11674477"/>
      <w:bookmarkStart w:id="318" w:name="_Toc11674844"/>
      <w:bookmarkStart w:id="319" w:name="_Toc10655809"/>
      <w:bookmarkStart w:id="320" w:name="_Toc10656003"/>
      <w:bookmarkStart w:id="321" w:name="_Toc11651997"/>
      <w:bookmarkStart w:id="322" w:name="_Toc11652191"/>
      <w:bookmarkStart w:id="323" w:name="_Toc11652385"/>
      <w:bookmarkStart w:id="324" w:name="_Toc11652578"/>
      <w:bookmarkStart w:id="325" w:name="_Toc11652773"/>
      <w:bookmarkStart w:id="326" w:name="_Toc11665963"/>
      <w:bookmarkStart w:id="327" w:name="_Toc11671757"/>
      <w:bookmarkStart w:id="328" w:name="_Toc11674478"/>
      <w:bookmarkStart w:id="329" w:name="_Toc11674845"/>
      <w:bookmarkStart w:id="330" w:name="_Toc10655810"/>
      <w:bookmarkStart w:id="331" w:name="_Toc10656004"/>
      <w:bookmarkStart w:id="332" w:name="_Toc11651998"/>
      <w:bookmarkStart w:id="333" w:name="_Toc11652192"/>
      <w:bookmarkStart w:id="334" w:name="_Toc11652386"/>
      <w:bookmarkStart w:id="335" w:name="_Toc11652579"/>
      <w:bookmarkStart w:id="336" w:name="_Toc11652774"/>
      <w:bookmarkStart w:id="337" w:name="_Toc11665964"/>
      <w:bookmarkStart w:id="338" w:name="_Toc11671758"/>
      <w:bookmarkStart w:id="339" w:name="_Toc11674479"/>
      <w:bookmarkStart w:id="340" w:name="_Toc11674846"/>
      <w:bookmarkStart w:id="341" w:name="_Toc10655811"/>
      <w:bookmarkStart w:id="342" w:name="_Toc10656005"/>
      <w:bookmarkStart w:id="343" w:name="_Toc11651999"/>
      <w:bookmarkStart w:id="344" w:name="_Toc11652193"/>
      <w:bookmarkStart w:id="345" w:name="_Toc11652387"/>
      <w:bookmarkStart w:id="346" w:name="_Toc11652580"/>
      <w:bookmarkStart w:id="347" w:name="_Toc11652775"/>
      <w:bookmarkStart w:id="348" w:name="_Toc11665965"/>
      <w:bookmarkStart w:id="349" w:name="_Toc11671759"/>
      <w:bookmarkStart w:id="350" w:name="_Toc11674480"/>
      <w:bookmarkStart w:id="351" w:name="_Toc11674847"/>
      <w:bookmarkStart w:id="352" w:name="_Toc10655812"/>
      <w:bookmarkStart w:id="353" w:name="_Toc10656006"/>
      <w:bookmarkStart w:id="354" w:name="_Toc11652000"/>
      <w:bookmarkStart w:id="355" w:name="_Toc11652194"/>
      <w:bookmarkStart w:id="356" w:name="_Toc11652388"/>
      <w:bookmarkStart w:id="357" w:name="_Toc11652581"/>
      <w:bookmarkStart w:id="358" w:name="_Toc11652776"/>
      <w:bookmarkStart w:id="359" w:name="_Toc11665966"/>
      <w:bookmarkStart w:id="360" w:name="_Toc11671760"/>
      <w:bookmarkStart w:id="361" w:name="_Toc11674481"/>
      <w:bookmarkStart w:id="362" w:name="_Toc11674848"/>
      <w:bookmarkStart w:id="363" w:name="_Toc10655813"/>
      <w:bookmarkStart w:id="364" w:name="_Toc10656007"/>
      <w:bookmarkStart w:id="365" w:name="_Toc11652001"/>
      <w:bookmarkStart w:id="366" w:name="_Toc11652195"/>
      <w:bookmarkStart w:id="367" w:name="_Toc11652389"/>
      <w:bookmarkStart w:id="368" w:name="_Toc11652582"/>
      <w:bookmarkStart w:id="369" w:name="_Toc11652777"/>
      <w:bookmarkStart w:id="370" w:name="_Toc11665967"/>
      <w:bookmarkStart w:id="371" w:name="_Toc11671761"/>
      <w:bookmarkStart w:id="372" w:name="_Toc11674482"/>
      <w:bookmarkStart w:id="373" w:name="_Toc11674849"/>
      <w:bookmarkStart w:id="374" w:name="_Toc10655814"/>
      <w:bookmarkStart w:id="375" w:name="_Toc10656008"/>
      <w:bookmarkStart w:id="376" w:name="_Toc11652002"/>
      <w:bookmarkStart w:id="377" w:name="_Toc11652196"/>
      <w:bookmarkStart w:id="378" w:name="_Toc11652390"/>
      <w:bookmarkStart w:id="379" w:name="_Toc11652583"/>
      <w:bookmarkStart w:id="380" w:name="_Toc11652778"/>
      <w:bookmarkStart w:id="381" w:name="_Toc11665968"/>
      <w:bookmarkStart w:id="382" w:name="_Toc11671762"/>
      <w:bookmarkStart w:id="383" w:name="_Toc11674483"/>
      <w:bookmarkStart w:id="384" w:name="_Toc11674850"/>
      <w:bookmarkStart w:id="385" w:name="_Toc10655815"/>
      <w:bookmarkStart w:id="386" w:name="_Toc10656009"/>
      <w:bookmarkStart w:id="387" w:name="_Toc11652003"/>
      <w:bookmarkStart w:id="388" w:name="_Toc11652197"/>
      <w:bookmarkStart w:id="389" w:name="_Toc11652391"/>
      <w:bookmarkStart w:id="390" w:name="_Toc11652584"/>
      <w:bookmarkStart w:id="391" w:name="_Toc11652779"/>
      <w:bookmarkStart w:id="392" w:name="_Toc11665969"/>
      <w:bookmarkStart w:id="393" w:name="_Toc11671763"/>
      <w:bookmarkStart w:id="394" w:name="_Toc11674484"/>
      <w:bookmarkStart w:id="395" w:name="_Toc11674851"/>
      <w:bookmarkStart w:id="396" w:name="_Toc10655816"/>
      <w:bookmarkStart w:id="397" w:name="_Toc10656010"/>
      <w:bookmarkStart w:id="398" w:name="_Toc11652004"/>
      <w:bookmarkStart w:id="399" w:name="_Toc11652198"/>
      <w:bookmarkStart w:id="400" w:name="_Toc11652392"/>
      <w:bookmarkStart w:id="401" w:name="_Toc11652585"/>
      <w:bookmarkStart w:id="402" w:name="_Toc11652780"/>
      <w:bookmarkStart w:id="403" w:name="_Toc11665970"/>
      <w:bookmarkStart w:id="404" w:name="_Toc11671764"/>
      <w:bookmarkStart w:id="405" w:name="_Toc11674485"/>
      <w:bookmarkStart w:id="406" w:name="_Toc11674852"/>
      <w:bookmarkStart w:id="407" w:name="_Toc10655817"/>
      <w:bookmarkStart w:id="408" w:name="_Toc10656011"/>
      <w:bookmarkStart w:id="409" w:name="_Toc11652005"/>
      <w:bookmarkStart w:id="410" w:name="_Toc11652199"/>
      <w:bookmarkStart w:id="411" w:name="_Toc11652393"/>
      <w:bookmarkStart w:id="412" w:name="_Toc11652586"/>
      <w:bookmarkStart w:id="413" w:name="_Toc11652781"/>
      <w:bookmarkStart w:id="414" w:name="_Toc11665971"/>
      <w:bookmarkStart w:id="415" w:name="_Toc11671765"/>
      <w:bookmarkStart w:id="416" w:name="_Toc11674486"/>
      <w:bookmarkStart w:id="417" w:name="_Toc11674853"/>
      <w:bookmarkStart w:id="418" w:name="_Toc10655818"/>
      <w:bookmarkStart w:id="419" w:name="_Toc10656012"/>
      <w:bookmarkStart w:id="420" w:name="_Toc11652006"/>
      <w:bookmarkStart w:id="421" w:name="_Toc11652200"/>
      <w:bookmarkStart w:id="422" w:name="_Toc11652394"/>
      <w:bookmarkStart w:id="423" w:name="_Toc11652587"/>
      <w:bookmarkStart w:id="424" w:name="_Toc11652782"/>
      <w:bookmarkStart w:id="425" w:name="_Toc11665972"/>
      <w:bookmarkStart w:id="426" w:name="_Toc11671766"/>
      <w:bookmarkStart w:id="427" w:name="_Toc11674487"/>
      <w:bookmarkStart w:id="428" w:name="_Toc11674854"/>
      <w:bookmarkStart w:id="429" w:name="_Toc10655819"/>
      <w:bookmarkStart w:id="430" w:name="_Toc10656013"/>
      <w:bookmarkStart w:id="431" w:name="_Toc11652007"/>
      <w:bookmarkStart w:id="432" w:name="_Toc11652201"/>
      <w:bookmarkStart w:id="433" w:name="_Toc11652395"/>
      <w:bookmarkStart w:id="434" w:name="_Toc11652588"/>
      <w:bookmarkStart w:id="435" w:name="_Toc11652783"/>
      <w:bookmarkStart w:id="436" w:name="_Toc11665973"/>
      <w:bookmarkStart w:id="437" w:name="_Toc11671767"/>
      <w:bookmarkStart w:id="438" w:name="_Toc11674488"/>
      <w:bookmarkStart w:id="439" w:name="_Toc11674855"/>
      <w:bookmarkStart w:id="440" w:name="_Toc10655820"/>
      <w:bookmarkStart w:id="441" w:name="_Toc10656014"/>
      <w:bookmarkStart w:id="442" w:name="_Toc11652008"/>
      <w:bookmarkStart w:id="443" w:name="_Toc11652202"/>
      <w:bookmarkStart w:id="444" w:name="_Toc11652396"/>
      <w:bookmarkStart w:id="445" w:name="_Toc11652589"/>
      <w:bookmarkStart w:id="446" w:name="_Toc11652784"/>
      <w:bookmarkStart w:id="447" w:name="_Toc11665974"/>
      <w:bookmarkStart w:id="448" w:name="_Toc11671768"/>
      <w:bookmarkStart w:id="449" w:name="_Toc11674489"/>
      <w:bookmarkStart w:id="450" w:name="_Toc11674856"/>
      <w:bookmarkStart w:id="451" w:name="_Toc10655821"/>
      <w:bookmarkStart w:id="452" w:name="_Toc10656015"/>
      <w:bookmarkStart w:id="453" w:name="_Toc11652009"/>
      <w:bookmarkStart w:id="454" w:name="_Toc11652203"/>
      <w:bookmarkStart w:id="455" w:name="_Toc11652397"/>
      <w:bookmarkStart w:id="456" w:name="_Toc11652590"/>
      <w:bookmarkStart w:id="457" w:name="_Toc11652785"/>
      <w:bookmarkStart w:id="458" w:name="_Toc11665975"/>
      <w:bookmarkStart w:id="459" w:name="_Toc11671769"/>
      <w:bookmarkStart w:id="460" w:name="_Toc11674490"/>
      <w:bookmarkStart w:id="461" w:name="_Toc11674857"/>
      <w:bookmarkStart w:id="462" w:name="_Toc10655822"/>
      <w:bookmarkStart w:id="463" w:name="_Toc10656016"/>
      <w:bookmarkStart w:id="464" w:name="_Toc11652010"/>
      <w:bookmarkStart w:id="465" w:name="_Toc11652204"/>
      <w:bookmarkStart w:id="466" w:name="_Toc11652398"/>
      <w:bookmarkStart w:id="467" w:name="_Toc11652591"/>
      <w:bookmarkStart w:id="468" w:name="_Toc11652786"/>
      <w:bookmarkStart w:id="469" w:name="_Toc11665976"/>
      <w:bookmarkStart w:id="470" w:name="_Toc11671770"/>
      <w:bookmarkStart w:id="471" w:name="_Toc11674491"/>
      <w:bookmarkStart w:id="472" w:name="_Toc11674858"/>
      <w:bookmarkStart w:id="473" w:name="_Toc10655823"/>
      <w:bookmarkStart w:id="474" w:name="_Toc10656017"/>
      <w:bookmarkStart w:id="475" w:name="_Toc11652011"/>
      <w:bookmarkStart w:id="476" w:name="_Toc11652205"/>
      <w:bookmarkStart w:id="477" w:name="_Toc11652399"/>
      <w:bookmarkStart w:id="478" w:name="_Toc11652592"/>
      <w:bookmarkStart w:id="479" w:name="_Toc11652787"/>
      <w:bookmarkStart w:id="480" w:name="_Toc11665977"/>
      <w:bookmarkStart w:id="481" w:name="_Toc11671771"/>
      <w:bookmarkStart w:id="482" w:name="_Toc11674492"/>
      <w:bookmarkStart w:id="483" w:name="_Toc11674859"/>
      <w:bookmarkStart w:id="484" w:name="_Toc10655824"/>
      <w:bookmarkStart w:id="485" w:name="_Toc10656018"/>
      <w:bookmarkStart w:id="486" w:name="_Toc11652012"/>
      <w:bookmarkStart w:id="487" w:name="_Toc11652206"/>
      <w:bookmarkStart w:id="488" w:name="_Toc11652400"/>
      <w:bookmarkStart w:id="489" w:name="_Toc11652593"/>
      <w:bookmarkStart w:id="490" w:name="_Toc11652788"/>
      <w:bookmarkStart w:id="491" w:name="_Toc11665978"/>
      <w:bookmarkStart w:id="492" w:name="_Toc11671772"/>
      <w:bookmarkStart w:id="493" w:name="_Toc11674493"/>
      <w:bookmarkStart w:id="494" w:name="_Toc11674860"/>
      <w:bookmarkStart w:id="495" w:name="_Toc10655825"/>
      <w:bookmarkStart w:id="496" w:name="_Toc10656019"/>
      <w:bookmarkStart w:id="497" w:name="_Toc11652013"/>
      <w:bookmarkStart w:id="498" w:name="_Toc11652207"/>
      <w:bookmarkStart w:id="499" w:name="_Toc11652401"/>
      <w:bookmarkStart w:id="500" w:name="_Toc11652594"/>
      <w:bookmarkStart w:id="501" w:name="_Toc11652789"/>
      <w:bookmarkStart w:id="502" w:name="_Toc11665979"/>
      <w:bookmarkStart w:id="503" w:name="_Toc11671773"/>
      <w:bookmarkStart w:id="504" w:name="_Toc11674494"/>
      <w:bookmarkStart w:id="505" w:name="_Toc11674861"/>
      <w:bookmarkStart w:id="506" w:name="_Toc10655826"/>
      <w:bookmarkStart w:id="507" w:name="_Toc10656020"/>
      <w:bookmarkStart w:id="508" w:name="_Toc11652014"/>
      <w:bookmarkStart w:id="509" w:name="_Toc11652208"/>
      <w:bookmarkStart w:id="510" w:name="_Toc11652402"/>
      <w:bookmarkStart w:id="511" w:name="_Toc11652595"/>
      <w:bookmarkStart w:id="512" w:name="_Toc11652790"/>
      <w:bookmarkStart w:id="513" w:name="_Toc11665980"/>
      <w:bookmarkStart w:id="514" w:name="_Toc11671774"/>
      <w:bookmarkStart w:id="515" w:name="_Toc11674495"/>
      <w:bookmarkStart w:id="516" w:name="_Toc11674862"/>
      <w:bookmarkStart w:id="517" w:name="_Toc10655827"/>
      <w:bookmarkStart w:id="518" w:name="_Toc10656021"/>
      <w:bookmarkStart w:id="519" w:name="_Toc11652015"/>
      <w:bookmarkStart w:id="520" w:name="_Toc11652209"/>
      <w:bookmarkStart w:id="521" w:name="_Toc11652403"/>
      <w:bookmarkStart w:id="522" w:name="_Toc11652596"/>
      <w:bookmarkStart w:id="523" w:name="_Toc11652791"/>
      <w:bookmarkStart w:id="524" w:name="_Toc11665981"/>
      <w:bookmarkStart w:id="525" w:name="_Toc11671775"/>
      <w:bookmarkStart w:id="526" w:name="_Toc11674496"/>
      <w:bookmarkStart w:id="527" w:name="_Toc11674863"/>
      <w:bookmarkStart w:id="528" w:name="_Toc10655828"/>
      <w:bookmarkStart w:id="529" w:name="_Toc10656022"/>
      <w:bookmarkStart w:id="530" w:name="_Toc11652016"/>
      <w:bookmarkStart w:id="531" w:name="_Toc11652210"/>
      <w:bookmarkStart w:id="532" w:name="_Toc11652404"/>
      <w:bookmarkStart w:id="533" w:name="_Toc11652597"/>
      <w:bookmarkStart w:id="534" w:name="_Toc11652792"/>
      <w:bookmarkStart w:id="535" w:name="_Toc11665982"/>
      <w:bookmarkStart w:id="536" w:name="_Toc11671776"/>
      <w:bookmarkStart w:id="537" w:name="_Toc11674497"/>
      <w:bookmarkStart w:id="538" w:name="_Toc11674864"/>
      <w:bookmarkStart w:id="539" w:name="_Toc10655829"/>
      <w:bookmarkStart w:id="540" w:name="_Toc10656023"/>
      <w:bookmarkStart w:id="541" w:name="_Toc11652017"/>
      <w:bookmarkStart w:id="542" w:name="_Toc11652211"/>
      <w:bookmarkStart w:id="543" w:name="_Toc11652405"/>
      <w:bookmarkStart w:id="544" w:name="_Toc11652598"/>
      <w:bookmarkStart w:id="545" w:name="_Toc11652793"/>
      <w:bookmarkStart w:id="546" w:name="_Toc11665983"/>
      <w:bookmarkStart w:id="547" w:name="_Toc11671777"/>
      <w:bookmarkStart w:id="548" w:name="_Toc11674498"/>
      <w:bookmarkStart w:id="549" w:name="_Toc11674865"/>
      <w:bookmarkStart w:id="550" w:name="_Toc10655830"/>
      <w:bookmarkStart w:id="551" w:name="_Toc10656024"/>
      <w:bookmarkStart w:id="552" w:name="_Toc11652018"/>
      <w:bookmarkStart w:id="553" w:name="_Toc11652212"/>
      <w:bookmarkStart w:id="554" w:name="_Toc11652406"/>
      <w:bookmarkStart w:id="555" w:name="_Toc11652599"/>
      <w:bookmarkStart w:id="556" w:name="_Toc11652794"/>
      <w:bookmarkStart w:id="557" w:name="_Toc11665984"/>
      <w:bookmarkStart w:id="558" w:name="_Toc11671778"/>
      <w:bookmarkStart w:id="559" w:name="_Toc11674499"/>
      <w:bookmarkStart w:id="560" w:name="_Toc11674866"/>
      <w:bookmarkStart w:id="561" w:name="_Toc10655831"/>
      <w:bookmarkStart w:id="562" w:name="_Toc10656025"/>
      <w:bookmarkStart w:id="563" w:name="_Toc11652019"/>
      <w:bookmarkStart w:id="564" w:name="_Toc11652213"/>
      <w:bookmarkStart w:id="565" w:name="_Toc11652407"/>
      <w:bookmarkStart w:id="566" w:name="_Toc11652600"/>
      <w:bookmarkStart w:id="567" w:name="_Toc11652795"/>
      <w:bookmarkStart w:id="568" w:name="_Toc11665985"/>
      <w:bookmarkStart w:id="569" w:name="_Toc11671779"/>
      <w:bookmarkStart w:id="570" w:name="_Toc11674500"/>
      <w:bookmarkStart w:id="571" w:name="_Toc11674867"/>
      <w:bookmarkStart w:id="572" w:name="_Toc10655832"/>
      <w:bookmarkStart w:id="573" w:name="_Toc10656026"/>
      <w:bookmarkStart w:id="574" w:name="_Toc11652020"/>
      <w:bookmarkStart w:id="575" w:name="_Toc11652214"/>
      <w:bookmarkStart w:id="576" w:name="_Toc11652408"/>
      <w:bookmarkStart w:id="577" w:name="_Toc11652601"/>
      <w:bookmarkStart w:id="578" w:name="_Toc11652796"/>
      <w:bookmarkStart w:id="579" w:name="_Toc11665986"/>
      <w:bookmarkStart w:id="580" w:name="_Toc11671780"/>
      <w:bookmarkStart w:id="581" w:name="_Toc11674501"/>
      <w:bookmarkStart w:id="582" w:name="_Toc11674868"/>
      <w:bookmarkStart w:id="583" w:name="_Toc10655833"/>
      <w:bookmarkStart w:id="584" w:name="_Toc10656027"/>
      <w:bookmarkStart w:id="585" w:name="_Toc11652021"/>
      <w:bookmarkStart w:id="586" w:name="_Toc11652215"/>
      <w:bookmarkStart w:id="587" w:name="_Toc11652409"/>
      <w:bookmarkStart w:id="588" w:name="_Toc11652602"/>
      <w:bookmarkStart w:id="589" w:name="_Toc11652797"/>
      <w:bookmarkStart w:id="590" w:name="_Toc11665987"/>
      <w:bookmarkStart w:id="591" w:name="_Toc11671781"/>
      <w:bookmarkStart w:id="592" w:name="_Toc11674502"/>
      <w:bookmarkStart w:id="593" w:name="_Toc11674869"/>
      <w:bookmarkStart w:id="594" w:name="_Toc10655834"/>
      <w:bookmarkStart w:id="595" w:name="_Toc10656028"/>
      <w:bookmarkStart w:id="596" w:name="_Toc11652022"/>
      <w:bookmarkStart w:id="597" w:name="_Toc11652216"/>
      <w:bookmarkStart w:id="598" w:name="_Toc11652410"/>
      <w:bookmarkStart w:id="599" w:name="_Toc11652603"/>
      <w:bookmarkStart w:id="600" w:name="_Toc11652798"/>
      <w:bookmarkStart w:id="601" w:name="_Toc11665988"/>
      <w:bookmarkStart w:id="602" w:name="_Toc11671782"/>
      <w:bookmarkStart w:id="603" w:name="_Toc11674503"/>
      <w:bookmarkStart w:id="604" w:name="_Toc11674870"/>
      <w:bookmarkStart w:id="605" w:name="_Toc10655835"/>
      <w:bookmarkStart w:id="606" w:name="_Toc10656029"/>
      <w:bookmarkStart w:id="607" w:name="_Toc11652023"/>
      <w:bookmarkStart w:id="608" w:name="_Toc11652217"/>
      <w:bookmarkStart w:id="609" w:name="_Toc11652411"/>
      <w:bookmarkStart w:id="610" w:name="_Toc11652604"/>
      <w:bookmarkStart w:id="611" w:name="_Toc11652799"/>
      <w:bookmarkStart w:id="612" w:name="_Toc11665989"/>
      <w:bookmarkStart w:id="613" w:name="_Toc11671783"/>
      <w:bookmarkStart w:id="614" w:name="_Toc11674504"/>
      <w:bookmarkStart w:id="615" w:name="_Toc11674871"/>
      <w:bookmarkStart w:id="616" w:name="_Toc10655836"/>
      <w:bookmarkStart w:id="617" w:name="_Toc10656030"/>
      <w:bookmarkStart w:id="618" w:name="_Toc11652024"/>
      <w:bookmarkStart w:id="619" w:name="_Toc11652218"/>
      <w:bookmarkStart w:id="620" w:name="_Toc11652412"/>
      <w:bookmarkStart w:id="621" w:name="_Toc11652605"/>
      <w:bookmarkStart w:id="622" w:name="_Toc11652800"/>
      <w:bookmarkStart w:id="623" w:name="_Toc11665990"/>
      <w:bookmarkStart w:id="624" w:name="_Toc11671784"/>
      <w:bookmarkStart w:id="625" w:name="_Toc11674505"/>
      <w:bookmarkStart w:id="626" w:name="_Toc11674872"/>
      <w:bookmarkStart w:id="627" w:name="_Toc10655837"/>
      <w:bookmarkStart w:id="628" w:name="_Toc10656031"/>
      <w:bookmarkStart w:id="629" w:name="_Toc11652025"/>
      <w:bookmarkStart w:id="630" w:name="_Toc11652219"/>
      <w:bookmarkStart w:id="631" w:name="_Toc11652413"/>
      <w:bookmarkStart w:id="632" w:name="_Toc11652606"/>
      <w:bookmarkStart w:id="633" w:name="_Toc11652801"/>
      <w:bookmarkStart w:id="634" w:name="_Toc11665991"/>
      <w:bookmarkStart w:id="635" w:name="_Toc11671785"/>
      <w:bookmarkStart w:id="636" w:name="_Toc11674506"/>
      <w:bookmarkStart w:id="637" w:name="_Toc11674873"/>
      <w:bookmarkStart w:id="638" w:name="_Toc10655838"/>
      <w:bookmarkStart w:id="639" w:name="_Toc10656032"/>
      <w:bookmarkStart w:id="640" w:name="_Toc11652026"/>
      <w:bookmarkStart w:id="641" w:name="_Toc11652220"/>
      <w:bookmarkStart w:id="642" w:name="_Toc11652414"/>
      <w:bookmarkStart w:id="643" w:name="_Toc11652607"/>
      <w:bookmarkStart w:id="644" w:name="_Toc11652802"/>
      <w:bookmarkStart w:id="645" w:name="_Toc11665992"/>
      <w:bookmarkStart w:id="646" w:name="_Toc11671786"/>
      <w:bookmarkStart w:id="647" w:name="_Toc11674507"/>
      <w:bookmarkStart w:id="648" w:name="_Toc11674874"/>
      <w:bookmarkStart w:id="649" w:name="_Toc10655839"/>
      <w:bookmarkStart w:id="650" w:name="_Toc10656033"/>
      <w:bookmarkStart w:id="651" w:name="_Toc11652027"/>
      <w:bookmarkStart w:id="652" w:name="_Toc11652221"/>
      <w:bookmarkStart w:id="653" w:name="_Toc11652415"/>
      <w:bookmarkStart w:id="654" w:name="_Toc11652608"/>
      <w:bookmarkStart w:id="655" w:name="_Toc11652803"/>
      <w:bookmarkStart w:id="656" w:name="_Toc11665993"/>
      <w:bookmarkStart w:id="657" w:name="_Toc11671787"/>
      <w:bookmarkStart w:id="658" w:name="_Toc11674508"/>
      <w:bookmarkStart w:id="659" w:name="_Toc11674875"/>
      <w:bookmarkStart w:id="660" w:name="_Toc10655840"/>
      <w:bookmarkStart w:id="661" w:name="_Toc10656034"/>
      <w:bookmarkStart w:id="662" w:name="_Toc11652028"/>
      <w:bookmarkStart w:id="663" w:name="_Toc11652222"/>
      <w:bookmarkStart w:id="664" w:name="_Toc11652416"/>
      <w:bookmarkStart w:id="665" w:name="_Toc11652609"/>
      <w:bookmarkStart w:id="666" w:name="_Toc11652804"/>
      <w:bookmarkStart w:id="667" w:name="_Toc11665994"/>
      <w:bookmarkStart w:id="668" w:name="_Toc11671788"/>
      <w:bookmarkStart w:id="669" w:name="_Toc11674509"/>
      <w:bookmarkStart w:id="670" w:name="_Toc11674876"/>
      <w:bookmarkStart w:id="671" w:name="_Toc10655841"/>
      <w:bookmarkStart w:id="672" w:name="_Toc10656035"/>
      <w:bookmarkStart w:id="673" w:name="_Toc11652029"/>
      <w:bookmarkStart w:id="674" w:name="_Toc11652223"/>
      <w:bookmarkStart w:id="675" w:name="_Toc11652417"/>
      <w:bookmarkStart w:id="676" w:name="_Toc11652610"/>
      <w:bookmarkStart w:id="677" w:name="_Toc11652805"/>
      <w:bookmarkStart w:id="678" w:name="_Toc11665995"/>
      <w:bookmarkStart w:id="679" w:name="_Toc11671789"/>
      <w:bookmarkStart w:id="680" w:name="_Toc11674510"/>
      <w:bookmarkStart w:id="681" w:name="_Toc11674877"/>
      <w:bookmarkStart w:id="682" w:name="_Toc10655842"/>
      <w:bookmarkStart w:id="683" w:name="_Toc10656036"/>
      <w:bookmarkStart w:id="684" w:name="_Toc11652030"/>
      <w:bookmarkStart w:id="685" w:name="_Toc11652224"/>
      <w:bookmarkStart w:id="686" w:name="_Toc11652418"/>
      <w:bookmarkStart w:id="687" w:name="_Toc11652611"/>
      <w:bookmarkStart w:id="688" w:name="_Toc11652806"/>
      <w:bookmarkStart w:id="689" w:name="_Toc11665996"/>
      <w:bookmarkStart w:id="690" w:name="_Toc11671790"/>
      <w:bookmarkStart w:id="691" w:name="_Toc11674511"/>
      <w:bookmarkStart w:id="692" w:name="_Toc11674878"/>
      <w:bookmarkStart w:id="693" w:name="_Toc10655843"/>
      <w:bookmarkStart w:id="694" w:name="_Toc10656037"/>
      <w:bookmarkStart w:id="695" w:name="_Toc11652031"/>
      <w:bookmarkStart w:id="696" w:name="_Toc11652225"/>
      <w:bookmarkStart w:id="697" w:name="_Toc11652419"/>
      <w:bookmarkStart w:id="698" w:name="_Toc11652612"/>
      <w:bookmarkStart w:id="699" w:name="_Toc11652807"/>
      <w:bookmarkStart w:id="700" w:name="_Toc11665997"/>
      <w:bookmarkStart w:id="701" w:name="_Toc11671791"/>
      <w:bookmarkStart w:id="702" w:name="_Toc11674512"/>
      <w:bookmarkStart w:id="703" w:name="_Toc11674879"/>
      <w:bookmarkStart w:id="704" w:name="_Toc10655844"/>
      <w:bookmarkStart w:id="705" w:name="_Toc10656038"/>
      <w:bookmarkStart w:id="706" w:name="_Toc11652032"/>
      <w:bookmarkStart w:id="707" w:name="_Toc11652226"/>
      <w:bookmarkStart w:id="708" w:name="_Toc11652420"/>
      <w:bookmarkStart w:id="709" w:name="_Toc11652613"/>
      <w:bookmarkStart w:id="710" w:name="_Toc11652808"/>
      <w:bookmarkStart w:id="711" w:name="_Toc11665998"/>
      <w:bookmarkStart w:id="712" w:name="_Toc11671792"/>
      <w:bookmarkStart w:id="713" w:name="_Toc11674513"/>
      <w:bookmarkStart w:id="714" w:name="_Toc11674880"/>
      <w:bookmarkStart w:id="715" w:name="_Toc10655845"/>
      <w:bookmarkStart w:id="716" w:name="_Toc10656039"/>
      <w:bookmarkStart w:id="717" w:name="_Toc11652033"/>
      <w:bookmarkStart w:id="718" w:name="_Toc11652227"/>
      <w:bookmarkStart w:id="719" w:name="_Toc11652421"/>
      <w:bookmarkStart w:id="720" w:name="_Toc11652614"/>
      <w:bookmarkStart w:id="721" w:name="_Toc11652809"/>
      <w:bookmarkStart w:id="722" w:name="_Toc11665999"/>
      <w:bookmarkStart w:id="723" w:name="_Toc11671793"/>
      <w:bookmarkStart w:id="724" w:name="_Toc11674514"/>
      <w:bookmarkStart w:id="725" w:name="_Toc11674881"/>
      <w:bookmarkStart w:id="726" w:name="_Toc10655846"/>
      <w:bookmarkStart w:id="727" w:name="_Toc10656040"/>
      <w:bookmarkStart w:id="728" w:name="_Toc11652034"/>
      <w:bookmarkStart w:id="729" w:name="_Toc11652228"/>
      <w:bookmarkStart w:id="730" w:name="_Toc11652422"/>
      <w:bookmarkStart w:id="731" w:name="_Toc11652615"/>
      <w:bookmarkStart w:id="732" w:name="_Toc11652810"/>
      <w:bookmarkStart w:id="733" w:name="_Toc11666000"/>
      <w:bookmarkStart w:id="734" w:name="_Toc11671794"/>
      <w:bookmarkStart w:id="735" w:name="_Toc11674515"/>
      <w:bookmarkStart w:id="736" w:name="_Toc11674882"/>
      <w:bookmarkStart w:id="737" w:name="_Toc10655847"/>
      <w:bookmarkStart w:id="738" w:name="_Toc10656041"/>
      <w:bookmarkStart w:id="739" w:name="_Toc11652035"/>
      <w:bookmarkStart w:id="740" w:name="_Toc11652229"/>
      <w:bookmarkStart w:id="741" w:name="_Toc11652423"/>
      <w:bookmarkStart w:id="742" w:name="_Toc11652616"/>
      <w:bookmarkStart w:id="743" w:name="_Toc11652811"/>
      <w:bookmarkStart w:id="744" w:name="_Toc11666001"/>
      <w:bookmarkStart w:id="745" w:name="_Toc11671795"/>
      <w:bookmarkStart w:id="746" w:name="_Toc11674516"/>
      <w:bookmarkStart w:id="747" w:name="_Toc11674883"/>
      <w:bookmarkStart w:id="748" w:name="_Toc10655848"/>
      <w:bookmarkStart w:id="749" w:name="_Toc10656042"/>
      <w:bookmarkStart w:id="750" w:name="_Toc11652036"/>
      <w:bookmarkStart w:id="751" w:name="_Toc11652230"/>
      <w:bookmarkStart w:id="752" w:name="_Toc11652424"/>
      <w:bookmarkStart w:id="753" w:name="_Toc11652617"/>
      <w:bookmarkStart w:id="754" w:name="_Toc11652812"/>
      <w:bookmarkStart w:id="755" w:name="_Toc11666002"/>
      <w:bookmarkStart w:id="756" w:name="_Toc11671796"/>
      <w:bookmarkStart w:id="757" w:name="_Toc11674517"/>
      <w:bookmarkStart w:id="758" w:name="_Toc11674884"/>
      <w:bookmarkStart w:id="759" w:name="_Toc10655849"/>
      <w:bookmarkStart w:id="760" w:name="_Toc10656043"/>
      <w:bookmarkStart w:id="761" w:name="_Toc11652037"/>
      <w:bookmarkStart w:id="762" w:name="_Toc11652231"/>
      <w:bookmarkStart w:id="763" w:name="_Toc11652425"/>
      <w:bookmarkStart w:id="764" w:name="_Toc11652618"/>
      <w:bookmarkStart w:id="765" w:name="_Toc11652813"/>
      <w:bookmarkStart w:id="766" w:name="_Toc11666003"/>
      <w:bookmarkStart w:id="767" w:name="_Toc11671797"/>
      <w:bookmarkStart w:id="768" w:name="_Toc11674518"/>
      <w:bookmarkStart w:id="769" w:name="_Toc11674885"/>
      <w:bookmarkStart w:id="770" w:name="_Toc10655850"/>
      <w:bookmarkStart w:id="771" w:name="_Toc10656044"/>
      <w:bookmarkStart w:id="772" w:name="_Toc11652038"/>
      <w:bookmarkStart w:id="773" w:name="_Toc11652232"/>
      <w:bookmarkStart w:id="774" w:name="_Toc11652426"/>
      <w:bookmarkStart w:id="775" w:name="_Toc11652619"/>
      <w:bookmarkStart w:id="776" w:name="_Toc11652814"/>
      <w:bookmarkStart w:id="777" w:name="_Toc11666004"/>
      <w:bookmarkStart w:id="778" w:name="_Toc11671798"/>
      <w:bookmarkStart w:id="779" w:name="_Toc11674519"/>
      <w:bookmarkStart w:id="780" w:name="_Toc11674886"/>
      <w:bookmarkStart w:id="781" w:name="_Toc10655851"/>
      <w:bookmarkStart w:id="782" w:name="_Toc10656045"/>
      <w:bookmarkStart w:id="783" w:name="_Toc11652039"/>
      <w:bookmarkStart w:id="784" w:name="_Toc11652233"/>
      <w:bookmarkStart w:id="785" w:name="_Toc11652427"/>
      <w:bookmarkStart w:id="786" w:name="_Toc11652620"/>
      <w:bookmarkStart w:id="787" w:name="_Toc11652815"/>
      <w:bookmarkStart w:id="788" w:name="_Toc11666005"/>
      <w:bookmarkStart w:id="789" w:name="_Toc11671799"/>
      <w:bookmarkStart w:id="790" w:name="_Toc11674520"/>
      <w:bookmarkStart w:id="791" w:name="_Toc11674887"/>
      <w:bookmarkStart w:id="792" w:name="_Toc10655852"/>
      <w:bookmarkStart w:id="793" w:name="_Toc10656046"/>
      <w:bookmarkStart w:id="794" w:name="_Toc11652040"/>
      <w:bookmarkStart w:id="795" w:name="_Toc11652234"/>
      <w:bookmarkStart w:id="796" w:name="_Toc11652428"/>
      <w:bookmarkStart w:id="797" w:name="_Toc11652621"/>
      <w:bookmarkStart w:id="798" w:name="_Toc11652816"/>
      <w:bookmarkStart w:id="799" w:name="_Toc11666006"/>
      <w:bookmarkStart w:id="800" w:name="_Toc11671800"/>
      <w:bookmarkStart w:id="801" w:name="_Toc11674521"/>
      <w:bookmarkStart w:id="802" w:name="_Toc11674888"/>
      <w:bookmarkStart w:id="803" w:name="_Toc10655853"/>
      <w:bookmarkStart w:id="804" w:name="_Toc10656047"/>
      <w:bookmarkStart w:id="805" w:name="_Toc11652041"/>
      <w:bookmarkStart w:id="806" w:name="_Toc11652235"/>
      <w:bookmarkStart w:id="807" w:name="_Toc11652429"/>
      <w:bookmarkStart w:id="808" w:name="_Toc11652622"/>
      <w:bookmarkStart w:id="809" w:name="_Toc11652817"/>
      <w:bookmarkStart w:id="810" w:name="_Toc11666007"/>
      <w:bookmarkStart w:id="811" w:name="_Toc11671801"/>
      <w:bookmarkStart w:id="812" w:name="_Toc11674522"/>
      <w:bookmarkStart w:id="813" w:name="_Toc11674889"/>
      <w:bookmarkStart w:id="814" w:name="_Toc10655854"/>
      <w:bookmarkStart w:id="815" w:name="_Toc10656048"/>
      <w:bookmarkStart w:id="816" w:name="_Toc11652042"/>
      <w:bookmarkStart w:id="817" w:name="_Toc11652236"/>
      <w:bookmarkStart w:id="818" w:name="_Toc11652430"/>
      <w:bookmarkStart w:id="819" w:name="_Toc11652623"/>
      <w:bookmarkStart w:id="820" w:name="_Toc11652818"/>
      <w:bookmarkStart w:id="821" w:name="_Toc11666008"/>
      <w:bookmarkStart w:id="822" w:name="_Toc11671802"/>
      <w:bookmarkStart w:id="823" w:name="_Toc11674523"/>
      <w:bookmarkStart w:id="824" w:name="_Toc11674890"/>
      <w:bookmarkStart w:id="825" w:name="_Toc10655855"/>
      <w:bookmarkStart w:id="826" w:name="_Toc10656049"/>
      <w:bookmarkStart w:id="827" w:name="_Toc11652043"/>
      <w:bookmarkStart w:id="828" w:name="_Toc11652237"/>
      <w:bookmarkStart w:id="829" w:name="_Toc11652431"/>
      <w:bookmarkStart w:id="830" w:name="_Toc11652624"/>
      <w:bookmarkStart w:id="831" w:name="_Toc11652819"/>
      <w:bookmarkStart w:id="832" w:name="_Toc11666009"/>
      <w:bookmarkStart w:id="833" w:name="_Toc11671803"/>
      <w:bookmarkStart w:id="834" w:name="_Toc11674524"/>
      <w:bookmarkStart w:id="835" w:name="_Toc11674891"/>
      <w:bookmarkStart w:id="836" w:name="_Toc10655856"/>
      <w:bookmarkStart w:id="837" w:name="_Toc10656050"/>
      <w:bookmarkStart w:id="838" w:name="_Toc11652044"/>
      <w:bookmarkStart w:id="839" w:name="_Toc11652238"/>
      <w:bookmarkStart w:id="840" w:name="_Toc11652432"/>
      <w:bookmarkStart w:id="841" w:name="_Toc11652625"/>
      <w:bookmarkStart w:id="842" w:name="_Toc11652820"/>
      <w:bookmarkStart w:id="843" w:name="_Toc11666010"/>
      <w:bookmarkStart w:id="844" w:name="_Toc11671804"/>
      <w:bookmarkStart w:id="845" w:name="_Toc11674525"/>
      <w:bookmarkStart w:id="846" w:name="_Toc11674892"/>
      <w:bookmarkStart w:id="847" w:name="_Toc10655857"/>
      <w:bookmarkStart w:id="848" w:name="_Toc10656051"/>
      <w:bookmarkStart w:id="849" w:name="_Toc11652045"/>
      <w:bookmarkStart w:id="850" w:name="_Toc11652239"/>
      <w:bookmarkStart w:id="851" w:name="_Toc11652433"/>
      <w:bookmarkStart w:id="852" w:name="_Toc11652626"/>
      <w:bookmarkStart w:id="853" w:name="_Toc11652821"/>
      <w:bookmarkStart w:id="854" w:name="_Toc11666011"/>
      <w:bookmarkStart w:id="855" w:name="_Toc11671805"/>
      <w:bookmarkStart w:id="856" w:name="_Toc11674526"/>
      <w:bookmarkStart w:id="857" w:name="_Toc11674893"/>
      <w:bookmarkStart w:id="858" w:name="_Toc10655858"/>
      <w:bookmarkStart w:id="859" w:name="_Toc10656052"/>
      <w:bookmarkStart w:id="860" w:name="_Toc11652046"/>
      <w:bookmarkStart w:id="861" w:name="_Toc11652240"/>
      <w:bookmarkStart w:id="862" w:name="_Toc11652434"/>
      <w:bookmarkStart w:id="863" w:name="_Toc11652627"/>
      <w:bookmarkStart w:id="864" w:name="_Toc11652822"/>
      <w:bookmarkStart w:id="865" w:name="_Toc11666012"/>
      <w:bookmarkStart w:id="866" w:name="_Toc11671806"/>
      <w:bookmarkStart w:id="867" w:name="_Toc11674527"/>
      <w:bookmarkStart w:id="868" w:name="_Toc11674894"/>
      <w:bookmarkStart w:id="869" w:name="_Toc10655859"/>
      <w:bookmarkStart w:id="870" w:name="_Toc10656053"/>
      <w:bookmarkStart w:id="871" w:name="_Toc11652047"/>
      <w:bookmarkStart w:id="872" w:name="_Toc11652241"/>
      <w:bookmarkStart w:id="873" w:name="_Toc11652435"/>
      <w:bookmarkStart w:id="874" w:name="_Toc11652628"/>
      <w:bookmarkStart w:id="875" w:name="_Toc11652823"/>
      <w:bookmarkStart w:id="876" w:name="_Toc11666013"/>
      <w:bookmarkStart w:id="877" w:name="_Toc11671807"/>
      <w:bookmarkStart w:id="878" w:name="_Toc11674528"/>
      <w:bookmarkStart w:id="879" w:name="_Toc11674895"/>
      <w:bookmarkStart w:id="880" w:name="_Toc10655860"/>
      <w:bookmarkStart w:id="881" w:name="_Toc10656054"/>
      <w:bookmarkStart w:id="882" w:name="_Toc11652048"/>
      <w:bookmarkStart w:id="883" w:name="_Toc11652242"/>
      <w:bookmarkStart w:id="884" w:name="_Toc11652436"/>
      <w:bookmarkStart w:id="885" w:name="_Toc11652629"/>
      <w:bookmarkStart w:id="886" w:name="_Toc11652824"/>
      <w:bookmarkStart w:id="887" w:name="_Toc11666014"/>
      <w:bookmarkStart w:id="888" w:name="_Toc11671808"/>
      <w:bookmarkStart w:id="889" w:name="_Toc11674529"/>
      <w:bookmarkStart w:id="890" w:name="_Toc11674896"/>
      <w:bookmarkStart w:id="891" w:name="_Toc10655861"/>
      <w:bookmarkStart w:id="892" w:name="_Toc10656055"/>
      <w:bookmarkStart w:id="893" w:name="_Toc11652049"/>
      <w:bookmarkStart w:id="894" w:name="_Toc11652243"/>
      <w:bookmarkStart w:id="895" w:name="_Toc11652437"/>
      <w:bookmarkStart w:id="896" w:name="_Toc11652630"/>
      <w:bookmarkStart w:id="897" w:name="_Toc11652825"/>
      <w:bookmarkStart w:id="898" w:name="_Toc11666015"/>
      <w:bookmarkStart w:id="899" w:name="_Toc11671809"/>
      <w:bookmarkStart w:id="900" w:name="_Toc11674530"/>
      <w:bookmarkStart w:id="901" w:name="_Toc11674897"/>
      <w:bookmarkStart w:id="902" w:name="_Toc10655862"/>
      <w:bookmarkStart w:id="903" w:name="_Toc10656056"/>
      <w:bookmarkStart w:id="904" w:name="_Toc11652050"/>
      <w:bookmarkStart w:id="905" w:name="_Toc11652244"/>
      <w:bookmarkStart w:id="906" w:name="_Toc11652438"/>
      <w:bookmarkStart w:id="907" w:name="_Toc11652631"/>
      <w:bookmarkStart w:id="908" w:name="_Toc11652826"/>
      <w:bookmarkStart w:id="909" w:name="_Toc11666016"/>
      <w:bookmarkStart w:id="910" w:name="_Toc11671810"/>
      <w:bookmarkStart w:id="911" w:name="_Toc11674531"/>
      <w:bookmarkStart w:id="912" w:name="_Toc11674898"/>
      <w:bookmarkStart w:id="913" w:name="_Toc10655863"/>
      <w:bookmarkStart w:id="914" w:name="_Toc10656057"/>
      <w:bookmarkStart w:id="915" w:name="_Toc11652051"/>
      <w:bookmarkStart w:id="916" w:name="_Toc11652245"/>
      <w:bookmarkStart w:id="917" w:name="_Toc11652439"/>
      <w:bookmarkStart w:id="918" w:name="_Toc11652632"/>
      <w:bookmarkStart w:id="919" w:name="_Toc11652827"/>
      <w:bookmarkStart w:id="920" w:name="_Toc11666017"/>
      <w:bookmarkStart w:id="921" w:name="_Toc11671811"/>
      <w:bookmarkStart w:id="922" w:name="_Toc11674532"/>
      <w:bookmarkStart w:id="923" w:name="_Toc11674899"/>
      <w:bookmarkStart w:id="924" w:name="_Toc10655864"/>
      <w:bookmarkStart w:id="925" w:name="_Toc10656058"/>
      <w:bookmarkStart w:id="926" w:name="_Toc11652052"/>
      <w:bookmarkStart w:id="927" w:name="_Toc11652246"/>
      <w:bookmarkStart w:id="928" w:name="_Toc11652440"/>
      <w:bookmarkStart w:id="929" w:name="_Toc11652633"/>
      <w:bookmarkStart w:id="930" w:name="_Toc11652828"/>
      <w:bookmarkStart w:id="931" w:name="_Toc11666018"/>
      <w:bookmarkStart w:id="932" w:name="_Toc11671812"/>
      <w:bookmarkStart w:id="933" w:name="_Toc11674533"/>
      <w:bookmarkStart w:id="934" w:name="_Toc11674900"/>
      <w:bookmarkStart w:id="935" w:name="_Toc10655865"/>
      <w:bookmarkStart w:id="936" w:name="_Toc10656059"/>
      <w:bookmarkStart w:id="937" w:name="_Toc11652053"/>
      <w:bookmarkStart w:id="938" w:name="_Toc11652247"/>
      <w:bookmarkStart w:id="939" w:name="_Toc11652441"/>
      <w:bookmarkStart w:id="940" w:name="_Toc11652634"/>
      <w:bookmarkStart w:id="941" w:name="_Toc11652829"/>
      <w:bookmarkStart w:id="942" w:name="_Toc11666019"/>
      <w:bookmarkStart w:id="943" w:name="_Toc11671813"/>
      <w:bookmarkStart w:id="944" w:name="_Toc11674534"/>
      <w:bookmarkStart w:id="945" w:name="_Toc11674901"/>
      <w:bookmarkStart w:id="946" w:name="_Toc10655866"/>
      <w:bookmarkStart w:id="947" w:name="_Toc10656060"/>
      <w:bookmarkStart w:id="948" w:name="_Toc11652054"/>
      <w:bookmarkStart w:id="949" w:name="_Toc11652248"/>
      <w:bookmarkStart w:id="950" w:name="_Toc11652442"/>
      <w:bookmarkStart w:id="951" w:name="_Toc11652635"/>
      <w:bookmarkStart w:id="952" w:name="_Toc11652830"/>
      <w:bookmarkStart w:id="953" w:name="_Toc11666020"/>
      <w:bookmarkStart w:id="954" w:name="_Toc11671814"/>
      <w:bookmarkStart w:id="955" w:name="_Toc11674535"/>
      <w:bookmarkStart w:id="956" w:name="_Toc11674902"/>
      <w:bookmarkStart w:id="957" w:name="_Toc10655867"/>
      <w:bookmarkStart w:id="958" w:name="_Toc10656061"/>
      <w:bookmarkStart w:id="959" w:name="_Toc11652055"/>
      <w:bookmarkStart w:id="960" w:name="_Toc11652249"/>
      <w:bookmarkStart w:id="961" w:name="_Toc11652443"/>
      <w:bookmarkStart w:id="962" w:name="_Toc11652636"/>
      <w:bookmarkStart w:id="963" w:name="_Toc11652831"/>
      <w:bookmarkStart w:id="964" w:name="_Toc11666021"/>
      <w:bookmarkStart w:id="965" w:name="_Toc11671815"/>
      <w:bookmarkStart w:id="966" w:name="_Toc11674536"/>
      <w:bookmarkStart w:id="967" w:name="_Toc11674903"/>
      <w:bookmarkStart w:id="968" w:name="_Toc10655868"/>
      <w:bookmarkStart w:id="969" w:name="_Toc10656062"/>
      <w:bookmarkStart w:id="970" w:name="_Toc11652056"/>
      <w:bookmarkStart w:id="971" w:name="_Toc11652250"/>
      <w:bookmarkStart w:id="972" w:name="_Toc11652444"/>
      <w:bookmarkStart w:id="973" w:name="_Toc11652637"/>
      <w:bookmarkStart w:id="974" w:name="_Toc11652832"/>
      <w:bookmarkStart w:id="975" w:name="_Toc11666022"/>
      <w:bookmarkStart w:id="976" w:name="_Toc11671816"/>
      <w:bookmarkStart w:id="977" w:name="_Toc11674537"/>
      <w:bookmarkStart w:id="978" w:name="_Toc11674904"/>
      <w:bookmarkStart w:id="979" w:name="_Toc10655869"/>
      <w:bookmarkStart w:id="980" w:name="_Toc10656063"/>
      <w:bookmarkStart w:id="981" w:name="_Toc11652057"/>
      <w:bookmarkStart w:id="982" w:name="_Toc11652251"/>
      <w:bookmarkStart w:id="983" w:name="_Toc11652445"/>
      <w:bookmarkStart w:id="984" w:name="_Toc11652638"/>
      <w:bookmarkStart w:id="985" w:name="_Toc11652833"/>
      <w:bookmarkStart w:id="986" w:name="_Toc11666023"/>
      <w:bookmarkStart w:id="987" w:name="_Toc11671817"/>
      <w:bookmarkStart w:id="988" w:name="_Toc11674538"/>
      <w:bookmarkStart w:id="989" w:name="_Toc11674905"/>
      <w:bookmarkStart w:id="990" w:name="_Toc10655870"/>
      <w:bookmarkStart w:id="991" w:name="_Toc10656064"/>
      <w:bookmarkStart w:id="992" w:name="_Toc11652058"/>
      <w:bookmarkStart w:id="993" w:name="_Toc11652252"/>
      <w:bookmarkStart w:id="994" w:name="_Toc11652446"/>
      <w:bookmarkStart w:id="995" w:name="_Toc11652639"/>
      <w:bookmarkStart w:id="996" w:name="_Toc11652834"/>
      <w:bookmarkStart w:id="997" w:name="_Toc11666024"/>
      <w:bookmarkStart w:id="998" w:name="_Toc11671818"/>
      <w:bookmarkStart w:id="999" w:name="_Toc11674539"/>
      <w:bookmarkStart w:id="1000" w:name="_Toc11674906"/>
      <w:bookmarkStart w:id="1001" w:name="_Toc10655871"/>
      <w:bookmarkStart w:id="1002" w:name="_Toc10656065"/>
      <w:bookmarkStart w:id="1003" w:name="_Toc11652059"/>
      <w:bookmarkStart w:id="1004" w:name="_Toc11652253"/>
      <w:bookmarkStart w:id="1005" w:name="_Toc11652447"/>
      <w:bookmarkStart w:id="1006" w:name="_Toc11652640"/>
      <w:bookmarkStart w:id="1007" w:name="_Toc11652835"/>
      <w:bookmarkStart w:id="1008" w:name="_Toc11666025"/>
      <w:bookmarkStart w:id="1009" w:name="_Toc11671819"/>
      <w:bookmarkStart w:id="1010" w:name="_Toc11674540"/>
      <w:bookmarkStart w:id="1011" w:name="_Toc11674907"/>
      <w:bookmarkStart w:id="1012" w:name="_Toc10655872"/>
      <w:bookmarkStart w:id="1013" w:name="_Toc10656066"/>
      <w:bookmarkStart w:id="1014" w:name="_Toc11652060"/>
      <w:bookmarkStart w:id="1015" w:name="_Toc11652254"/>
      <w:bookmarkStart w:id="1016" w:name="_Toc11652448"/>
      <w:bookmarkStart w:id="1017" w:name="_Toc11652641"/>
      <w:bookmarkStart w:id="1018" w:name="_Toc11652836"/>
      <w:bookmarkStart w:id="1019" w:name="_Toc11666026"/>
      <w:bookmarkStart w:id="1020" w:name="_Toc11671820"/>
      <w:bookmarkStart w:id="1021" w:name="_Toc11674541"/>
      <w:bookmarkStart w:id="1022" w:name="_Toc11674908"/>
      <w:bookmarkStart w:id="1023" w:name="_Toc10655873"/>
      <w:bookmarkStart w:id="1024" w:name="_Toc10656067"/>
      <w:bookmarkStart w:id="1025" w:name="_Toc11652061"/>
      <w:bookmarkStart w:id="1026" w:name="_Toc11652255"/>
      <w:bookmarkStart w:id="1027" w:name="_Toc11652449"/>
      <w:bookmarkStart w:id="1028" w:name="_Toc11652642"/>
      <w:bookmarkStart w:id="1029" w:name="_Toc11652837"/>
      <w:bookmarkStart w:id="1030" w:name="_Toc11666027"/>
      <w:bookmarkStart w:id="1031" w:name="_Toc11671821"/>
      <w:bookmarkStart w:id="1032" w:name="_Toc11674542"/>
      <w:bookmarkStart w:id="1033" w:name="_Toc11674909"/>
      <w:bookmarkStart w:id="1034" w:name="_Toc10655874"/>
      <w:bookmarkStart w:id="1035" w:name="_Toc10656068"/>
      <w:bookmarkStart w:id="1036" w:name="_Toc11652062"/>
      <w:bookmarkStart w:id="1037" w:name="_Toc11652256"/>
      <w:bookmarkStart w:id="1038" w:name="_Toc11652450"/>
      <w:bookmarkStart w:id="1039" w:name="_Toc11652643"/>
      <w:bookmarkStart w:id="1040" w:name="_Toc11652838"/>
      <w:bookmarkStart w:id="1041" w:name="_Toc11666028"/>
      <w:bookmarkStart w:id="1042" w:name="_Toc11671822"/>
      <w:bookmarkStart w:id="1043" w:name="_Toc11674543"/>
      <w:bookmarkStart w:id="1044" w:name="_Toc11674910"/>
      <w:bookmarkStart w:id="1045" w:name="_Toc10655875"/>
      <w:bookmarkStart w:id="1046" w:name="_Toc10656069"/>
      <w:bookmarkStart w:id="1047" w:name="_Toc11652063"/>
      <w:bookmarkStart w:id="1048" w:name="_Toc11652257"/>
      <w:bookmarkStart w:id="1049" w:name="_Toc11652451"/>
      <w:bookmarkStart w:id="1050" w:name="_Toc11652644"/>
      <w:bookmarkStart w:id="1051" w:name="_Toc11652839"/>
      <w:bookmarkStart w:id="1052" w:name="_Toc11666029"/>
      <w:bookmarkStart w:id="1053" w:name="_Toc11671823"/>
      <w:bookmarkStart w:id="1054" w:name="_Toc11674544"/>
      <w:bookmarkStart w:id="1055" w:name="_Toc11674911"/>
      <w:bookmarkStart w:id="1056" w:name="_Toc10655876"/>
      <w:bookmarkStart w:id="1057" w:name="_Toc10656070"/>
      <w:bookmarkStart w:id="1058" w:name="_Toc11652064"/>
      <w:bookmarkStart w:id="1059" w:name="_Toc11652258"/>
      <w:bookmarkStart w:id="1060" w:name="_Toc11652452"/>
      <w:bookmarkStart w:id="1061" w:name="_Toc11652645"/>
      <w:bookmarkStart w:id="1062" w:name="_Toc11652840"/>
      <w:bookmarkStart w:id="1063" w:name="_Toc11666030"/>
      <w:bookmarkStart w:id="1064" w:name="_Toc11671824"/>
      <w:bookmarkStart w:id="1065" w:name="_Toc11674545"/>
      <w:bookmarkStart w:id="1066" w:name="_Toc11674912"/>
      <w:bookmarkStart w:id="1067" w:name="_Toc10655877"/>
      <w:bookmarkStart w:id="1068" w:name="_Toc10656071"/>
      <w:bookmarkStart w:id="1069" w:name="_Toc11652065"/>
      <w:bookmarkStart w:id="1070" w:name="_Toc11652259"/>
      <w:bookmarkStart w:id="1071" w:name="_Toc11652453"/>
      <w:bookmarkStart w:id="1072" w:name="_Toc11652646"/>
      <w:bookmarkStart w:id="1073" w:name="_Toc11652841"/>
      <w:bookmarkStart w:id="1074" w:name="_Toc11666031"/>
      <w:bookmarkStart w:id="1075" w:name="_Toc11671825"/>
      <w:bookmarkStart w:id="1076" w:name="_Toc11674546"/>
      <w:bookmarkStart w:id="1077" w:name="_Toc11674913"/>
      <w:bookmarkStart w:id="1078" w:name="_Toc10655879"/>
      <w:bookmarkStart w:id="1079" w:name="_Toc10656073"/>
      <w:bookmarkStart w:id="1080" w:name="_Toc11652067"/>
      <w:bookmarkStart w:id="1081" w:name="_Toc11652261"/>
      <w:bookmarkStart w:id="1082" w:name="_Toc11652455"/>
      <w:bookmarkStart w:id="1083" w:name="_Toc11652648"/>
      <w:bookmarkStart w:id="1084" w:name="_Toc11652843"/>
      <w:bookmarkStart w:id="1085" w:name="_Toc11666033"/>
      <w:bookmarkStart w:id="1086" w:name="_Toc11671827"/>
      <w:bookmarkStart w:id="1087" w:name="_Toc11674548"/>
      <w:bookmarkStart w:id="1088" w:name="_Toc11674915"/>
      <w:bookmarkStart w:id="1089" w:name="_Toc10655880"/>
      <w:bookmarkStart w:id="1090" w:name="_Toc10656074"/>
      <w:bookmarkStart w:id="1091" w:name="_Toc11652068"/>
      <w:bookmarkStart w:id="1092" w:name="_Toc11652262"/>
      <w:bookmarkStart w:id="1093" w:name="_Toc11652456"/>
      <w:bookmarkStart w:id="1094" w:name="_Toc11652649"/>
      <w:bookmarkStart w:id="1095" w:name="_Toc11652844"/>
      <w:bookmarkStart w:id="1096" w:name="_Toc11666034"/>
      <w:bookmarkStart w:id="1097" w:name="_Toc11671828"/>
      <w:bookmarkStart w:id="1098" w:name="_Toc11674549"/>
      <w:bookmarkStart w:id="1099" w:name="_Toc11674916"/>
      <w:bookmarkStart w:id="1100" w:name="_Toc10655881"/>
      <w:bookmarkStart w:id="1101" w:name="_Toc10656075"/>
      <w:bookmarkStart w:id="1102" w:name="_Toc11652069"/>
      <w:bookmarkStart w:id="1103" w:name="_Toc11652263"/>
      <w:bookmarkStart w:id="1104" w:name="_Toc11652457"/>
      <w:bookmarkStart w:id="1105" w:name="_Toc11652650"/>
      <w:bookmarkStart w:id="1106" w:name="_Toc11652845"/>
      <w:bookmarkStart w:id="1107" w:name="_Toc11666035"/>
      <w:bookmarkStart w:id="1108" w:name="_Toc11671829"/>
      <w:bookmarkStart w:id="1109" w:name="_Toc11674550"/>
      <w:bookmarkStart w:id="1110" w:name="_Toc11674917"/>
      <w:bookmarkStart w:id="1111" w:name="_Toc10655882"/>
      <w:bookmarkStart w:id="1112" w:name="_Toc10656076"/>
      <w:bookmarkStart w:id="1113" w:name="_Toc11652070"/>
      <w:bookmarkStart w:id="1114" w:name="_Toc11652264"/>
      <w:bookmarkStart w:id="1115" w:name="_Toc11652458"/>
      <w:bookmarkStart w:id="1116" w:name="_Toc11652651"/>
      <w:bookmarkStart w:id="1117" w:name="_Toc11652846"/>
      <w:bookmarkStart w:id="1118" w:name="_Toc11666036"/>
      <w:bookmarkStart w:id="1119" w:name="_Toc11671830"/>
      <w:bookmarkStart w:id="1120" w:name="_Toc11674551"/>
      <w:bookmarkStart w:id="1121" w:name="_Toc11674918"/>
      <w:bookmarkStart w:id="1122" w:name="_Toc10655883"/>
      <w:bookmarkStart w:id="1123" w:name="_Toc10656077"/>
      <w:bookmarkStart w:id="1124" w:name="_Toc11652071"/>
      <w:bookmarkStart w:id="1125" w:name="_Toc11652265"/>
      <w:bookmarkStart w:id="1126" w:name="_Toc11652459"/>
      <w:bookmarkStart w:id="1127" w:name="_Toc11652652"/>
      <w:bookmarkStart w:id="1128" w:name="_Toc11652847"/>
      <w:bookmarkStart w:id="1129" w:name="_Toc11666037"/>
      <w:bookmarkStart w:id="1130" w:name="_Toc11671831"/>
      <w:bookmarkStart w:id="1131" w:name="_Toc11674552"/>
      <w:bookmarkStart w:id="1132" w:name="_Toc11674919"/>
      <w:bookmarkStart w:id="1133" w:name="_Toc10655884"/>
      <w:bookmarkStart w:id="1134" w:name="_Toc10656078"/>
      <w:bookmarkStart w:id="1135" w:name="_Toc11652072"/>
      <w:bookmarkStart w:id="1136" w:name="_Toc11652266"/>
      <w:bookmarkStart w:id="1137" w:name="_Toc11652460"/>
      <w:bookmarkStart w:id="1138" w:name="_Toc11652653"/>
      <w:bookmarkStart w:id="1139" w:name="_Toc11652848"/>
      <w:bookmarkStart w:id="1140" w:name="_Toc11666038"/>
      <w:bookmarkStart w:id="1141" w:name="_Toc11671832"/>
      <w:bookmarkStart w:id="1142" w:name="_Toc11674553"/>
      <w:bookmarkStart w:id="1143" w:name="_Toc11674920"/>
      <w:bookmarkStart w:id="1144" w:name="_Toc10655885"/>
      <w:bookmarkStart w:id="1145" w:name="_Toc10656079"/>
      <w:bookmarkStart w:id="1146" w:name="_Toc11652073"/>
      <w:bookmarkStart w:id="1147" w:name="_Toc11652267"/>
      <w:bookmarkStart w:id="1148" w:name="_Toc11652461"/>
      <w:bookmarkStart w:id="1149" w:name="_Toc11652654"/>
      <w:bookmarkStart w:id="1150" w:name="_Toc11652849"/>
      <w:bookmarkStart w:id="1151" w:name="_Toc11666039"/>
      <w:bookmarkStart w:id="1152" w:name="_Toc11671833"/>
      <w:bookmarkStart w:id="1153" w:name="_Toc11674554"/>
      <w:bookmarkStart w:id="1154" w:name="_Toc11674921"/>
      <w:bookmarkStart w:id="1155" w:name="_Toc10655886"/>
      <w:bookmarkStart w:id="1156" w:name="_Toc10656080"/>
      <w:bookmarkStart w:id="1157" w:name="_Toc11652074"/>
      <w:bookmarkStart w:id="1158" w:name="_Toc11652268"/>
      <w:bookmarkStart w:id="1159" w:name="_Toc11652462"/>
      <w:bookmarkStart w:id="1160" w:name="_Toc11652655"/>
      <w:bookmarkStart w:id="1161" w:name="_Toc11652850"/>
      <w:bookmarkStart w:id="1162" w:name="_Toc11666040"/>
      <w:bookmarkStart w:id="1163" w:name="_Toc11671834"/>
      <w:bookmarkStart w:id="1164" w:name="_Toc11674555"/>
      <w:bookmarkStart w:id="1165" w:name="_Toc11674922"/>
      <w:bookmarkStart w:id="1166" w:name="_Toc1718490"/>
      <w:bookmarkStart w:id="1167" w:name="_Toc1723269"/>
      <w:bookmarkStart w:id="1168" w:name="_Toc1730267"/>
      <w:bookmarkStart w:id="1169" w:name="_Toc1730503"/>
      <w:bookmarkStart w:id="1170" w:name="_Toc1745588"/>
      <w:bookmarkStart w:id="1171" w:name="_Toc1718491"/>
      <w:bookmarkStart w:id="1172" w:name="_Toc1723270"/>
      <w:bookmarkStart w:id="1173" w:name="_Toc1730268"/>
      <w:bookmarkStart w:id="1174" w:name="_Toc1730504"/>
      <w:bookmarkStart w:id="1175" w:name="_Toc1745589"/>
      <w:bookmarkStart w:id="1176" w:name="_Toc1718492"/>
      <w:bookmarkStart w:id="1177" w:name="_Toc1723271"/>
      <w:bookmarkStart w:id="1178" w:name="_Toc1730269"/>
      <w:bookmarkStart w:id="1179" w:name="_Toc1730505"/>
      <w:bookmarkStart w:id="1180" w:name="_Toc1745590"/>
      <w:bookmarkStart w:id="1181" w:name="_Toc1718493"/>
      <w:bookmarkStart w:id="1182" w:name="_Toc1723272"/>
      <w:bookmarkStart w:id="1183" w:name="_Toc1730270"/>
      <w:bookmarkStart w:id="1184" w:name="_Toc1730506"/>
      <w:bookmarkStart w:id="1185" w:name="_Toc1745591"/>
      <w:bookmarkStart w:id="1186" w:name="_Toc1718494"/>
      <w:bookmarkStart w:id="1187" w:name="_Toc1723273"/>
      <w:bookmarkStart w:id="1188" w:name="_Toc1730271"/>
      <w:bookmarkStart w:id="1189" w:name="_Toc1730507"/>
      <w:bookmarkStart w:id="1190" w:name="_Toc1745592"/>
      <w:bookmarkStart w:id="1191" w:name="_Toc1718495"/>
      <w:bookmarkStart w:id="1192" w:name="_Toc1723274"/>
      <w:bookmarkStart w:id="1193" w:name="_Toc1730272"/>
      <w:bookmarkStart w:id="1194" w:name="_Toc1730508"/>
      <w:bookmarkStart w:id="1195" w:name="_Toc1745593"/>
      <w:bookmarkStart w:id="1196" w:name="_Toc1718496"/>
      <w:bookmarkStart w:id="1197" w:name="_Toc1723275"/>
      <w:bookmarkStart w:id="1198" w:name="_Toc1730273"/>
      <w:bookmarkStart w:id="1199" w:name="_Toc1730509"/>
      <w:bookmarkStart w:id="1200" w:name="_Toc1745594"/>
      <w:bookmarkStart w:id="1201" w:name="_Toc1718497"/>
      <w:bookmarkStart w:id="1202" w:name="_Toc1723276"/>
      <w:bookmarkStart w:id="1203" w:name="_Toc1730274"/>
      <w:bookmarkStart w:id="1204" w:name="_Toc1730510"/>
      <w:bookmarkStart w:id="1205" w:name="_Toc1745595"/>
      <w:bookmarkStart w:id="1206" w:name="_Toc1718498"/>
      <w:bookmarkStart w:id="1207" w:name="_Toc1723277"/>
      <w:bookmarkStart w:id="1208" w:name="_Toc1730275"/>
      <w:bookmarkStart w:id="1209" w:name="_Toc1730511"/>
      <w:bookmarkStart w:id="1210" w:name="_Toc1745596"/>
      <w:bookmarkStart w:id="1211" w:name="_Toc1718499"/>
      <w:bookmarkStart w:id="1212" w:name="_Toc1723278"/>
      <w:bookmarkStart w:id="1213" w:name="_Toc1730276"/>
      <w:bookmarkStart w:id="1214" w:name="_Toc1730512"/>
      <w:bookmarkStart w:id="1215" w:name="_Toc1745597"/>
      <w:bookmarkStart w:id="1216" w:name="_Toc1718500"/>
      <w:bookmarkStart w:id="1217" w:name="_Toc1723279"/>
      <w:bookmarkStart w:id="1218" w:name="_Toc1730277"/>
      <w:bookmarkStart w:id="1219" w:name="_Toc1730513"/>
      <w:bookmarkStart w:id="1220" w:name="_Toc1745598"/>
      <w:bookmarkStart w:id="1221" w:name="_Toc1718501"/>
      <w:bookmarkStart w:id="1222" w:name="_Toc1723280"/>
      <w:bookmarkStart w:id="1223" w:name="_Toc1730278"/>
      <w:bookmarkStart w:id="1224" w:name="_Toc1730514"/>
      <w:bookmarkStart w:id="1225" w:name="_Toc1745599"/>
      <w:bookmarkStart w:id="1226" w:name="_Toc1718502"/>
      <w:bookmarkStart w:id="1227" w:name="_Toc1723281"/>
      <w:bookmarkStart w:id="1228" w:name="_Toc1730279"/>
      <w:bookmarkStart w:id="1229" w:name="_Toc1730515"/>
      <w:bookmarkStart w:id="1230" w:name="_Toc1745600"/>
      <w:bookmarkStart w:id="1231" w:name="_Toc1718503"/>
      <w:bookmarkStart w:id="1232" w:name="_Toc1723282"/>
      <w:bookmarkStart w:id="1233" w:name="_Toc1730280"/>
      <w:bookmarkStart w:id="1234" w:name="_Toc1730516"/>
      <w:bookmarkStart w:id="1235" w:name="_Toc1745601"/>
      <w:bookmarkStart w:id="1236" w:name="_Toc1718504"/>
      <w:bookmarkStart w:id="1237" w:name="_Toc1723283"/>
      <w:bookmarkStart w:id="1238" w:name="_Toc1730281"/>
      <w:bookmarkStart w:id="1239" w:name="_Toc1730517"/>
      <w:bookmarkStart w:id="1240" w:name="_Toc1745602"/>
      <w:bookmarkStart w:id="1241" w:name="_Toc1718505"/>
      <w:bookmarkStart w:id="1242" w:name="_Toc1723284"/>
      <w:bookmarkStart w:id="1243" w:name="_Toc1730282"/>
      <w:bookmarkStart w:id="1244" w:name="_Toc1730518"/>
      <w:bookmarkStart w:id="1245" w:name="_Toc1745603"/>
      <w:bookmarkStart w:id="1246" w:name="_Toc1718506"/>
      <w:bookmarkStart w:id="1247" w:name="_Toc1723285"/>
      <w:bookmarkStart w:id="1248" w:name="_Toc1730283"/>
      <w:bookmarkStart w:id="1249" w:name="_Toc1730519"/>
      <w:bookmarkStart w:id="1250" w:name="_Toc1745604"/>
      <w:bookmarkStart w:id="1251" w:name="_Toc1718507"/>
      <w:bookmarkStart w:id="1252" w:name="_Toc1723286"/>
      <w:bookmarkStart w:id="1253" w:name="_Toc1730284"/>
      <w:bookmarkStart w:id="1254" w:name="_Toc1730520"/>
      <w:bookmarkStart w:id="1255" w:name="_Toc1745605"/>
      <w:bookmarkStart w:id="1256" w:name="_Toc1718508"/>
      <w:bookmarkStart w:id="1257" w:name="_Toc1723287"/>
      <w:bookmarkStart w:id="1258" w:name="_Toc1730285"/>
      <w:bookmarkStart w:id="1259" w:name="_Toc1730521"/>
      <w:bookmarkStart w:id="1260" w:name="_Toc1745606"/>
      <w:bookmarkStart w:id="1261" w:name="_Toc1718509"/>
      <w:bookmarkStart w:id="1262" w:name="_Toc1723288"/>
      <w:bookmarkStart w:id="1263" w:name="_Toc1730286"/>
      <w:bookmarkStart w:id="1264" w:name="_Toc1730522"/>
      <w:bookmarkStart w:id="1265" w:name="_Toc1745607"/>
      <w:bookmarkStart w:id="1266" w:name="_Toc1718510"/>
      <w:bookmarkStart w:id="1267" w:name="_Toc1723289"/>
      <w:bookmarkStart w:id="1268" w:name="_Toc1730287"/>
      <w:bookmarkStart w:id="1269" w:name="_Toc1730523"/>
      <w:bookmarkStart w:id="1270" w:name="_Toc1745608"/>
      <w:bookmarkStart w:id="1271" w:name="_Toc1718511"/>
      <w:bookmarkStart w:id="1272" w:name="_Toc1723290"/>
      <w:bookmarkStart w:id="1273" w:name="_Toc1730288"/>
      <w:bookmarkStart w:id="1274" w:name="_Toc1730524"/>
      <w:bookmarkStart w:id="1275" w:name="_Toc1745609"/>
      <w:bookmarkStart w:id="1276" w:name="_Toc1718517"/>
      <w:bookmarkStart w:id="1277" w:name="_Toc1723296"/>
      <w:bookmarkStart w:id="1278" w:name="_Toc1730294"/>
      <w:bookmarkStart w:id="1279" w:name="_Toc1730530"/>
      <w:bookmarkStart w:id="1280" w:name="_Toc1745615"/>
      <w:bookmarkStart w:id="1281" w:name="_Toc1718597"/>
      <w:bookmarkStart w:id="1282" w:name="_Toc1723376"/>
      <w:bookmarkStart w:id="1283" w:name="_Toc1730374"/>
      <w:bookmarkStart w:id="1284" w:name="_Toc1730610"/>
      <w:bookmarkStart w:id="1285" w:name="_Toc1745695"/>
      <w:bookmarkStart w:id="1286" w:name="_Toc1718598"/>
      <w:bookmarkStart w:id="1287" w:name="_Toc1723377"/>
      <w:bookmarkStart w:id="1288" w:name="_Toc1730375"/>
      <w:bookmarkStart w:id="1289" w:name="_Toc1730611"/>
      <w:bookmarkStart w:id="1290" w:name="_Toc1745696"/>
      <w:bookmarkStart w:id="1291" w:name="_Toc1718599"/>
      <w:bookmarkStart w:id="1292" w:name="_Toc1723378"/>
      <w:bookmarkStart w:id="1293" w:name="_Toc1730376"/>
      <w:bookmarkStart w:id="1294" w:name="_Toc1730612"/>
      <w:bookmarkStart w:id="1295" w:name="_Toc1745697"/>
      <w:bookmarkStart w:id="1296" w:name="_Toc1718600"/>
      <w:bookmarkStart w:id="1297" w:name="_Toc1723379"/>
      <w:bookmarkStart w:id="1298" w:name="_Toc1730377"/>
      <w:bookmarkStart w:id="1299" w:name="_Toc1730613"/>
      <w:bookmarkStart w:id="1300" w:name="_Toc1745698"/>
      <w:bookmarkStart w:id="1301" w:name="_Toc1718601"/>
      <w:bookmarkStart w:id="1302" w:name="_Toc1723380"/>
      <w:bookmarkStart w:id="1303" w:name="_Toc1730378"/>
      <w:bookmarkStart w:id="1304" w:name="_Toc1730614"/>
      <w:bookmarkStart w:id="1305" w:name="_Toc1745699"/>
      <w:bookmarkStart w:id="1306" w:name="_Toc1718602"/>
      <w:bookmarkStart w:id="1307" w:name="_Toc1723381"/>
      <w:bookmarkStart w:id="1308" w:name="_Toc1730379"/>
      <w:bookmarkStart w:id="1309" w:name="_Toc1730615"/>
      <w:bookmarkStart w:id="1310" w:name="_Toc1745700"/>
      <w:bookmarkStart w:id="1311" w:name="_Toc1718603"/>
      <w:bookmarkStart w:id="1312" w:name="_Toc1723382"/>
      <w:bookmarkStart w:id="1313" w:name="_Toc1730380"/>
      <w:bookmarkStart w:id="1314" w:name="_Toc1730616"/>
      <w:bookmarkStart w:id="1315" w:name="_Toc1745701"/>
      <w:bookmarkStart w:id="1316" w:name="_Toc1718604"/>
      <w:bookmarkStart w:id="1317" w:name="_Toc1723383"/>
      <w:bookmarkStart w:id="1318" w:name="_Toc1730381"/>
      <w:bookmarkStart w:id="1319" w:name="_Toc1730617"/>
      <w:bookmarkStart w:id="1320" w:name="_Toc1745702"/>
      <w:bookmarkStart w:id="1321" w:name="_Toc1718605"/>
      <w:bookmarkStart w:id="1322" w:name="_Toc1723384"/>
      <w:bookmarkStart w:id="1323" w:name="_Toc1730382"/>
      <w:bookmarkStart w:id="1324" w:name="_Toc1730618"/>
      <w:bookmarkStart w:id="1325" w:name="_Toc1745703"/>
      <w:bookmarkStart w:id="1326" w:name="_Toc1718606"/>
      <w:bookmarkStart w:id="1327" w:name="_Toc1723385"/>
      <w:bookmarkStart w:id="1328" w:name="_Toc1730383"/>
      <w:bookmarkStart w:id="1329" w:name="_Toc1730619"/>
      <w:bookmarkStart w:id="1330" w:name="_Toc1745704"/>
      <w:bookmarkStart w:id="1331" w:name="_Toc1718607"/>
      <w:bookmarkStart w:id="1332" w:name="_Toc1723386"/>
      <w:bookmarkStart w:id="1333" w:name="_Toc1730384"/>
      <w:bookmarkStart w:id="1334" w:name="_Toc1730620"/>
      <w:bookmarkStart w:id="1335" w:name="_Toc1745705"/>
      <w:bookmarkStart w:id="1336" w:name="_Toc1718608"/>
      <w:bookmarkStart w:id="1337" w:name="_Toc1723387"/>
      <w:bookmarkStart w:id="1338" w:name="_Toc1730385"/>
      <w:bookmarkStart w:id="1339" w:name="_Toc1730621"/>
      <w:bookmarkStart w:id="1340" w:name="_Toc1745706"/>
      <w:bookmarkStart w:id="1341" w:name="_Toc1718609"/>
      <w:bookmarkStart w:id="1342" w:name="_Toc1723388"/>
      <w:bookmarkStart w:id="1343" w:name="_Toc1730386"/>
      <w:bookmarkStart w:id="1344" w:name="_Toc1730622"/>
      <w:bookmarkStart w:id="1345" w:name="_Toc1745707"/>
      <w:bookmarkStart w:id="1346" w:name="_Toc1718610"/>
      <w:bookmarkStart w:id="1347" w:name="_Toc1723389"/>
      <w:bookmarkStart w:id="1348" w:name="_Toc1730387"/>
      <w:bookmarkStart w:id="1349" w:name="_Toc1730623"/>
      <w:bookmarkStart w:id="1350" w:name="_Toc1745708"/>
      <w:bookmarkStart w:id="1351" w:name="_Toc1718611"/>
      <w:bookmarkStart w:id="1352" w:name="_Toc1723390"/>
      <w:bookmarkStart w:id="1353" w:name="_Toc1730388"/>
      <w:bookmarkStart w:id="1354" w:name="_Toc1730624"/>
      <w:bookmarkStart w:id="1355" w:name="_Toc1745709"/>
      <w:bookmarkStart w:id="1356" w:name="_Toc1718612"/>
      <w:bookmarkStart w:id="1357" w:name="_Toc1723391"/>
      <w:bookmarkStart w:id="1358" w:name="_Toc1730389"/>
      <w:bookmarkStart w:id="1359" w:name="_Toc1730625"/>
      <w:bookmarkStart w:id="1360" w:name="_Toc1745710"/>
      <w:bookmarkStart w:id="1361" w:name="_Toc1718613"/>
      <w:bookmarkStart w:id="1362" w:name="_Toc1723392"/>
      <w:bookmarkStart w:id="1363" w:name="_Toc1730390"/>
      <w:bookmarkStart w:id="1364" w:name="_Toc1730626"/>
      <w:bookmarkStart w:id="1365" w:name="_Toc1745711"/>
      <w:bookmarkStart w:id="1366" w:name="_Toc1718614"/>
      <w:bookmarkStart w:id="1367" w:name="_Toc1723393"/>
      <w:bookmarkStart w:id="1368" w:name="_Toc1730391"/>
      <w:bookmarkStart w:id="1369" w:name="_Toc1730627"/>
      <w:bookmarkStart w:id="1370" w:name="_Toc1745712"/>
      <w:bookmarkStart w:id="1371" w:name="_Toc1718615"/>
      <w:bookmarkStart w:id="1372" w:name="_Toc1723394"/>
      <w:bookmarkStart w:id="1373" w:name="_Toc1730392"/>
      <w:bookmarkStart w:id="1374" w:name="_Toc1730628"/>
      <w:bookmarkStart w:id="1375" w:name="_Toc1745713"/>
      <w:bookmarkStart w:id="1376" w:name="_Toc1718616"/>
      <w:bookmarkStart w:id="1377" w:name="_Toc1723395"/>
      <w:bookmarkStart w:id="1378" w:name="_Toc1730393"/>
      <w:bookmarkStart w:id="1379" w:name="_Toc1730629"/>
      <w:bookmarkStart w:id="1380" w:name="_Toc1745714"/>
      <w:bookmarkStart w:id="1381" w:name="_Toc1718617"/>
      <w:bookmarkStart w:id="1382" w:name="_Toc1723396"/>
      <w:bookmarkStart w:id="1383" w:name="_Toc1730394"/>
      <w:bookmarkStart w:id="1384" w:name="_Toc1730630"/>
      <w:bookmarkStart w:id="1385" w:name="_Toc1745715"/>
      <w:bookmarkStart w:id="1386" w:name="_Toc1718618"/>
      <w:bookmarkStart w:id="1387" w:name="_Toc1723397"/>
      <w:bookmarkStart w:id="1388" w:name="_Toc1730395"/>
      <w:bookmarkStart w:id="1389" w:name="_Toc1730631"/>
      <w:bookmarkStart w:id="1390" w:name="_Toc1745716"/>
      <w:bookmarkStart w:id="1391" w:name="_Toc1718619"/>
      <w:bookmarkStart w:id="1392" w:name="_Toc1723398"/>
      <w:bookmarkStart w:id="1393" w:name="_Toc1730396"/>
      <w:bookmarkStart w:id="1394" w:name="_Toc1730632"/>
      <w:bookmarkStart w:id="1395" w:name="_Toc1745717"/>
      <w:bookmarkStart w:id="1396" w:name="_Toc1718620"/>
      <w:bookmarkStart w:id="1397" w:name="_Toc1723399"/>
      <w:bookmarkStart w:id="1398" w:name="_Toc1730397"/>
      <w:bookmarkStart w:id="1399" w:name="_Toc1730633"/>
      <w:bookmarkStart w:id="1400" w:name="_Toc1745718"/>
      <w:bookmarkStart w:id="1401" w:name="_Toc1718621"/>
      <w:bookmarkStart w:id="1402" w:name="_Toc1723400"/>
      <w:bookmarkStart w:id="1403" w:name="_Toc1730398"/>
      <w:bookmarkStart w:id="1404" w:name="_Toc1730634"/>
      <w:bookmarkStart w:id="1405" w:name="_Toc1745719"/>
      <w:bookmarkStart w:id="1406" w:name="_Toc1718634"/>
      <w:bookmarkStart w:id="1407" w:name="_Toc1723413"/>
      <w:bookmarkStart w:id="1408" w:name="_Toc1730411"/>
      <w:bookmarkStart w:id="1409" w:name="_Toc1730647"/>
      <w:bookmarkStart w:id="1410" w:name="_Toc1745732"/>
      <w:bookmarkStart w:id="1411" w:name="_Toc1718635"/>
      <w:bookmarkStart w:id="1412" w:name="_Toc1723414"/>
      <w:bookmarkStart w:id="1413" w:name="_Toc1730412"/>
      <w:bookmarkStart w:id="1414" w:name="_Toc1730648"/>
      <w:bookmarkStart w:id="1415" w:name="_Toc1745733"/>
      <w:bookmarkStart w:id="1416" w:name="_Toc1718636"/>
      <w:bookmarkStart w:id="1417" w:name="_Toc1723415"/>
      <w:bookmarkStart w:id="1418" w:name="_Toc1730413"/>
      <w:bookmarkStart w:id="1419" w:name="_Toc1730649"/>
      <w:bookmarkStart w:id="1420" w:name="_Toc1745734"/>
      <w:bookmarkStart w:id="1421" w:name="_Toc1718637"/>
      <w:bookmarkStart w:id="1422" w:name="_Toc1723416"/>
      <w:bookmarkStart w:id="1423" w:name="_Toc1730414"/>
      <w:bookmarkStart w:id="1424" w:name="_Toc1730650"/>
      <w:bookmarkStart w:id="1425" w:name="_Toc1745735"/>
      <w:bookmarkStart w:id="1426" w:name="_Toc1718638"/>
      <w:bookmarkStart w:id="1427" w:name="_Toc1723417"/>
      <w:bookmarkStart w:id="1428" w:name="_Toc1730415"/>
      <w:bookmarkStart w:id="1429" w:name="_Toc1730651"/>
      <w:bookmarkStart w:id="1430" w:name="_Toc1745736"/>
      <w:bookmarkStart w:id="1431" w:name="_Toc1718639"/>
      <w:bookmarkStart w:id="1432" w:name="_Toc1723418"/>
      <w:bookmarkStart w:id="1433" w:name="_Toc1730416"/>
      <w:bookmarkStart w:id="1434" w:name="_Toc1730652"/>
      <w:bookmarkStart w:id="1435" w:name="_Toc1745737"/>
      <w:bookmarkStart w:id="1436" w:name="_Toc1718640"/>
      <w:bookmarkStart w:id="1437" w:name="_Toc1723419"/>
      <w:bookmarkStart w:id="1438" w:name="_Toc1730417"/>
      <w:bookmarkStart w:id="1439" w:name="_Toc1730653"/>
      <w:bookmarkStart w:id="1440" w:name="_Toc1745738"/>
      <w:bookmarkStart w:id="1441" w:name="_Toc1718659"/>
      <w:bookmarkStart w:id="1442" w:name="_Toc1723438"/>
      <w:bookmarkStart w:id="1443" w:name="_Toc1730436"/>
      <w:bookmarkStart w:id="1444" w:name="_Toc1730672"/>
      <w:bookmarkStart w:id="1445" w:name="_Toc1745757"/>
      <w:bookmarkStart w:id="1446" w:name="_Toc1718660"/>
      <w:bookmarkStart w:id="1447" w:name="_Toc1723439"/>
      <w:bookmarkStart w:id="1448" w:name="_Toc1730437"/>
      <w:bookmarkStart w:id="1449" w:name="_Toc1730673"/>
      <w:bookmarkStart w:id="1450" w:name="_Toc1745758"/>
      <w:bookmarkStart w:id="1451" w:name="_Toc1718661"/>
      <w:bookmarkStart w:id="1452" w:name="_Toc1723440"/>
      <w:bookmarkStart w:id="1453" w:name="_Toc1730438"/>
      <w:bookmarkStart w:id="1454" w:name="_Toc1730674"/>
      <w:bookmarkStart w:id="1455" w:name="_Toc1745759"/>
      <w:bookmarkStart w:id="1456" w:name="_Toc1718662"/>
      <w:bookmarkStart w:id="1457" w:name="_Toc1723441"/>
      <w:bookmarkStart w:id="1458" w:name="_Toc1730439"/>
      <w:bookmarkStart w:id="1459" w:name="_Toc1730675"/>
      <w:bookmarkStart w:id="1460" w:name="_Toc1745760"/>
      <w:bookmarkStart w:id="1461" w:name="_Toc1718663"/>
      <w:bookmarkStart w:id="1462" w:name="_Toc1723442"/>
      <w:bookmarkStart w:id="1463" w:name="_Toc1730440"/>
      <w:bookmarkStart w:id="1464" w:name="_Toc1730676"/>
      <w:bookmarkStart w:id="1465" w:name="_Toc1745761"/>
      <w:bookmarkStart w:id="1466" w:name="_Toc1718664"/>
      <w:bookmarkStart w:id="1467" w:name="_Toc1723443"/>
      <w:bookmarkStart w:id="1468" w:name="_Toc1730441"/>
      <w:bookmarkStart w:id="1469" w:name="_Toc1730677"/>
      <w:bookmarkStart w:id="1470" w:name="_Toc1745762"/>
      <w:bookmarkStart w:id="1471" w:name="_Toc1718665"/>
      <w:bookmarkStart w:id="1472" w:name="_Toc1723444"/>
      <w:bookmarkStart w:id="1473" w:name="_Toc1730442"/>
      <w:bookmarkStart w:id="1474" w:name="_Toc1730678"/>
      <w:bookmarkStart w:id="1475" w:name="_Toc1745763"/>
      <w:bookmarkStart w:id="1476" w:name="_Toc1718666"/>
      <w:bookmarkStart w:id="1477" w:name="_Toc1723445"/>
      <w:bookmarkStart w:id="1478" w:name="_Toc1730443"/>
      <w:bookmarkStart w:id="1479" w:name="_Toc1730679"/>
      <w:bookmarkStart w:id="1480" w:name="_Toc1745764"/>
      <w:bookmarkStart w:id="1481" w:name="_Toc1718667"/>
      <w:bookmarkStart w:id="1482" w:name="_Toc1723446"/>
      <w:bookmarkStart w:id="1483" w:name="_Toc1730444"/>
      <w:bookmarkStart w:id="1484" w:name="_Toc1730680"/>
      <w:bookmarkStart w:id="1485" w:name="_Toc1745765"/>
      <w:bookmarkStart w:id="1486" w:name="_Toc1718668"/>
      <w:bookmarkStart w:id="1487" w:name="_Toc1723447"/>
      <w:bookmarkStart w:id="1488" w:name="_Toc1730445"/>
      <w:bookmarkStart w:id="1489" w:name="_Toc1730681"/>
      <w:bookmarkStart w:id="1490" w:name="_Toc1745766"/>
      <w:bookmarkStart w:id="1491" w:name="_Toc1718669"/>
      <w:bookmarkStart w:id="1492" w:name="_Toc1723448"/>
      <w:bookmarkStart w:id="1493" w:name="_Toc1730446"/>
      <w:bookmarkStart w:id="1494" w:name="_Toc1730682"/>
      <w:bookmarkStart w:id="1495" w:name="_Toc1745767"/>
      <w:bookmarkStart w:id="1496" w:name="_Toc1718670"/>
      <w:bookmarkStart w:id="1497" w:name="_Toc1723449"/>
      <w:bookmarkStart w:id="1498" w:name="_Toc1730447"/>
      <w:bookmarkStart w:id="1499" w:name="_Toc1730683"/>
      <w:bookmarkStart w:id="1500" w:name="_Toc1745768"/>
      <w:bookmarkStart w:id="1501" w:name="_Toc1718671"/>
      <w:bookmarkStart w:id="1502" w:name="_Toc1723450"/>
      <w:bookmarkStart w:id="1503" w:name="_Toc1730448"/>
      <w:bookmarkStart w:id="1504" w:name="_Toc1730684"/>
      <w:bookmarkStart w:id="1505" w:name="_Toc1745769"/>
      <w:bookmarkStart w:id="1506" w:name="_Toc1718672"/>
      <w:bookmarkStart w:id="1507" w:name="_Toc1723451"/>
      <w:bookmarkStart w:id="1508" w:name="_Toc1730449"/>
      <w:bookmarkStart w:id="1509" w:name="_Toc1730685"/>
      <w:bookmarkStart w:id="1510" w:name="_Toc1745770"/>
      <w:bookmarkStart w:id="1511" w:name="_Toc1718673"/>
      <w:bookmarkStart w:id="1512" w:name="_Toc1723452"/>
      <w:bookmarkStart w:id="1513" w:name="_Toc1730450"/>
      <w:bookmarkStart w:id="1514" w:name="_Toc1730686"/>
      <w:bookmarkStart w:id="1515" w:name="_Toc1745771"/>
      <w:bookmarkStart w:id="1516" w:name="_Toc10655887"/>
      <w:bookmarkStart w:id="1517" w:name="_Toc10656081"/>
      <w:bookmarkStart w:id="1518" w:name="_Toc11652075"/>
      <w:bookmarkStart w:id="1519" w:name="_Toc11652269"/>
      <w:bookmarkStart w:id="1520" w:name="_Toc11652463"/>
      <w:bookmarkStart w:id="1521" w:name="_Toc11652656"/>
      <w:bookmarkStart w:id="1522" w:name="_Toc11652851"/>
      <w:bookmarkStart w:id="1523" w:name="_Toc11666041"/>
      <w:bookmarkStart w:id="1524" w:name="_Toc11671835"/>
      <w:bookmarkStart w:id="1525" w:name="_Toc11674556"/>
      <w:bookmarkStart w:id="1526" w:name="_Toc11674923"/>
      <w:bookmarkStart w:id="1527" w:name="_Toc10655888"/>
      <w:bookmarkStart w:id="1528" w:name="_Toc10656082"/>
      <w:bookmarkStart w:id="1529" w:name="_Toc11652076"/>
      <w:bookmarkStart w:id="1530" w:name="_Toc11652270"/>
      <w:bookmarkStart w:id="1531" w:name="_Toc11652464"/>
      <w:bookmarkStart w:id="1532" w:name="_Toc11652657"/>
      <w:bookmarkStart w:id="1533" w:name="_Toc11652852"/>
      <w:bookmarkStart w:id="1534" w:name="_Toc11666042"/>
      <w:bookmarkStart w:id="1535" w:name="_Toc11671836"/>
      <w:bookmarkStart w:id="1536" w:name="_Toc11674557"/>
      <w:bookmarkStart w:id="1537" w:name="_Toc11674924"/>
      <w:bookmarkStart w:id="1538" w:name="_Toc10655889"/>
      <w:bookmarkStart w:id="1539" w:name="_Toc10656083"/>
      <w:bookmarkStart w:id="1540" w:name="_Toc11652077"/>
      <w:bookmarkStart w:id="1541" w:name="_Toc11652271"/>
      <w:bookmarkStart w:id="1542" w:name="_Toc11652465"/>
      <w:bookmarkStart w:id="1543" w:name="_Toc11652658"/>
      <w:bookmarkStart w:id="1544" w:name="_Toc11652853"/>
      <w:bookmarkStart w:id="1545" w:name="_Toc11666043"/>
      <w:bookmarkStart w:id="1546" w:name="_Toc11671837"/>
      <w:bookmarkStart w:id="1547" w:name="_Toc11674558"/>
      <w:bookmarkStart w:id="1548" w:name="_Toc11674925"/>
      <w:bookmarkStart w:id="1549" w:name="_Toc10655890"/>
      <w:bookmarkStart w:id="1550" w:name="_Toc10656084"/>
      <w:bookmarkStart w:id="1551" w:name="_Toc11652078"/>
      <w:bookmarkStart w:id="1552" w:name="_Toc11652272"/>
      <w:bookmarkStart w:id="1553" w:name="_Toc11652466"/>
      <w:bookmarkStart w:id="1554" w:name="_Toc11652659"/>
      <w:bookmarkStart w:id="1555" w:name="_Toc11652854"/>
      <w:bookmarkStart w:id="1556" w:name="_Toc11666044"/>
      <w:bookmarkStart w:id="1557" w:name="_Toc11671838"/>
      <w:bookmarkStart w:id="1558" w:name="_Toc11674559"/>
      <w:bookmarkStart w:id="1559" w:name="_Toc11674926"/>
      <w:bookmarkStart w:id="1560" w:name="_Toc10655891"/>
      <w:bookmarkStart w:id="1561" w:name="_Toc10656085"/>
      <w:bookmarkStart w:id="1562" w:name="_Toc11652079"/>
      <w:bookmarkStart w:id="1563" w:name="_Toc11652273"/>
      <w:bookmarkStart w:id="1564" w:name="_Toc11652467"/>
      <w:bookmarkStart w:id="1565" w:name="_Toc11652660"/>
      <w:bookmarkStart w:id="1566" w:name="_Toc11652855"/>
      <w:bookmarkStart w:id="1567" w:name="_Toc11666045"/>
      <w:bookmarkStart w:id="1568" w:name="_Toc11671839"/>
      <w:bookmarkStart w:id="1569" w:name="_Toc11674560"/>
      <w:bookmarkStart w:id="1570" w:name="_Toc11674927"/>
      <w:bookmarkStart w:id="1571" w:name="_Toc10655892"/>
      <w:bookmarkStart w:id="1572" w:name="_Toc10656086"/>
      <w:bookmarkStart w:id="1573" w:name="_Toc11652080"/>
      <w:bookmarkStart w:id="1574" w:name="_Toc11652274"/>
      <w:bookmarkStart w:id="1575" w:name="_Toc11652468"/>
      <w:bookmarkStart w:id="1576" w:name="_Toc11652661"/>
      <w:bookmarkStart w:id="1577" w:name="_Toc11652856"/>
      <w:bookmarkStart w:id="1578" w:name="_Toc11666046"/>
      <w:bookmarkStart w:id="1579" w:name="_Toc11671840"/>
      <w:bookmarkStart w:id="1580" w:name="_Toc11674561"/>
      <w:bookmarkStart w:id="1581" w:name="_Toc11674928"/>
      <w:bookmarkStart w:id="1582" w:name="_Toc10655893"/>
      <w:bookmarkStart w:id="1583" w:name="_Toc10656087"/>
      <w:bookmarkStart w:id="1584" w:name="_Toc11652081"/>
      <w:bookmarkStart w:id="1585" w:name="_Toc11652275"/>
      <w:bookmarkStart w:id="1586" w:name="_Toc11652469"/>
      <w:bookmarkStart w:id="1587" w:name="_Toc11652662"/>
      <w:bookmarkStart w:id="1588" w:name="_Toc11652857"/>
      <w:bookmarkStart w:id="1589" w:name="_Toc11666047"/>
      <w:bookmarkStart w:id="1590" w:name="_Toc11671841"/>
      <w:bookmarkStart w:id="1591" w:name="_Toc11674562"/>
      <w:bookmarkStart w:id="1592" w:name="_Toc11674929"/>
      <w:bookmarkStart w:id="1593" w:name="_Toc10655894"/>
      <w:bookmarkStart w:id="1594" w:name="_Toc10656088"/>
      <w:bookmarkStart w:id="1595" w:name="_Toc11652082"/>
      <w:bookmarkStart w:id="1596" w:name="_Toc11652276"/>
      <w:bookmarkStart w:id="1597" w:name="_Toc11652470"/>
      <w:bookmarkStart w:id="1598" w:name="_Toc11652663"/>
      <w:bookmarkStart w:id="1599" w:name="_Toc11652858"/>
      <w:bookmarkStart w:id="1600" w:name="_Toc11666048"/>
      <w:bookmarkStart w:id="1601" w:name="_Toc11671842"/>
      <w:bookmarkStart w:id="1602" w:name="_Toc11674563"/>
      <w:bookmarkStart w:id="1603" w:name="_Toc11674930"/>
      <w:bookmarkStart w:id="1604" w:name="_Toc10655895"/>
      <w:bookmarkStart w:id="1605" w:name="_Toc10656089"/>
      <w:bookmarkStart w:id="1606" w:name="_Toc11652083"/>
      <w:bookmarkStart w:id="1607" w:name="_Toc11652277"/>
      <w:bookmarkStart w:id="1608" w:name="_Toc11652471"/>
      <w:bookmarkStart w:id="1609" w:name="_Toc11652664"/>
      <w:bookmarkStart w:id="1610" w:name="_Toc11652859"/>
      <w:bookmarkStart w:id="1611" w:name="_Toc11666049"/>
      <w:bookmarkStart w:id="1612" w:name="_Toc11671843"/>
      <w:bookmarkStart w:id="1613" w:name="_Toc11674564"/>
      <w:bookmarkStart w:id="1614" w:name="_Toc11674931"/>
      <w:bookmarkStart w:id="1615" w:name="_Toc10655896"/>
      <w:bookmarkStart w:id="1616" w:name="_Toc10656090"/>
      <w:bookmarkStart w:id="1617" w:name="_Toc11652084"/>
      <w:bookmarkStart w:id="1618" w:name="_Toc11652278"/>
      <w:bookmarkStart w:id="1619" w:name="_Toc11652472"/>
      <w:bookmarkStart w:id="1620" w:name="_Toc11652665"/>
      <w:bookmarkStart w:id="1621" w:name="_Toc11652860"/>
      <w:bookmarkStart w:id="1622" w:name="_Toc11666050"/>
      <w:bookmarkStart w:id="1623" w:name="_Toc11671844"/>
      <w:bookmarkStart w:id="1624" w:name="_Toc11674565"/>
      <w:bookmarkStart w:id="1625" w:name="_Toc11674932"/>
      <w:bookmarkStart w:id="1626" w:name="_Toc10655897"/>
      <w:bookmarkStart w:id="1627" w:name="_Toc10656091"/>
      <w:bookmarkStart w:id="1628" w:name="_Toc11652085"/>
      <w:bookmarkStart w:id="1629" w:name="_Toc11652279"/>
      <w:bookmarkStart w:id="1630" w:name="_Toc11652473"/>
      <w:bookmarkStart w:id="1631" w:name="_Toc11652666"/>
      <w:bookmarkStart w:id="1632" w:name="_Toc11652861"/>
      <w:bookmarkStart w:id="1633" w:name="_Toc11666051"/>
      <w:bookmarkStart w:id="1634" w:name="_Toc11671845"/>
      <w:bookmarkStart w:id="1635" w:name="_Toc11674566"/>
      <w:bookmarkStart w:id="1636" w:name="_Toc11674933"/>
      <w:bookmarkStart w:id="1637" w:name="_Toc10655898"/>
      <w:bookmarkStart w:id="1638" w:name="_Toc10656092"/>
      <w:bookmarkStart w:id="1639" w:name="_Toc11652086"/>
      <w:bookmarkStart w:id="1640" w:name="_Toc11652280"/>
      <w:bookmarkStart w:id="1641" w:name="_Toc11652474"/>
      <w:bookmarkStart w:id="1642" w:name="_Toc11652667"/>
      <w:bookmarkStart w:id="1643" w:name="_Toc11652862"/>
      <w:bookmarkStart w:id="1644" w:name="_Toc11666052"/>
      <w:bookmarkStart w:id="1645" w:name="_Toc11671846"/>
      <w:bookmarkStart w:id="1646" w:name="_Toc11674567"/>
      <w:bookmarkStart w:id="1647" w:name="_Toc11674934"/>
      <w:bookmarkStart w:id="1648" w:name="_Toc10655899"/>
      <w:bookmarkStart w:id="1649" w:name="_Toc10656093"/>
      <w:bookmarkStart w:id="1650" w:name="_Toc11652087"/>
      <w:bookmarkStart w:id="1651" w:name="_Toc11652281"/>
      <w:bookmarkStart w:id="1652" w:name="_Toc11652475"/>
      <w:bookmarkStart w:id="1653" w:name="_Toc11652668"/>
      <w:bookmarkStart w:id="1654" w:name="_Toc11652863"/>
      <w:bookmarkStart w:id="1655" w:name="_Toc11666053"/>
      <w:bookmarkStart w:id="1656" w:name="_Toc11671847"/>
      <w:bookmarkStart w:id="1657" w:name="_Toc11674568"/>
      <w:bookmarkStart w:id="1658" w:name="_Toc11674935"/>
      <w:bookmarkStart w:id="1659" w:name="_Toc10655900"/>
      <w:bookmarkStart w:id="1660" w:name="_Toc10656094"/>
      <w:bookmarkStart w:id="1661" w:name="_Toc11652088"/>
      <w:bookmarkStart w:id="1662" w:name="_Toc11652282"/>
      <w:bookmarkStart w:id="1663" w:name="_Toc11652476"/>
      <w:bookmarkStart w:id="1664" w:name="_Toc11652669"/>
      <w:bookmarkStart w:id="1665" w:name="_Toc11652864"/>
      <w:bookmarkStart w:id="1666" w:name="_Toc11666054"/>
      <w:bookmarkStart w:id="1667" w:name="_Toc11671848"/>
      <w:bookmarkStart w:id="1668" w:name="_Toc11674569"/>
      <w:bookmarkStart w:id="1669" w:name="_Toc11674936"/>
      <w:bookmarkStart w:id="1670" w:name="_Toc10655901"/>
      <w:bookmarkStart w:id="1671" w:name="_Toc10656095"/>
      <w:bookmarkStart w:id="1672" w:name="_Toc11652089"/>
      <w:bookmarkStart w:id="1673" w:name="_Toc11652283"/>
      <w:bookmarkStart w:id="1674" w:name="_Toc11652477"/>
      <w:bookmarkStart w:id="1675" w:name="_Toc11652670"/>
      <w:bookmarkStart w:id="1676" w:name="_Toc11652865"/>
      <w:bookmarkStart w:id="1677" w:name="_Toc11666055"/>
      <w:bookmarkStart w:id="1678" w:name="_Toc11671849"/>
      <w:bookmarkStart w:id="1679" w:name="_Toc11674570"/>
      <w:bookmarkStart w:id="1680" w:name="_Toc11674937"/>
      <w:bookmarkStart w:id="1681" w:name="_Toc10655902"/>
      <w:bookmarkStart w:id="1682" w:name="_Toc10656096"/>
      <w:bookmarkStart w:id="1683" w:name="_Toc11652090"/>
      <w:bookmarkStart w:id="1684" w:name="_Toc11652284"/>
      <w:bookmarkStart w:id="1685" w:name="_Toc11652478"/>
      <w:bookmarkStart w:id="1686" w:name="_Toc11652671"/>
      <w:bookmarkStart w:id="1687" w:name="_Toc11652866"/>
      <w:bookmarkStart w:id="1688" w:name="_Toc11666056"/>
      <w:bookmarkStart w:id="1689" w:name="_Toc11671850"/>
      <w:bookmarkStart w:id="1690" w:name="_Toc11674571"/>
      <w:bookmarkStart w:id="1691" w:name="_Toc11674938"/>
      <w:bookmarkStart w:id="1692" w:name="_Toc10655903"/>
      <w:bookmarkStart w:id="1693" w:name="_Toc10656097"/>
      <w:bookmarkStart w:id="1694" w:name="_Toc11652091"/>
      <w:bookmarkStart w:id="1695" w:name="_Toc11652285"/>
      <w:bookmarkStart w:id="1696" w:name="_Toc11652479"/>
      <w:bookmarkStart w:id="1697" w:name="_Toc11652672"/>
      <w:bookmarkStart w:id="1698" w:name="_Toc11652867"/>
      <w:bookmarkStart w:id="1699" w:name="_Toc11666057"/>
      <w:bookmarkStart w:id="1700" w:name="_Toc11671851"/>
      <w:bookmarkStart w:id="1701" w:name="_Toc11674572"/>
      <w:bookmarkStart w:id="1702" w:name="_Toc11674939"/>
      <w:bookmarkStart w:id="1703" w:name="_Toc10655904"/>
      <w:bookmarkStart w:id="1704" w:name="_Toc10656098"/>
      <w:bookmarkStart w:id="1705" w:name="_Toc11652092"/>
      <w:bookmarkStart w:id="1706" w:name="_Toc11652286"/>
      <w:bookmarkStart w:id="1707" w:name="_Toc11652480"/>
      <w:bookmarkStart w:id="1708" w:name="_Toc11652673"/>
      <w:bookmarkStart w:id="1709" w:name="_Toc11652868"/>
      <w:bookmarkStart w:id="1710" w:name="_Toc11666058"/>
      <w:bookmarkStart w:id="1711" w:name="_Toc11671852"/>
      <w:bookmarkStart w:id="1712" w:name="_Toc11674573"/>
      <w:bookmarkStart w:id="1713" w:name="_Toc11674940"/>
      <w:bookmarkStart w:id="1714" w:name="_Toc10655905"/>
      <w:bookmarkStart w:id="1715" w:name="_Toc10656099"/>
      <w:bookmarkStart w:id="1716" w:name="_Toc11652093"/>
      <w:bookmarkStart w:id="1717" w:name="_Toc11652287"/>
      <w:bookmarkStart w:id="1718" w:name="_Toc11652481"/>
      <w:bookmarkStart w:id="1719" w:name="_Toc11652674"/>
      <w:bookmarkStart w:id="1720" w:name="_Toc11652869"/>
      <w:bookmarkStart w:id="1721" w:name="_Toc11666059"/>
      <w:bookmarkStart w:id="1722" w:name="_Toc11671853"/>
      <w:bookmarkStart w:id="1723" w:name="_Toc11674574"/>
      <w:bookmarkStart w:id="1724" w:name="_Toc11674941"/>
      <w:bookmarkStart w:id="1725" w:name="_Toc10655906"/>
      <w:bookmarkStart w:id="1726" w:name="_Toc10656100"/>
      <w:bookmarkStart w:id="1727" w:name="_Toc11652094"/>
      <w:bookmarkStart w:id="1728" w:name="_Toc11652288"/>
      <w:bookmarkStart w:id="1729" w:name="_Toc11652482"/>
      <w:bookmarkStart w:id="1730" w:name="_Toc11652675"/>
      <w:bookmarkStart w:id="1731" w:name="_Toc11652870"/>
      <w:bookmarkStart w:id="1732" w:name="_Toc11666060"/>
      <w:bookmarkStart w:id="1733" w:name="_Toc11671854"/>
      <w:bookmarkStart w:id="1734" w:name="_Toc11674575"/>
      <w:bookmarkStart w:id="1735" w:name="_Toc11674942"/>
      <w:bookmarkStart w:id="1736" w:name="_Toc10655907"/>
      <w:bookmarkStart w:id="1737" w:name="_Toc10656101"/>
      <w:bookmarkStart w:id="1738" w:name="_Toc11652095"/>
      <w:bookmarkStart w:id="1739" w:name="_Toc11652289"/>
      <w:bookmarkStart w:id="1740" w:name="_Toc11652483"/>
      <w:bookmarkStart w:id="1741" w:name="_Toc11652676"/>
      <w:bookmarkStart w:id="1742" w:name="_Toc11652871"/>
      <w:bookmarkStart w:id="1743" w:name="_Toc11666061"/>
      <w:bookmarkStart w:id="1744" w:name="_Toc11671855"/>
      <w:bookmarkStart w:id="1745" w:name="_Toc11674576"/>
      <w:bookmarkStart w:id="1746" w:name="_Toc11674943"/>
      <w:bookmarkStart w:id="1747" w:name="_Toc10655908"/>
      <w:bookmarkStart w:id="1748" w:name="_Toc10656102"/>
      <w:bookmarkStart w:id="1749" w:name="_Toc11652096"/>
      <w:bookmarkStart w:id="1750" w:name="_Toc11652290"/>
      <w:bookmarkStart w:id="1751" w:name="_Toc11652484"/>
      <w:bookmarkStart w:id="1752" w:name="_Toc11652677"/>
      <w:bookmarkStart w:id="1753" w:name="_Toc11652872"/>
      <w:bookmarkStart w:id="1754" w:name="_Toc11666062"/>
      <w:bookmarkStart w:id="1755" w:name="_Toc11671856"/>
      <w:bookmarkStart w:id="1756" w:name="_Toc11674577"/>
      <w:bookmarkStart w:id="1757" w:name="_Toc11674944"/>
      <w:bookmarkStart w:id="1758" w:name="_Toc10655909"/>
      <w:bookmarkStart w:id="1759" w:name="_Toc10656103"/>
      <w:bookmarkStart w:id="1760" w:name="_Toc11652097"/>
      <w:bookmarkStart w:id="1761" w:name="_Toc11652291"/>
      <w:bookmarkStart w:id="1762" w:name="_Toc11652485"/>
      <w:bookmarkStart w:id="1763" w:name="_Toc11652678"/>
      <w:bookmarkStart w:id="1764" w:name="_Toc11652873"/>
      <w:bookmarkStart w:id="1765" w:name="_Toc11666063"/>
      <w:bookmarkStart w:id="1766" w:name="_Toc11671857"/>
      <w:bookmarkStart w:id="1767" w:name="_Toc11674578"/>
      <w:bookmarkStart w:id="1768" w:name="_Toc11674945"/>
      <w:bookmarkStart w:id="1769" w:name="_Toc10655910"/>
      <w:bookmarkStart w:id="1770" w:name="_Toc10656104"/>
      <w:bookmarkStart w:id="1771" w:name="_Toc11652098"/>
      <w:bookmarkStart w:id="1772" w:name="_Toc11652292"/>
      <w:bookmarkStart w:id="1773" w:name="_Toc11652486"/>
      <w:bookmarkStart w:id="1774" w:name="_Toc11652679"/>
      <w:bookmarkStart w:id="1775" w:name="_Toc11652874"/>
      <w:bookmarkStart w:id="1776" w:name="_Toc11666064"/>
      <w:bookmarkStart w:id="1777" w:name="_Toc11671858"/>
      <w:bookmarkStart w:id="1778" w:name="_Toc11674579"/>
      <w:bookmarkStart w:id="1779" w:name="_Toc11674946"/>
      <w:bookmarkStart w:id="1780" w:name="_Toc10655911"/>
      <w:bookmarkStart w:id="1781" w:name="_Toc10656105"/>
      <w:bookmarkStart w:id="1782" w:name="_Toc11652099"/>
      <w:bookmarkStart w:id="1783" w:name="_Toc11652293"/>
      <w:bookmarkStart w:id="1784" w:name="_Toc11652487"/>
      <w:bookmarkStart w:id="1785" w:name="_Toc11652680"/>
      <w:bookmarkStart w:id="1786" w:name="_Toc11652875"/>
      <w:bookmarkStart w:id="1787" w:name="_Toc11666065"/>
      <w:bookmarkStart w:id="1788" w:name="_Toc11671859"/>
      <w:bookmarkStart w:id="1789" w:name="_Toc11674580"/>
      <w:bookmarkStart w:id="1790" w:name="_Toc11674947"/>
      <w:bookmarkStart w:id="1791" w:name="_Toc10655912"/>
      <w:bookmarkStart w:id="1792" w:name="_Toc10656106"/>
      <w:bookmarkStart w:id="1793" w:name="_Toc11652100"/>
      <w:bookmarkStart w:id="1794" w:name="_Toc11652294"/>
      <w:bookmarkStart w:id="1795" w:name="_Toc11652488"/>
      <w:bookmarkStart w:id="1796" w:name="_Toc11652681"/>
      <w:bookmarkStart w:id="1797" w:name="_Toc11652876"/>
      <w:bookmarkStart w:id="1798" w:name="_Toc11666066"/>
      <w:bookmarkStart w:id="1799" w:name="_Toc11671860"/>
      <w:bookmarkStart w:id="1800" w:name="_Toc11674581"/>
      <w:bookmarkStart w:id="1801" w:name="_Toc11674948"/>
      <w:bookmarkStart w:id="1802" w:name="_Toc10655913"/>
      <w:bookmarkStart w:id="1803" w:name="_Toc10656107"/>
      <w:bookmarkStart w:id="1804" w:name="_Toc11652101"/>
      <w:bookmarkStart w:id="1805" w:name="_Toc11652295"/>
      <w:bookmarkStart w:id="1806" w:name="_Toc11652489"/>
      <w:bookmarkStart w:id="1807" w:name="_Toc11652682"/>
      <w:bookmarkStart w:id="1808" w:name="_Toc11652877"/>
      <w:bookmarkStart w:id="1809" w:name="_Toc11666067"/>
      <w:bookmarkStart w:id="1810" w:name="_Toc11671861"/>
      <w:bookmarkStart w:id="1811" w:name="_Toc11674582"/>
      <w:bookmarkStart w:id="1812" w:name="_Toc11674949"/>
      <w:bookmarkStart w:id="1813" w:name="_Toc10655914"/>
      <w:bookmarkStart w:id="1814" w:name="_Toc10656108"/>
      <w:bookmarkStart w:id="1815" w:name="_Toc11652102"/>
      <w:bookmarkStart w:id="1816" w:name="_Toc11652296"/>
      <w:bookmarkStart w:id="1817" w:name="_Toc11652490"/>
      <w:bookmarkStart w:id="1818" w:name="_Toc11652683"/>
      <w:bookmarkStart w:id="1819" w:name="_Toc11652878"/>
      <w:bookmarkStart w:id="1820" w:name="_Toc11666068"/>
      <w:bookmarkStart w:id="1821" w:name="_Toc11671862"/>
      <w:bookmarkStart w:id="1822" w:name="_Toc11674583"/>
      <w:bookmarkStart w:id="1823" w:name="_Toc11674950"/>
      <w:bookmarkStart w:id="1824" w:name="_Toc10655915"/>
      <w:bookmarkStart w:id="1825" w:name="_Toc10656109"/>
      <w:bookmarkStart w:id="1826" w:name="_Toc11652103"/>
      <w:bookmarkStart w:id="1827" w:name="_Toc11652297"/>
      <w:bookmarkStart w:id="1828" w:name="_Toc11652491"/>
      <w:bookmarkStart w:id="1829" w:name="_Toc11652684"/>
      <w:bookmarkStart w:id="1830" w:name="_Toc11652879"/>
      <w:bookmarkStart w:id="1831" w:name="_Toc11666069"/>
      <w:bookmarkStart w:id="1832" w:name="_Toc11671863"/>
      <w:bookmarkStart w:id="1833" w:name="_Toc11674584"/>
      <w:bookmarkStart w:id="1834" w:name="_Toc11674951"/>
      <w:bookmarkStart w:id="1835" w:name="_Toc10655916"/>
      <w:bookmarkStart w:id="1836" w:name="_Toc10656110"/>
      <w:bookmarkStart w:id="1837" w:name="_Toc11652104"/>
      <w:bookmarkStart w:id="1838" w:name="_Toc11652298"/>
      <w:bookmarkStart w:id="1839" w:name="_Toc11652492"/>
      <w:bookmarkStart w:id="1840" w:name="_Toc11652685"/>
      <w:bookmarkStart w:id="1841" w:name="_Toc11652880"/>
      <w:bookmarkStart w:id="1842" w:name="_Toc11666070"/>
      <w:bookmarkStart w:id="1843" w:name="_Toc11671864"/>
      <w:bookmarkStart w:id="1844" w:name="_Toc11674585"/>
      <w:bookmarkStart w:id="1845" w:name="_Toc11674952"/>
      <w:bookmarkStart w:id="1846" w:name="_Toc10655917"/>
      <w:bookmarkStart w:id="1847" w:name="_Toc10656111"/>
      <w:bookmarkStart w:id="1848" w:name="_Toc11652105"/>
      <w:bookmarkStart w:id="1849" w:name="_Toc11652299"/>
      <w:bookmarkStart w:id="1850" w:name="_Toc11652493"/>
      <w:bookmarkStart w:id="1851" w:name="_Toc11652686"/>
      <w:bookmarkStart w:id="1852" w:name="_Toc11652881"/>
      <w:bookmarkStart w:id="1853" w:name="_Toc11666071"/>
      <w:bookmarkStart w:id="1854" w:name="_Toc11671865"/>
      <w:bookmarkStart w:id="1855" w:name="_Toc11674586"/>
      <w:bookmarkStart w:id="1856" w:name="_Toc11674953"/>
      <w:bookmarkStart w:id="1857" w:name="_Toc10655918"/>
      <w:bookmarkStart w:id="1858" w:name="_Toc10656112"/>
      <w:bookmarkStart w:id="1859" w:name="_Toc11652106"/>
      <w:bookmarkStart w:id="1860" w:name="_Toc11652300"/>
      <w:bookmarkStart w:id="1861" w:name="_Toc11652494"/>
      <w:bookmarkStart w:id="1862" w:name="_Toc11652687"/>
      <w:bookmarkStart w:id="1863" w:name="_Toc11652882"/>
      <w:bookmarkStart w:id="1864" w:name="_Toc11666072"/>
      <w:bookmarkStart w:id="1865" w:name="_Toc11671866"/>
      <w:bookmarkStart w:id="1866" w:name="_Toc11674587"/>
      <w:bookmarkStart w:id="1867" w:name="_Toc11674954"/>
      <w:bookmarkStart w:id="1868" w:name="_Toc10655919"/>
      <w:bookmarkStart w:id="1869" w:name="_Toc10656113"/>
      <w:bookmarkStart w:id="1870" w:name="_Toc11652107"/>
      <w:bookmarkStart w:id="1871" w:name="_Toc11652301"/>
      <w:bookmarkStart w:id="1872" w:name="_Toc11652495"/>
      <w:bookmarkStart w:id="1873" w:name="_Toc11652688"/>
      <w:bookmarkStart w:id="1874" w:name="_Toc11652883"/>
      <w:bookmarkStart w:id="1875" w:name="_Toc11666073"/>
      <w:bookmarkStart w:id="1876" w:name="_Toc11671867"/>
      <w:bookmarkStart w:id="1877" w:name="_Toc11674588"/>
      <w:bookmarkStart w:id="1878" w:name="_Toc11674955"/>
      <w:bookmarkStart w:id="1879" w:name="_Toc10655920"/>
      <w:bookmarkStart w:id="1880" w:name="_Toc10656114"/>
      <w:bookmarkStart w:id="1881" w:name="_Toc11652108"/>
      <w:bookmarkStart w:id="1882" w:name="_Toc11652302"/>
      <w:bookmarkStart w:id="1883" w:name="_Toc11652496"/>
      <w:bookmarkStart w:id="1884" w:name="_Toc11652689"/>
      <w:bookmarkStart w:id="1885" w:name="_Toc11652884"/>
      <w:bookmarkStart w:id="1886" w:name="_Toc11666074"/>
      <w:bookmarkStart w:id="1887" w:name="_Toc11671868"/>
      <w:bookmarkStart w:id="1888" w:name="_Toc11674589"/>
      <w:bookmarkStart w:id="1889" w:name="_Toc11674956"/>
      <w:bookmarkStart w:id="1890" w:name="_Toc10655921"/>
      <w:bookmarkStart w:id="1891" w:name="_Toc10656115"/>
      <w:bookmarkStart w:id="1892" w:name="_Toc11652109"/>
      <w:bookmarkStart w:id="1893" w:name="_Toc11652303"/>
      <w:bookmarkStart w:id="1894" w:name="_Toc11652497"/>
      <w:bookmarkStart w:id="1895" w:name="_Toc11652690"/>
      <w:bookmarkStart w:id="1896" w:name="_Toc11652885"/>
      <w:bookmarkStart w:id="1897" w:name="_Toc11666075"/>
      <w:bookmarkStart w:id="1898" w:name="_Toc11671869"/>
      <w:bookmarkStart w:id="1899" w:name="_Toc11674590"/>
      <w:bookmarkStart w:id="1900" w:name="_Toc11674957"/>
      <w:bookmarkStart w:id="1901" w:name="_Toc10655922"/>
      <w:bookmarkStart w:id="1902" w:name="_Toc10656116"/>
      <w:bookmarkStart w:id="1903" w:name="_Toc11652110"/>
      <w:bookmarkStart w:id="1904" w:name="_Toc11652304"/>
      <w:bookmarkStart w:id="1905" w:name="_Toc11652498"/>
      <w:bookmarkStart w:id="1906" w:name="_Toc11652691"/>
      <w:bookmarkStart w:id="1907" w:name="_Toc11652886"/>
      <w:bookmarkStart w:id="1908" w:name="_Toc11666076"/>
      <w:bookmarkStart w:id="1909" w:name="_Toc11671870"/>
      <w:bookmarkStart w:id="1910" w:name="_Toc11674591"/>
      <w:bookmarkStart w:id="1911" w:name="_Toc11674958"/>
      <w:bookmarkStart w:id="1912" w:name="_Toc10655923"/>
      <w:bookmarkStart w:id="1913" w:name="_Toc10656117"/>
      <w:bookmarkStart w:id="1914" w:name="_Toc11652111"/>
      <w:bookmarkStart w:id="1915" w:name="_Toc11652305"/>
      <w:bookmarkStart w:id="1916" w:name="_Toc11652499"/>
      <w:bookmarkStart w:id="1917" w:name="_Toc11652692"/>
      <w:bookmarkStart w:id="1918" w:name="_Toc11652887"/>
      <w:bookmarkStart w:id="1919" w:name="_Toc11666077"/>
      <w:bookmarkStart w:id="1920" w:name="_Toc11671871"/>
      <w:bookmarkStart w:id="1921" w:name="_Toc11674592"/>
      <w:bookmarkStart w:id="1922" w:name="_Toc11674959"/>
      <w:bookmarkStart w:id="1923" w:name="_Toc8492110"/>
      <w:bookmarkStart w:id="1924" w:name="_Toc8492246"/>
      <w:bookmarkStart w:id="1925" w:name="_Toc10655924"/>
      <w:bookmarkStart w:id="1926" w:name="_Toc10656118"/>
      <w:bookmarkStart w:id="1927" w:name="_Toc11652112"/>
      <w:bookmarkStart w:id="1928" w:name="_Toc11652306"/>
      <w:bookmarkStart w:id="1929" w:name="_Toc11652500"/>
      <w:bookmarkStart w:id="1930" w:name="_Toc11652693"/>
      <w:bookmarkStart w:id="1931" w:name="_Toc11652888"/>
      <w:bookmarkStart w:id="1932" w:name="_Toc11666078"/>
      <w:bookmarkStart w:id="1933" w:name="_Toc11671872"/>
      <w:bookmarkStart w:id="1934" w:name="_Toc11674593"/>
      <w:bookmarkStart w:id="1935" w:name="_Toc11674960"/>
      <w:bookmarkStart w:id="1936" w:name="_Toc10655925"/>
      <w:bookmarkStart w:id="1937" w:name="_Toc10656119"/>
      <w:bookmarkStart w:id="1938" w:name="_Toc11652113"/>
      <w:bookmarkStart w:id="1939" w:name="_Toc11652307"/>
      <w:bookmarkStart w:id="1940" w:name="_Toc11652501"/>
      <w:bookmarkStart w:id="1941" w:name="_Toc11652694"/>
      <w:bookmarkStart w:id="1942" w:name="_Toc11652889"/>
      <w:bookmarkStart w:id="1943" w:name="_Toc11666079"/>
      <w:bookmarkStart w:id="1944" w:name="_Toc11671873"/>
      <w:bookmarkStart w:id="1945" w:name="_Toc11674594"/>
      <w:bookmarkStart w:id="1946" w:name="_Toc11674961"/>
      <w:bookmarkStart w:id="1947" w:name="_Toc10655926"/>
      <w:bookmarkStart w:id="1948" w:name="_Toc10656120"/>
      <w:bookmarkStart w:id="1949" w:name="_Toc11652114"/>
      <w:bookmarkStart w:id="1950" w:name="_Toc11652308"/>
      <w:bookmarkStart w:id="1951" w:name="_Toc11652502"/>
      <w:bookmarkStart w:id="1952" w:name="_Toc11652695"/>
      <w:bookmarkStart w:id="1953" w:name="_Toc11652890"/>
      <w:bookmarkStart w:id="1954" w:name="_Toc11666080"/>
      <w:bookmarkStart w:id="1955" w:name="_Toc11671874"/>
      <w:bookmarkStart w:id="1956" w:name="_Toc11674595"/>
      <w:bookmarkStart w:id="1957" w:name="_Toc11674962"/>
      <w:bookmarkStart w:id="1958" w:name="_Toc10655927"/>
      <w:bookmarkStart w:id="1959" w:name="_Toc10656121"/>
      <w:bookmarkStart w:id="1960" w:name="_Toc11652115"/>
      <w:bookmarkStart w:id="1961" w:name="_Toc11652309"/>
      <w:bookmarkStart w:id="1962" w:name="_Toc11652503"/>
      <w:bookmarkStart w:id="1963" w:name="_Toc11652696"/>
      <w:bookmarkStart w:id="1964" w:name="_Toc11652891"/>
      <w:bookmarkStart w:id="1965" w:name="_Toc11666081"/>
      <w:bookmarkStart w:id="1966" w:name="_Toc11671875"/>
      <w:bookmarkStart w:id="1967" w:name="_Toc11674596"/>
      <w:bookmarkStart w:id="1968" w:name="_Toc11674963"/>
      <w:bookmarkStart w:id="1969" w:name="_Toc10655928"/>
      <w:bookmarkStart w:id="1970" w:name="_Toc10656122"/>
      <w:bookmarkStart w:id="1971" w:name="_Toc11652116"/>
      <w:bookmarkStart w:id="1972" w:name="_Toc11652310"/>
      <w:bookmarkStart w:id="1973" w:name="_Toc11652504"/>
      <w:bookmarkStart w:id="1974" w:name="_Toc11652697"/>
      <w:bookmarkStart w:id="1975" w:name="_Toc11652892"/>
      <w:bookmarkStart w:id="1976" w:name="_Toc11666082"/>
      <w:bookmarkStart w:id="1977" w:name="_Toc11671876"/>
      <w:bookmarkStart w:id="1978" w:name="_Toc11674597"/>
      <w:bookmarkStart w:id="1979" w:name="_Toc11674964"/>
      <w:bookmarkStart w:id="1980" w:name="_Toc10655929"/>
      <w:bookmarkStart w:id="1981" w:name="_Toc10656123"/>
      <w:bookmarkStart w:id="1982" w:name="_Toc11652117"/>
      <w:bookmarkStart w:id="1983" w:name="_Toc11652311"/>
      <w:bookmarkStart w:id="1984" w:name="_Toc11652505"/>
      <w:bookmarkStart w:id="1985" w:name="_Toc11652698"/>
      <w:bookmarkStart w:id="1986" w:name="_Toc11652893"/>
      <w:bookmarkStart w:id="1987" w:name="_Toc11666083"/>
      <w:bookmarkStart w:id="1988" w:name="_Toc11671877"/>
      <w:bookmarkStart w:id="1989" w:name="_Toc11674598"/>
      <w:bookmarkStart w:id="1990" w:name="_Toc11674965"/>
      <w:bookmarkStart w:id="1991" w:name="_Toc10655930"/>
      <w:bookmarkStart w:id="1992" w:name="_Toc10656124"/>
      <w:bookmarkStart w:id="1993" w:name="_Toc11652118"/>
      <w:bookmarkStart w:id="1994" w:name="_Toc11652312"/>
      <w:bookmarkStart w:id="1995" w:name="_Toc11652506"/>
      <w:bookmarkStart w:id="1996" w:name="_Toc11652699"/>
      <w:bookmarkStart w:id="1997" w:name="_Toc11652894"/>
      <w:bookmarkStart w:id="1998" w:name="_Toc11666084"/>
      <w:bookmarkStart w:id="1999" w:name="_Toc11671878"/>
      <w:bookmarkStart w:id="2000" w:name="_Toc11674599"/>
      <w:bookmarkStart w:id="2001" w:name="_Toc11674966"/>
      <w:bookmarkStart w:id="2002" w:name="_Toc10655931"/>
      <w:bookmarkStart w:id="2003" w:name="_Toc10656125"/>
      <w:bookmarkStart w:id="2004" w:name="_Toc11652119"/>
      <w:bookmarkStart w:id="2005" w:name="_Toc11652313"/>
      <w:bookmarkStart w:id="2006" w:name="_Toc11652507"/>
      <w:bookmarkStart w:id="2007" w:name="_Toc11652700"/>
      <w:bookmarkStart w:id="2008" w:name="_Toc11652895"/>
      <w:bookmarkStart w:id="2009" w:name="_Toc11666085"/>
      <w:bookmarkStart w:id="2010" w:name="_Toc11671879"/>
      <w:bookmarkStart w:id="2011" w:name="_Toc11674600"/>
      <w:bookmarkStart w:id="2012" w:name="_Toc11674967"/>
      <w:bookmarkStart w:id="2013" w:name="_Toc10655932"/>
      <w:bookmarkStart w:id="2014" w:name="_Toc10656126"/>
      <w:bookmarkStart w:id="2015" w:name="_Toc11652120"/>
      <w:bookmarkStart w:id="2016" w:name="_Toc11652314"/>
      <w:bookmarkStart w:id="2017" w:name="_Toc11652508"/>
      <w:bookmarkStart w:id="2018" w:name="_Toc11652701"/>
      <w:bookmarkStart w:id="2019" w:name="_Toc11652896"/>
      <w:bookmarkStart w:id="2020" w:name="_Toc11666086"/>
      <w:bookmarkStart w:id="2021" w:name="_Toc11671880"/>
      <w:bookmarkStart w:id="2022" w:name="_Toc11674601"/>
      <w:bookmarkStart w:id="2023" w:name="_Toc11674968"/>
      <w:bookmarkStart w:id="2024" w:name="_Toc10655933"/>
      <w:bookmarkStart w:id="2025" w:name="_Toc10656127"/>
      <w:bookmarkStart w:id="2026" w:name="_Toc11652121"/>
      <w:bookmarkStart w:id="2027" w:name="_Toc11652315"/>
      <w:bookmarkStart w:id="2028" w:name="_Toc11652509"/>
      <w:bookmarkStart w:id="2029" w:name="_Toc11652702"/>
      <w:bookmarkStart w:id="2030" w:name="_Toc11652897"/>
      <w:bookmarkStart w:id="2031" w:name="_Toc11666087"/>
      <w:bookmarkStart w:id="2032" w:name="_Toc11671881"/>
      <w:bookmarkStart w:id="2033" w:name="_Toc11674602"/>
      <w:bookmarkStart w:id="2034" w:name="_Toc11674969"/>
      <w:bookmarkStart w:id="2035" w:name="_Toc10655934"/>
      <w:bookmarkStart w:id="2036" w:name="_Toc10656128"/>
      <w:bookmarkStart w:id="2037" w:name="_Toc11652122"/>
      <w:bookmarkStart w:id="2038" w:name="_Toc11652316"/>
      <w:bookmarkStart w:id="2039" w:name="_Toc11652510"/>
      <w:bookmarkStart w:id="2040" w:name="_Toc11652703"/>
      <w:bookmarkStart w:id="2041" w:name="_Toc11652898"/>
      <w:bookmarkStart w:id="2042" w:name="_Toc11666088"/>
      <w:bookmarkStart w:id="2043" w:name="_Toc11671882"/>
      <w:bookmarkStart w:id="2044" w:name="_Toc11674603"/>
      <w:bookmarkStart w:id="2045" w:name="_Toc11674970"/>
      <w:bookmarkStart w:id="2046" w:name="_Toc10655935"/>
      <w:bookmarkStart w:id="2047" w:name="_Toc10656129"/>
      <w:bookmarkStart w:id="2048" w:name="_Toc11652123"/>
      <w:bookmarkStart w:id="2049" w:name="_Toc11652317"/>
      <w:bookmarkStart w:id="2050" w:name="_Toc11652511"/>
      <w:bookmarkStart w:id="2051" w:name="_Toc11652704"/>
      <w:bookmarkStart w:id="2052" w:name="_Toc11652899"/>
      <w:bookmarkStart w:id="2053" w:name="_Toc11666089"/>
      <w:bookmarkStart w:id="2054" w:name="_Toc11671883"/>
      <w:bookmarkStart w:id="2055" w:name="_Toc11674604"/>
      <w:bookmarkStart w:id="2056" w:name="_Toc11674971"/>
      <w:bookmarkStart w:id="2057" w:name="_Toc10655936"/>
      <w:bookmarkStart w:id="2058" w:name="_Toc10656130"/>
      <w:bookmarkStart w:id="2059" w:name="_Toc11652124"/>
      <w:bookmarkStart w:id="2060" w:name="_Toc11652318"/>
      <w:bookmarkStart w:id="2061" w:name="_Toc11652512"/>
      <w:bookmarkStart w:id="2062" w:name="_Toc11652705"/>
      <w:bookmarkStart w:id="2063" w:name="_Toc11652900"/>
      <w:bookmarkStart w:id="2064" w:name="_Toc11666090"/>
      <w:bookmarkStart w:id="2065" w:name="_Toc11671884"/>
      <w:bookmarkStart w:id="2066" w:name="_Toc11674605"/>
      <w:bookmarkStart w:id="2067" w:name="_Toc11674972"/>
      <w:bookmarkStart w:id="2068" w:name="_Toc10655937"/>
      <w:bookmarkStart w:id="2069" w:name="_Toc10656131"/>
      <w:bookmarkStart w:id="2070" w:name="_Toc11652125"/>
      <w:bookmarkStart w:id="2071" w:name="_Toc11652319"/>
      <w:bookmarkStart w:id="2072" w:name="_Toc11652513"/>
      <w:bookmarkStart w:id="2073" w:name="_Toc11652706"/>
      <w:bookmarkStart w:id="2074" w:name="_Toc11652901"/>
      <w:bookmarkStart w:id="2075" w:name="_Toc11666091"/>
      <w:bookmarkStart w:id="2076" w:name="_Toc11671885"/>
      <w:bookmarkStart w:id="2077" w:name="_Toc11674606"/>
      <w:bookmarkStart w:id="2078" w:name="_Toc11674973"/>
      <w:bookmarkStart w:id="2079" w:name="_Toc10655938"/>
      <w:bookmarkStart w:id="2080" w:name="_Toc10656132"/>
      <w:bookmarkStart w:id="2081" w:name="_Toc11652126"/>
      <w:bookmarkStart w:id="2082" w:name="_Toc11652320"/>
      <w:bookmarkStart w:id="2083" w:name="_Toc11652514"/>
      <w:bookmarkStart w:id="2084" w:name="_Toc11652707"/>
      <w:bookmarkStart w:id="2085" w:name="_Toc11652902"/>
      <w:bookmarkStart w:id="2086" w:name="_Toc11666092"/>
      <w:bookmarkStart w:id="2087" w:name="_Toc11671886"/>
      <w:bookmarkStart w:id="2088" w:name="_Toc11674607"/>
      <w:bookmarkStart w:id="2089" w:name="_Toc11674974"/>
      <w:bookmarkStart w:id="2090" w:name="_Toc10655939"/>
      <w:bookmarkStart w:id="2091" w:name="_Toc10656133"/>
      <w:bookmarkStart w:id="2092" w:name="_Toc11652127"/>
      <w:bookmarkStart w:id="2093" w:name="_Toc11652321"/>
      <w:bookmarkStart w:id="2094" w:name="_Toc11652515"/>
      <w:bookmarkStart w:id="2095" w:name="_Toc11652708"/>
      <w:bookmarkStart w:id="2096" w:name="_Toc11652903"/>
      <w:bookmarkStart w:id="2097" w:name="_Toc11666093"/>
      <w:bookmarkStart w:id="2098" w:name="_Toc11671887"/>
      <w:bookmarkStart w:id="2099" w:name="_Toc11674608"/>
      <w:bookmarkStart w:id="2100" w:name="_Toc11674975"/>
      <w:bookmarkStart w:id="2101" w:name="_Toc10655940"/>
      <w:bookmarkStart w:id="2102" w:name="_Toc10656134"/>
      <w:bookmarkStart w:id="2103" w:name="_Toc11652128"/>
      <w:bookmarkStart w:id="2104" w:name="_Toc11652322"/>
      <w:bookmarkStart w:id="2105" w:name="_Toc11652516"/>
      <w:bookmarkStart w:id="2106" w:name="_Toc11652709"/>
      <w:bookmarkStart w:id="2107" w:name="_Toc11652904"/>
      <w:bookmarkStart w:id="2108" w:name="_Toc11666094"/>
      <w:bookmarkStart w:id="2109" w:name="_Toc11671888"/>
      <w:bookmarkStart w:id="2110" w:name="_Toc11674609"/>
      <w:bookmarkStart w:id="2111" w:name="_Toc11674976"/>
      <w:bookmarkStart w:id="2112" w:name="_Toc10655941"/>
      <w:bookmarkStart w:id="2113" w:name="_Toc10656135"/>
      <w:bookmarkStart w:id="2114" w:name="_Toc11652129"/>
      <w:bookmarkStart w:id="2115" w:name="_Toc11652323"/>
      <w:bookmarkStart w:id="2116" w:name="_Toc11652517"/>
      <w:bookmarkStart w:id="2117" w:name="_Toc11652710"/>
      <w:bookmarkStart w:id="2118" w:name="_Toc11652905"/>
      <w:bookmarkStart w:id="2119" w:name="_Toc11666095"/>
      <w:bookmarkStart w:id="2120" w:name="_Toc11671889"/>
      <w:bookmarkStart w:id="2121" w:name="_Toc11674610"/>
      <w:bookmarkStart w:id="2122" w:name="_Toc11674977"/>
      <w:bookmarkStart w:id="2123" w:name="_Toc10655942"/>
      <w:bookmarkStart w:id="2124" w:name="_Toc10656136"/>
      <w:bookmarkStart w:id="2125" w:name="_Toc11652130"/>
      <w:bookmarkStart w:id="2126" w:name="_Toc11652324"/>
      <w:bookmarkStart w:id="2127" w:name="_Toc11652518"/>
      <w:bookmarkStart w:id="2128" w:name="_Toc11652711"/>
      <w:bookmarkStart w:id="2129" w:name="_Toc11652906"/>
      <w:bookmarkStart w:id="2130" w:name="_Toc11666096"/>
      <w:bookmarkStart w:id="2131" w:name="_Toc11671890"/>
      <w:bookmarkStart w:id="2132" w:name="_Toc11674611"/>
      <w:bookmarkStart w:id="2133" w:name="_Toc11674978"/>
      <w:bookmarkStart w:id="2134" w:name="_Toc10655943"/>
      <w:bookmarkStart w:id="2135" w:name="_Toc10656137"/>
      <w:bookmarkStart w:id="2136" w:name="_Toc11652131"/>
      <w:bookmarkStart w:id="2137" w:name="_Toc11652325"/>
      <w:bookmarkStart w:id="2138" w:name="_Toc11652519"/>
      <w:bookmarkStart w:id="2139" w:name="_Toc11652712"/>
      <w:bookmarkStart w:id="2140" w:name="_Toc11652907"/>
      <w:bookmarkStart w:id="2141" w:name="_Toc11666097"/>
      <w:bookmarkStart w:id="2142" w:name="_Toc11671891"/>
      <w:bookmarkStart w:id="2143" w:name="_Toc11674612"/>
      <w:bookmarkStart w:id="2144" w:name="_Toc11674979"/>
      <w:bookmarkStart w:id="2145" w:name="_Toc10655944"/>
      <w:bookmarkStart w:id="2146" w:name="_Toc10656138"/>
      <w:bookmarkStart w:id="2147" w:name="_Toc11652132"/>
      <w:bookmarkStart w:id="2148" w:name="_Toc11652326"/>
      <w:bookmarkStart w:id="2149" w:name="_Toc11652520"/>
      <w:bookmarkStart w:id="2150" w:name="_Toc11652713"/>
      <w:bookmarkStart w:id="2151" w:name="_Toc11652908"/>
      <w:bookmarkStart w:id="2152" w:name="_Toc11666098"/>
      <w:bookmarkStart w:id="2153" w:name="_Toc11671892"/>
      <w:bookmarkStart w:id="2154" w:name="_Toc11674613"/>
      <w:bookmarkStart w:id="2155" w:name="_Toc11674980"/>
      <w:bookmarkStart w:id="2156" w:name="_Toc10655945"/>
      <w:bookmarkStart w:id="2157" w:name="_Toc10656139"/>
      <w:bookmarkStart w:id="2158" w:name="_Toc11652133"/>
      <w:bookmarkStart w:id="2159" w:name="_Toc11652327"/>
      <w:bookmarkStart w:id="2160" w:name="_Toc11652521"/>
      <w:bookmarkStart w:id="2161" w:name="_Toc11652714"/>
      <w:bookmarkStart w:id="2162" w:name="_Toc11652909"/>
      <w:bookmarkStart w:id="2163" w:name="_Toc11666099"/>
      <w:bookmarkStart w:id="2164" w:name="_Toc11671893"/>
      <w:bookmarkStart w:id="2165" w:name="_Toc11674614"/>
      <w:bookmarkStart w:id="2166" w:name="_Toc11674981"/>
      <w:bookmarkStart w:id="2167" w:name="_Toc10655946"/>
      <w:bookmarkStart w:id="2168" w:name="_Toc10656140"/>
      <w:bookmarkStart w:id="2169" w:name="_Toc11652134"/>
      <w:bookmarkStart w:id="2170" w:name="_Toc11652328"/>
      <w:bookmarkStart w:id="2171" w:name="_Toc11652522"/>
      <w:bookmarkStart w:id="2172" w:name="_Toc11652715"/>
      <w:bookmarkStart w:id="2173" w:name="_Toc11652910"/>
      <w:bookmarkStart w:id="2174" w:name="_Toc11666100"/>
      <w:bookmarkStart w:id="2175" w:name="_Toc11671894"/>
      <w:bookmarkStart w:id="2176" w:name="_Toc11674615"/>
      <w:bookmarkStart w:id="2177" w:name="_Toc11674982"/>
      <w:bookmarkStart w:id="2178" w:name="_Toc10655947"/>
      <w:bookmarkStart w:id="2179" w:name="_Toc10656141"/>
      <w:bookmarkStart w:id="2180" w:name="_Toc11652135"/>
      <w:bookmarkStart w:id="2181" w:name="_Toc11652329"/>
      <w:bookmarkStart w:id="2182" w:name="_Toc11652523"/>
      <w:bookmarkStart w:id="2183" w:name="_Toc11652716"/>
      <w:bookmarkStart w:id="2184" w:name="_Toc11652911"/>
      <w:bookmarkStart w:id="2185" w:name="_Toc11666101"/>
      <w:bookmarkStart w:id="2186" w:name="_Toc11671895"/>
      <w:bookmarkStart w:id="2187" w:name="_Toc11674616"/>
      <w:bookmarkStart w:id="2188" w:name="_Toc11674983"/>
      <w:bookmarkStart w:id="2189" w:name="_Toc10655948"/>
      <w:bookmarkStart w:id="2190" w:name="_Toc10656142"/>
      <w:bookmarkStart w:id="2191" w:name="_Toc11652136"/>
      <w:bookmarkStart w:id="2192" w:name="_Toc11652330"/>
      <w:bookmarkStart w:id="2193" w:name="_Toc11652524"/>
      <w:bookmarkStart w:id="2194" w:name="_Toc11652717"/>
      <w:bookmarkStart w:id="2195" w:name="_Toc11652912"/>
      <w:bookmarkStart w:id="2196" w:name="_Toc11666102"/>
      <w:bookmarkStart w:id="2197" w:name="_Toc11671896"/>
      <w:bookmarkStart w:id="2198" w:name="_Toc11674617"/>
      <w:bookmarkStart w:id="2199" w:name="_Toc11674984"/>
      <w:bookmarkStart w:id="2200" w:name="_Toc10655949"/>
      <w:bookmarkStart w:id="2201" w:name="_Toc10656143"/>
      <w:bookmarkStart w:id="2202" w:name="_Toc11652137"/>
      <w:bookmarkStart w:id="2203" w:name="_Toc11652331"/>
      <w:bookmarkStart w:id="2204" w:name="_Toc11652525"/>
      <w:bookmarkStart w:id="2205" w:name="_Toc11652718"/>
      <w:bookmarkStart w:id="2206" w:name="_Toc11652913"/>
      <w:bookmarkStart w:id="2207" w:name="_Toc11666103"/>
      <w:bookmarkStart w:id="2208" w:name="_Toc11671897"/>
      <w:bookmarkStart w:id="2209" w:name="_Toc11674618"/>
      <w:bookmarkStart w:id="2210" w:name="_Toc11674985"/>
      <w:bookmarkStart w:id="2211" w:name="_Toc10655950"/>
      <w:bookmarkStart w:id="2212" w:name="_Toc10656144"/>
      <w:bookmarkStart w:id="2213" w:name="_Toc11652138"/>
      <w:bookmarkStart w:id="2214" w:name="_Toc11652332"/>
      <w:bookmarkStart w:id="2215" w:name="_Toc11652526"/>
      <w:bookmarkStart w:id="2216" w:name="_Toc11652719"/>
      <w:bookmarkStart w:id="2217" w:name="_Toc11652914"/>
      <w:bookmarkStart w:id="2218" w:name="_Toc11666104"/>
      <w:bookmarkStart w:id="2219" w:name="_Toc11671898"/>
      <w:bookmarkStart w:id="2220" w:name="_Toc11674619"/>
      <w:bookmarkStart w:id="2221" w:name="_Toc11674986"/>
      <w:bookmarkStart w:id="2222" w:name="_Toc10655951"/>
      <w:bookmarkStart w:id="2223" w:name="_Toc10656145"/>
      <w:bookmarkStart w:id="2224" w:name="_Toc11652139"/>
      <w:bookmarkStart w:id="2225" w:name="_Toc11652333"/>
      <w:bookmarkStart w:id="2226" w:name="_Toc11652527"/>
      <w:bookmarkStart w:id="2227" w:name="_Toc11652720"/>
      <w:bookmarkStart w:id="2228" w:name="_Toc11652915"/>
      <w:bookmarkStart w:id="2229" w:name="_Toc11666105"/>
      <w:bookmarkStart w:id="2230" w:name="_Toc11671899"/>
      <w:bookmarkStart w:id="2231" w:name="_Toc11674620"/>
      <w:bookmarkStart w:id="2232" w:name="_Toc11674987"/>
      <w:bookmarkStart w:id="2233" w:name="_Toc10655952"/>
      <w:bookmarkStart w:id="2234" w:name="_Toc10656146"/>
      <w:bookmarkStart w:id="2235" w:name="_Toc11652140"/>
      <w:bookmarkStart w:id="2236" w:name="_Toc11652334"/>
      <w:bookmarkStart w:id="2237" w:name="_Toc11652528"/>
      <w:bookmarkStart w:id="2238" w:name="_Toc11652721"/>
      <w:bookmarkStart w:id="2239" w:name="_Toc11652916"/>
      <w:bookmarkStart w:id="2240" w:name="_Toc11666106"/>
      <w:bookmarkStart w:id="2241" w:name="_Toc11671900"/>
      <w:bookmarkStart w:id="2242" w:name="_Toc11674621"/>
      <w:bookmarkStart w:id="2243" w:name="_Toc11674988"/>
      <w:bookmarkStart w:id="2244" w:name="_Toc11674989"/>
      <w:bookmarkStart w:id="2245" w:name="_Toc207673735"/>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bookmarkEnd w:id="2018"/>
      <w:bookmarkEnd w:id="2019"/>
      <w:bookmarkEnd w:id="2020"/>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bookmarkEnd w:id="2055"/>
      <w:bookmarkEnd w:id="2056"/>
      <w:bookmarkEnd w:id="2057"/>
      <w:bookmarkEnd w:id="2058"/>
      <w:bookmarkEnd w:id="2059"/>
      <w:bookmarkEnd w:id="2060"/>
      <w:bookmarkEnd w:id="2061"/>
      <w:bookmarkEnd w:id="2062"/>
      <w:bookmarkEnd w:id="2063"/>
      <w:bookmarkEnd w:id="2064"/>
      <w:bookmarkEnd w:id="2065"/>
      <w:bookmarkEnd w:id="2066"/>
      <w:bookmarkEnd w:id="2067"/>
      <w:bookmarkEnd w:id="2068"/>
      <w:bookmarkEnd w:id="2069"/>
      <w:bookmarkEnd w:id="2070"/>
      <w:bookmarkEnd w:id="2071"/>
      <w:bookmarkEnd w:id="2072"/>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098"/>
      <w:bookmarkEnd w:id="2099"/>
      <w:bookmarkEnd w:id="2100"/>
      <w:bookmarkEnd w:id="2101"/>
      <w:bookmarkEnd w:id="2102"/>
      <w:bookmarkEnd w:id="2103"/>
      <w:bookmarkEnd w:id="2104"/>
      <w:bookmarkEnd w:id="2105"/>
      <w:bookmarkEnd w:id="2106"/>
      <w:bookmarkEnd w:id="2107"/>
      <w:bookmarkEnd w:id="2108"/>
      <w:bookmarkEnd w:id="2109"/>
      <w:bookmarkEnd w:id="2110"/>
      <w:bookmarkEnd w:id="2111"/>
      <w:bookmarkEnd w:id="2112"/>
      <w:bookmarkEnd w:id="2113"/>
      <w:bookmarkEnd w:id="2114"/>
      <w:bookmarkEnd w:id="2115"/>
      <w:bookmarkEnd w:id="2116"/>
      <w:bookmarkEnd w:id="2117"/>
      <w:bookmarkEnd w:id="2118"/>
      <w:bookmarkEnd w:id="2119"/>
      <w:bookmarkEnd w:id="2120"/>
      <w:bookmarkEnd w:id="2121"/>
      <w:bookmarkEnd w:id="2122"/>
      <w:bookmarkEnd w:id="2123"/>
      <w:bookmarkEnd w:id="2124"/>
      <w:bookmarkEnd w:id="2125"/>
      <w:bookmarkEnd w:id="2126"/>
      <w:bookmarkEnd w:id="2127"/>
      <w:bookmarkEnd w:id="2128"/>
      <w:bookmarkEnd w:id="2129"/>
      <w:bookmarkEnd w:id="2130"/>
      <w:bookmarkEnd w:id="2131"/>
      <w:bookmarkEnd w:id="2132"/>
      <w:bookmarkEnd w:id="2133"/>
      <w:bookmarkEnd w:id="2134"/>
      <w:bookmarkEnd w:id="2135"/>
      <w:bookmarkEnd w:id="2136"/>
      <w:bookmarkEnd w:id="2137"/>
      <w:bookmarkEnd w:id="2138"/>
      <w:bookmarkEnd w:id="2139"/>
      <w:bookmarkEnd w:id="2140"/>
      <w:bookmarkEnd w:id="2141"/>
      <w:bookmarkEnd w:id="2142"/>
      <w:bookmarkEnd w:id="2143"/>
      <w:bookmarkEnd w:id="2144"/>
      <w:bookmarkEnd w:id="2145"/>
      <w:bookmarkEnd w:id="2146"/>
      <w:bookmarkEnd w:id="2147"/>
      <w:bookmarkEnd w:id="2148"/>
      <w:bookmarkEnd w:id="2149"/>
      <w:bookmarkEnd w:id="2150"/>
      <w:bookmarkEnd w:id="2151"/>
      <w:bookmarkEnd w:id="2152"/>
      <w:bookmarkEnd w:id="2153"/>
      <w:bookmarkEnd w:id="2154"/>
      <w:bookmarkEnd w:id="2155"/>
      <w:bookmarkEnd w:id="2156"/>
      <w:bookmarkEnd w:id="2157"/>
      <w:bookmarkEnd w:id="2158"/>
      <w:bookmarkEnd w:id="2159"/>
      <w:bookmarkEnd w:id="2160"/>
      <w:bookmarkEnd w:id="2161"/>
      <w:bookmarkEnd w:id="2162"/>
      <w:bookmarkEnd w:id="2163"/>
      <w:bookmarkEnd w:id="2164"/>
      <w:bookmarkEnd w:id="2165"/>
      <w:bookmarkEnd w:id="2166"/>
      <w:bookmarkEnd w:id="2167"/>
      <w:bookmarkEnd w:id="2168"/>
      <w:bookmarkEnd w:id="2169"/>
      <w:bookmarkEnd w:id="2170"/>
      <w:bookmarkEnd w:id="2171"/>
      <w:bookmarkEnd w:id="2172"/>
      <w:bookmarkEnd w:id="2173"/>
      <w:bookmarkEnd w:id="2174"/>
      <w:bookmarkEnd w:id="2175"/>
      <w:bookmarkEnd w:id="2176"/>
      <w:bookmarkEnd w:id="2177"/>
      <w:bookmarkEnd w:id="2178"/>
      <w:bookmarkEnd w:id="2179"/>
      <w:bookmarkEnd w:id="2180"/>
      <w:bookmarkEnd w:id="2181"/>
      <w:bookmarkEnd w:id="2182"/>
      <w:bookmarkEnd w:id="2183"/>
      <w:bookmarkEnd w:id="2184"/>
      <w:bookmarkEnd w:id="2185"/>
      <w:bookmarkEnd w:id="2186"/>
      <w:bookmarkEnd w:id="2187"/>
      <w:bookmarkEnd w:id="2188"/>
      <w:bookmarkEnd w:id="2189"/>
      <w:bookmarkEnd w:id="2190"/>
      <w:bookmarkEnd w:id="2191"/>
      <w:bookmarkEnd w:id="2192"/>
      <w:bookmarkEnd w:id="2193"/>
      <w:bookmarkEnd w:id="2194"/>
      <w:bookmarkEnd w:id="2195"/>
      <w:bookmarkEnd w:id="2196"/>
      <w:bookmarkEnd w:id="2197"/>
      <w:bookmarkEnd w:id="2198"/>
      <w:bookmarkEnd w:id="2199"/>
      <w:bookmarkEnd w:id="2200"/>
      <w:bookmarkEnd w:id="2201"/>
      <w:bookmarkEnd w:id="2202"/>
      <w:bookmarkEnd w:id="2203"/>
      <w:bookmarkEnd w:id="2204"/>
      <w:bookmarkEnd w:id="2205"/>
      <w:bookmarkEnd w:id="2206"/>
      <w:bookmarkEnd w:id="2207"/>
      <w:bookmarkEnd w:id="2208"/>
      <w:bookmarkEnd w:id="2209"/>
      <w:bookmarkEnd w:id="2210"/>
      <w:bookmarkEnd w:id="2211"/>
      <w:bookmarkEnd w:id="2212"/>
      <w:bookmarkEnd w:id="2213"/>
      <w:bookmarkEnd w:id="2214"/>
      <w:bookmarkEnd w:id="2215"/>
      <w:bookmarkEnd w:id="2216"/>
      <w:bookmarkEnd w:id="2217"/>
      <w:bookmarkEnd w:id="2218"/>
      <w:bookmarkEnd w:id="2219"/>
      <w:bookmarkEnd w:id="2220"/>
      <w:bookmarkEnd w:id="2221"/>
      <w:bookmarkEnd w:id="2222"/>
      <w:bookmarkEnd w:id="2223"/>
      <w:bookmarkEnd w:id="2224"/>
      <w:bookmarkEnd w:id="2225"/>
      <w:bookmarkEnd w:id="2226"/>
      <w:bookmarkEnd w:id="2227"/>
      <w:bookmarkEnd w:id="2228"/>
      <w:bookmarkEnd w:id="2229"/>
      <w:bookmarkEnd w:id="2230"/>
      <w:bookmarkEnd w:id="2231"/>
      <w:bookmarkEnd w:id="2232"/>
      <w:bookmarkEnd w:id="2233"/>
      <w:bookmarkEnd w:id="2234"/>
      <w:bookmarkEnd w:id="2235"/>
      <w:bookmarkEnd w:id="2236"/>
      <w:bookmarkEnd w:id="2237"/>
      <w:bookmarkEnd w:id="2238"/>
      <w:bookmarkEnd w:id="2239"/>
      <w:bookmarkEnd w:id="2240"/>
      <w:bookmarkEnd w:id="2241"/>
      <w:bookmarkEnd w:id="2242"/>
      <w:bookmarkEnd w:id="2243"/>
    </w:p>
    <w:p w14:paraId="3A2F7C8F" w14:textId="77777777" w:rsidR="0010027E" w:rsidRPr="003C5DE8" w:rsidRDefault="0010027E" w:rsidP="003C5DE8">
      <w:pPr>
        <w:suppressAutoHyphens/>
        <w:adjustRightInd w:val="0"/>
        <w:ind w:left="567" w:hanging="567"/>
        <w:jc w:val="both"/>
        <w:rPr>
          <w:rFonts w:ascii="Arial Narrow" w:hAnsi="Arial Narrow" w:cs="Arial"/>
          <w:color w:val="000000" w:themeColor="text1"/>
          <w:sz w:val="26"/>
          <w:szCs w:val="26"/>
          <w:lang w:val="es-CO" w:eastAsia="ar-SA"/>
        </w:rPr>
      </w:pPr>
    </w:p>
    <w:p w14:paraId="4ACA3A16" w14:textId="77777777" w:rsidR="0010027E" w:rsidRPr="003C5DE8" w:rsidRDefault="0010027E" w:rsidP="003C5DE8">
      <w:pPr>
        <w:pStyle w:val="Ttulo2"/>
        <w:numPr>
          <w:ilvl w:val="1"/>
          <w:numId w:val="13"/>
        </w:numPr>
        <w:spacing w:before="0"/>
        <w:ind w:left="567" w:hanging="567"/>
        <w:jc w:val="both"/>
        <w:rPr>
          <w:rFonts w:ascii="Arial Narrow" w:hAnsi="Arial Narrow"/>
          <w:b/>
          <w:color w:val="000000" w:themeColor="text1"/>
          <w:lang w:val="es-CO" w:eastAsia="ar-SA"/>
        </w:rPr>
      </w:pPr>
      <w:bookmarkStart w:id="2246" w:name="_Toc30143399"/>
      <w:bookmarkStart w:id="2247" w:name="_Toc56498222"/>
      <w:bookmarkStart w:id="2248" w:name="_Toc97966924"/>
      <w:r w:rsidRPr="003C5DE8">
        <w:rPr>
          <w:rFonts w:ascii="Arial Narrow" w:hAnsi="Arial Narrow"/>
          <w:color w:val="000000" w:themeColor="text1"/>
          <w:lang w:val="es-CO" w:eastAsia="ar-SA"/>
        </w:rPr>
        <w:t>RECAUDOS DE CRÉDITOS A TRAVÉS DE DEUDORAS PATRONALES</w:t>
      </w:r>
      <w:bookmarkEnd w:id="2246"/>
      <w:bookmarkEnd w:id="2247"/>
      <w:bookmarkEnd w:id="2248"/>
    </w:p>
    <w:p w14:paraId="4B234A6A" w14:textId="77777777" w:rsidR="0010027E" w:rsidRPr="003C5DE8" w:rsidRDefault="0010027E" w:rsidP="003C5DE8">
      <w:pPr>
        <w:suppressAutoHyphens/>
        <w:adjustRightInd w:val="0"/>
        <w:ind w:left="567" w:hanging="567"/>
        <w:jc w:val="both"/>
        <w:rPr>
          <w:rFonts w:ascii="Arial Narrow" w:hAnsi="Arial Narrow" w:cs="Arial"/>
          <w:b/>
          <w:bCs/>
          <w:color w:val="000000" w:themeColor="text1"/>
          <w:sz w:val="26"/>
          <w:szCs w:val="26"/>
          <w:lang w:val="es-CO" w:eastAsia="ar-SA"/>
        </w:rPr>
      </w:pPr>
    </w:p>
    <w:p w14:paraId="23EA97FB" w14:textId="23A88126" w:rsidR="0010027E" w:rsidRPr="003C5DE8" w:rsidRDefault="0010027E" w:rsidP="003C5DE8">
      <w:pPr>
        <w:suppressAutoHyphens/>
        <w:adjustRightInd w:val="0"/>
        <w:contextualSpacing/>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 xml:space="preserve">En los créditos que se recaudan por libranza, se debe tener en cuenta que, si la deudora patronal registra una mora superior a 30 días en el pago de los valores descontados a los asociados, se deberá evaluar el convenio de la libranza e informar inmediatamente al deudor, quien es el responsable de la obligación ante </w:t>
      </w:r>
      <w:r w:rsidR="009A4C18">
        <w:rPr>
          <w:rFonts w:ascii="Arial Narrow" w:hAnsi="Arial Narrow" w:cs="Arial"/>
          <w:color w:val="000000" w:themeColor="text1"/>
          <w:sz w:val="26"/>
          <w:szCs w:val="26"/>
          <w:lang w:val="es-CO" w:eastAsia="ar-SA"/>
        </w:rPr>
        <w:t>FONDEJEMPLO</w:t>
      </w:r>
      <w:r w:rsidRPr="003C5DE8">
        <w:rPr>
          <w:rFonts w:ascii="Arial Narrow" w:hAnsi="Arial Narrow" w:cs="Arial"/>
          <w:color w:val="000000" w:themeColor="text1"/>
          <w:sz w:val="26"/>
          <w:szCs w:val="26"/>
          <w:lang w:val="es-CO" w:eastAsia="ar-SA"/>
        </w:rPr>
        <w:t>; a partir de esa fecha, se deberá iniciar la calificación individual del crédito de conformidad con lo señalado en el presente capitulo y aplicar las reglas de deterioro dependiendo la modalidad de crédito.</w:t>
      </w:r>
    </w:p>
    <w:p w14:paraId="79D538FE" w14:textId="77777777" w:rsidR="0010027E" w:rsidRPr="003C5DE8" w:rsidRDefault="0010027E" w:rsidP="003C5DE8">
      <w:pPr>
        <w:suppressAutoHyphens/>
        <w:adjustRightInd w:val="0"/>
        <w:jc w:val="both"/>
        <w:rPr>
          <w:rFonts w:ascii="Arial Narrow" w:hAnsi="Arial Narrow" w:cs="Arial"/>
          <w:color w:val="000000" w:themeColor="text1"/>
          <w:sz w:val="26"/>
          <w:szCs w:val="26"/>
          <w:lang w:val="es-CO" w:eastAsia="ar-SA"/>
        </w:rPr>
      </w:pPr>
    </w:p>
    <w:p w14:paraId="03F86D0D" w14:textId="5484B0D7" w:rsidR="0010027E" w:rsidRPr="003C5DE8" w:rsidRDefault="0010027E" w:rsidP="003C5DE8">
      <w:pPr>
        <w:suppressAutoHyphens/>
        <w:adjustRightInd w:val="0"/>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 xml:space="preserve">Las pagadurías de las entidades a través de las cuales </w:t>
      </w:r>
      <w:r w:rsidR="009A4C18">
        <w:rPr>
          <w:rFonts w:ascii="Arial Narrow" w:hAnsi="Arial Narrow" w:cs="Arial"/>
          <w:color w:val="000000" w:themeColor="text1"/>
          <w:sz w:val="26"/>
          <w:szCs w:val="26"/>
          <w:lang w:val="es-CO" w:eastAsia="ar-SA"/>
        </w:rPr>
        <w:t>FONDEJEMPLO</w:t>
      </w:r>
      <w:r w:rsidRPr="003C5DE8">
        <w:rPr>
          <w:rFonts w:ascii="Arial Narrow" w:hAnsi="Arial Narrow" w:cs="Arial"/>
          <w:color w:val="000000" w:themeColor="text1"/>
          <w:sz w:val="26"/>
          <w:szCs w:val="26"/>
          <w:lang w:val="es-CO" w:eastAsia="ar-SA"/>
        </w:rPr>
        <w:t xml:space="preserve"> requieren los descuentos de sus asociados por la prestación de sus servicios, están obligadas a atender los compromisos contractuales adquiridos por los asociados </w:t>
      </w:r>
      <w:proofErr w:type="gramStart"/>
      <w:r w:rsidRPr="003C5DE8">
        <w:rPr>
          <w:rFonts w:ascii="Arial Narrow" w:hAnsi="Arial Narrow" w:cs="Arial"/>
          <w:color w:val="000000" w:themeColor="text1"/>
          <w:sz w:val="26"/>
          <w:szCs w:val="26"/>
          <w:lang w:val="es-CO" w:eastAsia="ar-SA"/>
        </w:rPr>
        <w:t>de acuerdo a</w:t>
      </w:r>
      <w:proofErr w:type="gramEnd"/>
      <w:r w:rsidRPr="003C5DE8">
        <w:rPr>
          <w:rFonts w:ascii="Arial Narrow" w:hAnsi="Arial Narrow" w:cs="Arial"/>
          <w:color w:val="000000" w:themeColor="text1"/>
          <w:sz w:val="26"/>
          <w:szCs w:val="26"/>
          <w:lang w:val="es-CO" w:eastAsia="ar-SA"/>
        </w:rPr>
        <w:t xml:space="preserve"> lo señalado en los artículos 142°, 143° y 144° de la Ley 79 de 1988 y el artículo 55° del Decreto 1481 de 1989 modificado por el artículo 9 de la Ley 1391 de 2010, y la Ley 1527 de 2012, en lo que resulte aplicable.</w:t>
      </w:r>
    </w:p>
    <w:p w14:paraId="6C7C3A1A" w14:textId="77777777" w:rsidR="0010027E" w:rsidRPr="003C5DE8" w:rsidRDefault="0010027E" w:rsidP="003C5DE8">
      <w:pPr>
        <w:suppressAutoHyphens/>
        <w:adjustRightInd w:val="0"/>
        <w:ind w:left="567" w:hanging="567"/>
        <w:jc w:val="both"/>
        <w:rPr>
          <w:rFonts w:ascii="Arial Narrow" w:hAnsi="Arial Narrow" w:cs="Arial"/>
          <w:color w:val="000000" w:themeColor="text1"/>
          <w:sz w:val="26"/>
          <w:szCs w:val="26"/>
          <w:lang w:val="es-CO" w:eastAsia="ar-SA"/>
        </w:rPr>
      </w:pPr>
    </w:p>
    <w:p w14:paraId="74CDE1FE" w14:textId="4EBB60FF" w:rsidR="0010027E" w:rsidRPr="003C5DE8" w:rsidRDefault="0010027E" w:rsidP="003C5DE8">
      <w:pPr>
        <w:suppressAutoHyphens/>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 xml:space="preserve">Para efectos de registrar los descuentos efectuados por nómina a los asociados por los conceptos (aportes y ahorros), </w:t>
      </w:r>
      <w:r w:rsidR="009A4C18">
        <w:rPr>
          <w:rFonts w:ascii="Arial Narrow" w:hAnsi="Arial Narrow" w:cs="Arial"/>
          <w:color w:val="000000" w:themeColor="text1"/>
          <w:sz w:val="26"/>
          <w:szCs w:val="26"/>
          <w:lang w:val="es-CO" w:eastAsia="ar-SA"/>
        </w:rPr>
        <w:t>FONDEJEMPLO</w:t>
      </w:r>
      <w:r w:rsidRPr="003C5DE8">
        <w:rPr>
          <w:rFonts w:ascii="Arial Narrow" w:hAnsi="Arial Narrow" w:cs="Arial"/>
          <w:color w:val="000000" w:themeColor="text1"/>
          <w:sz w:val="26"/>
          <w:szCs w:val="26"/>
          <w:lang w:val="es-CO" w:eastAsia="ar-SA"/>
        </w:rPr>
        <w:t xml:space="preserve"> deberá contabilizar en la cuenta 272035 retenciones o anticipos pendientes de aplicar, cuando se trate de aportes, mientras las pagadurías realizan efectivamente los pagos.  Si se trata de los ahorros la cuenta será la 272095.</w:t>
      </w:r>
    </w:p>
    <w:p w14:paraId="1963B281" w14:textId="77777777" w:rsidR="0010027E" w:rsidRPr="003C5DE8" w:rsidRDefault="0010027E" w:rsidP="003C5DE8">
      <w:pPr>
        <w:suppressAutoHyphens/>
        <w:ind w:left="567" w:hanging="567"/>
        <w:jc w:val="both"/>
        <w:rPr>
          <w:rFonts w:ascii="Arial Narrow" w:hAnsi="Arial Narrow" w:cs="Arial"/>
          <w:color w:val="000000" w:themeColor="text1"/>
          <w:sz w:val="26"/>
          <w:szCs w:val="26"/>
          <w:lang w:val="es-CO" w:eastAsia="ar-SA"/>
        </w:rPr>
      </w:pPr>
    </w:p>
    <w:p w14:paraId="20C3C1A0" w14:textId="3B98BE5F" w:rsidR="0010027E" w:rsidRPr="003C5DE8" w:rsidRDefault="0010027E" w:rsidP="003C5DE8">
      <w:pPr>
        <w:pStyle w:val="Ttulo2"/>
        <w:numPr>
          <w:ilvl w:val="1"/>
          <w:numId w:val="13"/>
        </w:numPr>
        <w:spacing w:before="0"/>
        <w:ind w:left="567" w:hanging="567"/>
        <w:jc w:val="both"/>
        <w:rPr>
          <w:rFonts w:ascii="Arial Narrow" w:hAnsi="Arial Narrow"/>
          <w:b/>
          <w:bCs/>
          <w:color w:val="000000" w:themeColor="text1"/>
          <w:lang w:eastAsia="ar-SA"/>
        </w:rPr>
      </w:pPr>
      <w:bookmarkStart w:id="2249" w:name="_Toc56498223"/>
      <w:bookmarkStart w:id="2250" w:name="_Toc97966925"/>
      <w:r w:rsidRPr="003C5DE8">
        <w:rPr>
          <w:rFonts w:ascii="Arial Narrow" w:hAnsi="Arial Narrow"/>
          <w:b/>
          <w:bCs/>
          <w:color w:val="000000" w:themeColor="text1"/>
          <w:lang w:eastAsia="ar-SA"/>
        </w:rPr>
        <w:t xml:space="preserve">DISPOSICIONES </w:t>
      </w:r>
      <w:bookmarkEnd w:id="2244"/>
      <w:bookmarkEnd w:id="2249"/>
      <w:bookmarkEnd w:id="2250"/>
      <w:r w:rsidR="00CF64DC" w:rsidRPr="003C5DE8">
        <w:rPr>
          <w:rFonts w:ascii="Arial Narrow" w:hAnsi="Arial Narrow"/>
          <w:b/>
          <w:bCs/>
          <w:color w:val="000000" w:themeColor="text1"/>
          <w:lang w:eastAsia="ar-SA"/>
        </w:rPr>
        <w:t>FINALES</w:t>
      </w:r>
    </w:p>
    <w:p w14:paraId="10E7EAE6" w14:textId="77777777" w:rsidR="0010027E" w:rsidRPr="003C5DE8" w:rsidRDefault="0010027E" w:rsidP="003C5DE8">
      <w:pPr>
        <w:ind w:left="567" w:hanging="567"/>
        <w:jc w:val="both"/>
        <w:rPr>
          <w:rFonts w:ascii="Arial Narrow" w:hAnsi="Arial Narrow" w:cs="Arial"/>
          <w:color w:val="000000" w:themeColor="text1"/>
          <w:sz w:val="26"/>
          <w:szCs w:val="26"/>
          <w:lang w:eastAsia="ar-SA"/>
        </w:rPr>
      </w:pPr>
    </w:p>
    <w:p w14:paraId="2C2B2FE1" w14:textId="5A37FC5E" w:rsidR="0010027E" w:rsidRPr="003C5DE8" w:rsidRDefault="009A4C18" w:rsidP="003C5DE8">
      <w:pPr>
        <w:widowControl/>
        <w:numPr>
          <w:ilvl w:val="0"/>
          <w:numId w:val="39"/>
        </w:numPr>
        <w:suppressAutoHyphens/>
        <w:adjustRightInd w:val="0"/>
        <w:ind w:left="567" w:hanging="567"/>
        <w:contextualSpacing/>
        <w:jc w:val="both"/>
        <w:rPr>
          <w:rFonts w:ascii="Arial Narrow" w:hAnsi="Arial Narrow" w:cs="Arial"/>
          <w:color w:val="000000" w:themeColor="text1"/>
          <w:sz w:val="26"/>
          <w:szCs w:val="26"/>
          <w:lang w:val="es-CO" w:eastAsia="ar-SA"/>
        </w:rPr>
      </w:pPr>
      <w:r>
        <w:rPr>
          <w:rFonts w:ascii="Arial Narrow" w:hAnsi="Arial Narrow" w:cs="Arial"/>
          <w:color w:val="000000" w:themeColor="text1"/>
          <w:sz w:val="26"/>
          <w:szCs w:val="26"/>
          <w:lang w:val="es-CO" w:eastAsia="ar-SA"/>
        </w:rPr>
        <w:t>FONDEJEMPLO</w:t>
      </w:r>
      <w:r w:rsidR="0010027E" w:rsidRPr="003C5DE8">
        <w:rPr>
          <w:rFonts w:ascii="Arial Narrow" w:hAnsi="Arial Narrow" w:cs="Arial"/>
          <w:color w:val="000000" w:themeColor="text1"/>
          <w:sz w:val="26"/>
          <w:szCs w:val="26"/>
          <w:lang w:val="es-CO" w:eastAsia="ar-SA"/>
        </w:rPr>
        <w:t xml:space="preserve"> </w:t>
      </w:r>
      <w:r w:rsidR="002140BF" w:rsidRPr="003C5DE8">
        <w:rPr>
          <w:rFonts w:ascii="Arial Narrow" w:hAnsi="Arial Narrow" w:cs="Arial"/>
          <w:color w:val="000000" w:themeColor="text1"/>
          <w:sz w:val="26"/>
          <w:szCs w:val="26"/>
          <w:lang w:val="es-CO" w:eastAsia="ar-SA"/>
        </w:rPr>
        <w:t>deberá</w:t>
      </w:r>
      <w:r w:rsidR="0010027E" w:rsidRPr="003C5DE8">
        <w:rPr>
          <w:rFonts w:ascii="Arial Narrow" w:hAnsi="Arial Narrow" w:cs="Arial"/>
          <w:color w:val="000000" w:themeColor="text1"/>
          <w:sz w:val="26"/>
          <w:szCs w:val="26"/>
          <w:lang w:val="es-CO" w:eastAsia="ar-SA"/>
        </w:rPr>
        <w:t xml:space="preserve"> mantener a disposición de la Superintendencia de la Economía Solidaria, durante la vigencia de los créditos, la información que acredite y justifique los cambios de la calificación de un deudor a una de menor o mayor riesgo.</w:t>
      </w:r>
    </w:p>
    <w:p w14:paraId="03658801" w14:textId="221D4E98" w:rsidR="0010027E" w:rsidRPr="003C5DE8" w:rsidRDefault="0010027E" w:rsidP="003C5DE8">
      <w:pPr>
        <w:widowControl/>
        <w:numPr>
          <w:ilvl w:val="0"/>
          <w:numId w:val="39"/>
        </w:numPr>
        <w:suppressAutoHyphens/>
        <w:adjustRightInd w:val="0"/>
        <w:ind w:left="567" w:hanging="567"/>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 xml:space="preserve">Con el objeto de contar con elementos necesarios para el adecuado análisis de riesgo, </w:t>
      </w:r>
      <w:r w:rsidR="009A4C18">
        <w:rPr>
          <w:rFonts w:ascii="Arial Narrow" w:hAnsi="Arial Narrow" w:cs="Arial"/>
          <w:color w:val="000000" w:themeColor="text1"/>
          <w:sz w:val="26"/>
          <w:szCs w:val="26"/>
          <w:lang w:val="es-CO" w:eastAsia="ar-SA"/>
        </w:rPr>
        <w:t>FONDEJEMPLO</w:t>
      </w:r>
      <w:r w:rsidRPr="003C5DE8">
        <w:rPr>
          <w:rFonts w:ascii="Arial Narrow" w:hAnsi="Arial Narrow" w:cs="Arial"/>
          <w:color w:val="000000" w:themeColor="text1"/>
          <w:sz w:val="26"/>
          <w:szCs w:val="26"/>
          <w:lang w:val="es-CO" w:eastAsia="ar-SA"/>
        </w:rPr>
        <w:t xml:space="preserve"> </w:t>
      </w:r>
      <w:r w:rsidR="009B3A78" w:rsidRPr="003C5DE8">
        <w:rPr>
          <w:rFonts w:ascii="Arial Narrow" w:hAnsi="Arial Narrow" w:cs="Arial"/>
          <w:color w:val="000000" w:themeColor="text1"/>
          <w:sz w:val="26"/>
          <w:szCs w:val="26"/>
          <w:lang w:val="es-CO" w:eastAsia="ar-SA"/>
        </w:rPr>
        <w:t>debe</w:t>
      </w:r>
      <w:r w:rsidRPr="003C5DE8">
        <w:rPr>
          <w:rFonts w:ascii="Arial Narrow" w:hAnsi="Arial Narrow" w:cs="Arial"/>
          <w:color w:val="000000" w:themeColor="text1"/>
          <w:sz w:val="26"/>
          <w:szCs w:val="26"/>
          <w:lang w:val="es-CO" w:eastAsia="ar-SA"/>
        </w:rPr>
        <w:t xml:space="preserve"> mantener en el expediente del respectivo deudor, su información personal y financiera completa y actualizada (mínimo una vez cada año) y la de los codeudores, información de las garantías, así como el cruce de correspondencia.</w:t>
      </w:r>
    </w:p>
    <w:p w14:paraId="6F924240" w14:textId="77777777" w:rsidR="0010027E" w:rsidRPr="003C5DE8" w:rsidRDefault="0010027E" w:rsidP="003C5DE8">
      <w:pPr>
        <w:widowControl/>
        <w:numPr>
          <w:ilvl w:val="0"/>
          <w:numId w:val="39"/>
        </w:numPr>
        <w:suppressAutoHyphens/>
        <w:adjustRightInd w:val="0"/>
        <w:ind w:left="567" w:hanging="567"/>
        <w:contextualSpacing/>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Cuando de la evaluación de cartera surjan modificaciones en la calificación del deudor que impliquen la recalificación a una categoría de mayor riesgo, el análisis y resultado de dicho proceso deberá conservarse también en su respectivo expediente, dejando constancia de la fecha de la evaluación y aprobación por la instancia correspondiente.</w:t>
      </w:r>
    </w:p>
    <w:p w14:paraId="1ADD73E6" w14:textId="5A939941" w:rsidR="0010027E" w:rsidRPr="003C5DE8" w:rsidRDefault="0010027E" w:rsidP="003C5DE8">
      <w:pPr>
        <w:widowControl/>
        <w:numPr>
          <w:ilvl w:val="0"/>
          <w:numId w:val="39"/>
        </w:numPr>
        <w:suppressAutoHyphens/>
        <w:adjustRightInd w:val="0"/>
        <w:ind w:left="567" w:hanging="567"/>
        <w:contextualSpacing/>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 xml:space="preserve">En el expediente de los respectivos deudores o en algún otro mecanismo de consulta de información, </w:t>
      </w:r>
      <w:r w:rsidR="009A4C18">
        <w:rPr>
          <w:rFonts w:ascii="Arial Narrow" w:hAnsi="Arial Narrow" w:cs="Arial"/>
          <w:color w:val="000000" w:themeColor="text1"/>
          <w:sz w:val="26"/>
          <w:szCs w:val="26"/>
          <w:lang w:val="es-CO" w:eastAsia="ar-SA"/>
        </w:rPr>
        <w:t>FONDEJEMPLO</w:t>
      </w:r>
      <w:r w:rsidRPr="003C5DE8">
        <w:rPr>
          <w:rFonts w:ascii="Arial Narrow" w:hAnsi="Arial Narrow" w:cs="Arial"/>
          <w:color w:val="000000" w:themeColor="text1"/>
          <w:sz w:val="26"/>
          <w:szCs w:val="26"/>
          <w:lang w:val="es-CO" w:eastAsia="ar-SA"/>
        </w:rPr>
        <w:t xml:space="preserve"> debe disponer de la información necesaria para establecer las relaciones entre deudores que, conforme a las reglas sobre cupos individuales de endeudamiento, dan lugar a acumular las obligaciones de un conjunto de sujetos o grupo conectado.</w:t>
      </w:r>
    </w:p>
    <w:p w14:paraId="60C2F2C5" w14:textId="0C557022" w:rsidR="0010027E" w:rsidRPr="003C5DE8" w:rsidRDefault="0010027E" w:rsidP="003C5DE8">
      <w:pPr>
        <w:widowControl/>
        <w:numPr>
          <w:ilvl w:val="0"/>
          <w:numId w:val="39"/>
        </w:numPr>
        <w:suppressAutoHyphens/>
        <w:adjustRightInd w:val="0"/>
        <w:ind w:left="567" w:hanging="567"/>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 xml:space="preserve">En el expediente del deudor debe quedar soporte del análisis que realizó </w:t>
      </w:r>
      <w:r w:rsidR="009A4C18">
        <w:rPr>
          <w:rFonts w:ascii="Arial Narrow" w:hAnsi="Arial Narrow" w:cs="Arial"/>
          <w:color w:val="000000" w:themeColor="text1"/>
          <w:sz w:val="26"/>
          <w:szCs w:val="26"/>
          <w:lang w:val="es-CO" w:eastAsia="ar-SA"/>
        </w:rPr>
        <w:t>FONDEJEMPLO</w:t>
      </w:r>
      <w:r w:rsidRPr="003C5DE8">
        <w:rPr>
          <w:rFonts w:ascii="Arial Narrow" w:hAnsi="Arial Narrow" w:cs="Arial"/>
          <w:color w:val="000000" w:themeColor="text1"/>
          <w:sz w:val="26"/>
          <w:szCs w:val="26"/>
          <w:lang w:val="es-CO" w:eastAsia="ar-SA"/>
        </w:rPr>
        <w:t xml:space="preserve"> para aprobar la reestructuración, novación o modificación de la obligación, según lo previsto en el </w:t>
      </w:r>
      <w:r w:rsidR="001C0DEB" w:rsidRPr="003C5DE8">
        <w:rPr>
          <w:rFonts w:ascii="Arial Narrow" w:hAnsi="Arial Narrow" w:cs="Arial"/>
          <w:color w:val="000000" w:themeColor="text1"/>
          <w:sz w:val="26"/>
          <w:szCs w:val="26"/>
          <w:lang w:val="es-CO" w:eastAsia="ar-SA"/>
        </w:rPr>
        <w:t>presente manual</w:t>
      </w:r>
      <w:r w:rsidRPr="003C5DE8">
        <w:rPr>
          <w:rFonts w:ascii="Arial Narrow" w:hAnsi="Arial Narrow" w:cs="Arial"/>
          <w:color w:val="000000" w:themeColor="text1"/>
          <w:sz w:val="26"/>
          <w:szCs w:val="26"/>
          <w:lang w:val="es-CO" w:eastAsia="ar-SA"/>
        </w:rPr>
        <w:t>.</w:t>
      </w:r>
    </w:p>
    <w:p w14:paraId="3C76915A" w14:textId="6A359AF6" w:rsidR="0010027E" w:rsidRPr="003C5DE8" w:rsidRDefault="0010027E" w:rsidP="003C5DE8">
      <w:pPr>
        <w:widowControl/>
        <w:numPr>
          <w:ilvl w:val="0"/>
          <w:numId w:val="39"/>
        </w:numPr>
        <w:suppressAutoHyphens/>
        <w:adjustRightInd w:val="0"/>
        <w:ind w:left="567" w:hanging="567"/>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 xml:space="preserve">Los costos que genere la gestión de modificación de créditos prevista en el </w:t>
      </w:r>
      <w:r w:rsidR="001C0DEB" w:rsidRPr="003C5DE8">
        <w:rPr>
          <w:rFonts w:ascii="Arial Narrow" w:hAnsi="Arial Narrow" w:cs="Arial"/>
          <w:color w:val="000000" w:themeColor="text1"/>
          <w:sz w:val="26"/>
          <w:szCs w:val="26"/>
          <w:lang w:val="es-CO" w:eastAsia="ar-SA"/>
        </w:rPr>
        <w:t>presente manual</w:t>
      </w:r>
      <w:r w:rsidRPr="003C5DE8">
        <w:rPr>
          <w:rFonts w:ascii="Arial Narrow" w:hAnsi="Arial Narrow" w:cs="Arial"/>
          <w:color w:val="000000" w:themeColor="text1"/>
          <w:sz w:val="26"/>
          <w:szCs w:val="26"/>
          <w:lang w:val="es-CO" w:eastAsia="ar-SA"/>
        </w:rPr>
        <w:t xml:space="preserve">, no </w:t>
      </w:r>
      <w:proofErr w:type="gramStart"/>
      <w:r w:rsidR="009B3A78" w:rsidRPr="003C5DE8">
        <w:rPr>
          <w:rFonts w:ascii="Arial Narrow" w:hAnsi="Arial Narrow" w:cs="Arial"/>
          <w:color w:val="000000" w:themeColor="text1"/>
          <w:sz w:val="26"/>
          <w:szCs w:val="26"/>
          <w:lang w:val="es-CO" w:eastAsia="ar-SA"/>
        </w:rPr>
        <w:t>debe</w:t>
      </w:r>
      <w:proofErr w:type="gramEnd"/>
      <w:r w:rsidRPr="003C5DE8">
        <w:rPr>
          <w:rFonts w:ascii="Arial Narrow" w:hAnsi="Arial Narrow" w:cs="Arial"/>
          <w:color w:val="000000" w:themeColor="text1"/>
          <w:sz w:val="26"/>
          <w:szCs w:val="26"/>
          <w:lang w:val="es-CO" w:eastAsia="ar-SA"/>
        </w:rPr>
        <w:t xml:space="preserve"> trasladarse al deudor. </w:t>
      </w:r>
    </w:p>
    <w:p w14:paraId="2BB2FF91" w14:textId="77777777" w:rsidR="0010027E" w:rsidRPr="003C5DE8" w:rsidRDefault="0010027E" w:rsidP="003C5DE8">
      <w:pPr>
        <w:suppressAutoHyphens/>
        <w:adjustRightInd w:val="0"/>
        <w:ind w:left="567" w:hanging="567"/>
        <w:jc w:val="both"/>
        <w:rPr>
          <w:rFonts w:ascii="Arial Narrow" w:hAnsi="Arial Narrow" w:cs="Arial"/>
          <w:color w:val="000000" w:themeColor="text1"/>
          <w:sz w:val="26"/>
          <w:szCs w:val="26"/>
          <w:lang w:val="es-CO" w:eastAsia="ar-SA"/>
        </w:rPr>
      </w:pPr>
    </w:p>
    <w:p w14:paraId="0D03174D" w14:textId="65A75B6A" w:rsidR="0010027E" w:rsidRPr="003C5DE8" w:rsidRDefault="0010027E" w:rsidP="003C5DE8">
      <w:pPr>
        <w:widowControl/>
        <w:numPr>
          <w:ilvl w:val="0"/>
          <w:numId w:val="39"/>
        </w:numPr>
        <w:suppressAutoHyphens/>
        <w:adjustRightInd w:val="0"/>
        <w:ind w:left="567" w:hanging="567"/>
        <w:jc w:val="both"/>
        <w:rPr>
          <w:rFonts w:ascii="Arial Narrow" w:hAnsi="Arial Narrow" w:cs="Arial"/>
          <w:color w:val="000000" w:themeColor="text1"/>
          <w:sz w:val="26"/>
          <w:szCs w:val="26"/>
          <w:lang w:val="es-CO" w:eastAsia="ar-SA"/>
        </w:rPr>
      </w:pPr>
      <w:proofErr w:type="gramStart"/>
      <w:r w:rsidRPr="003C5DE8">
        <w:rPr>
          <w:rFonts w:ascii="Arial Narrow" w:hAnsi="Arial Narrow" w:cs="Arial"/>
          <w:color w:val="000000" w:themeColor="text1"/>
          <w:sz w:val="26"/>
          <w:szCs w:val="26"/>
          <w:lang w:val="es-CO" w:eastAsia="ar-SA"/>
        </w:rPr>
        <w:lastRenderedPageBreak/>
        <w:t xml:space="preserve">Los créditos otorgados </w:t>
      </w:r>
      <w:r w:rsidR="002140BF" w:rsidRPr="003C5DE8">
        <w:rPr>
          <w:rFonts w:ascii="Arial Narrow" w:hAnsi="Arial Narrow" w:cs="Arial"/>
          <w:color w:val="000000" w:themeColor="text1"/>
          <w:sz w:val="26"/>
          <w:szCs w:val="26"/>
          <w:lang w:val="es-CO" w:eastAsia="ar-SA"/>
        </w:rPr>
        <w:t>deberá</w:t>
      </w:r>
      <w:proofErr w:type="gramEnd"/>
      <w:r w:rsidRPr="003C5DE8">
        <w:rPr>
          <w:rFonts w:ascii="Arial Narrow" w:hAnsi="Arial Narrow" w:cs="Arial"/>
          <w:color w:val="000000" w:themeColor="text1"/>
          <w:sz w:val="26"/>
          <w:szCs w:val="26"/>
          <w:lang w:val="es-CO" w:eastAsia="ar-SA"/>
        </w:rPr>
        <w:t xml:space="preserve"> permanecer registrados en la cuenta “cartera de créditos” durante el tiempo pactado, es decir desde su desembolso hasta su cancelación total, aun cuando un asociado que se desvincule de </w:t>
      </w:r>
      <w:r w:rsidR="009A4C18">
        <w:rPr>
          <w:rFonts w:ascii="Arial Narrow" w:hAnsi="Arial Narrow" w:cs="Arial"/>
          <w:color w:val="000000" w:themeColor="text1"/>
          <w:sz w:val="26"/>
          <w:szCs w:val="26"/>
          <w:lang w:val="es-CO" w:eastAsia="ar-SA"/>
        </w:rPr>
        <w:t>FONDEJEMPLO</w:t>
      </w:r>
      <w:r w:rsidRPr="003C5DE8">
        <w:rPr>
          <w:rFonts w:ascii="Arial Narrow" w:hAnsi="Arial Narrow" w:cs="Arial"/>
          <w:color w:val="000000" w:themeColor="text1"/>
          <w:sz w:val="26"/>
          <w:szCs w:val="26"/>
          <w:lang w:val="es-CO" w:eastAsia="ar-SA"/>
        </w:rPr>
        <w:t xml:space="preserve"> ya sea por retiro voluntario, exclusión u otro motivo llegare a quedar con saldos pendientes de obligaciones crediticias. No se admite una reclasificación en otros rubros.</w:t>
      </w:r>
    </w:p>
    <w:p w14:paraId="328DBA88" w14:textId="3ABA008E" w:rsidR="0010027E" w:rsidRPr="003C5DE8" w:rsidRDefault="0010027E" w:rsidP="003C5DE8">
      <w:pPr>
        <w:widowControl/>
        <w:numPr>
          <w:ilvl w:val="0"/>
          <w:numId w:val="39"/>
        </w:numPr>
        <w:suppressAutoHyphens/>
        <w:adjustRightInd w:val="0"/>
        <w:ind w:left="567" w:hanging="567"/>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rPr>
        <w:t xml:space="preserve">Se </w:t>
      </w:r>
      <w:r w:rsidR="009B3A78" w:rsidRPr="003C5DE8">
        <w:rPr>
          <w:rFonts w:ascii="Arial Narrow" w:hAnsi="Arial Narrow" w:cs="Arial"/>
          <w:color w:val="000000" w:themeColor="text1"/>
          <w:sz w:val="26"/>
          <w:szCs w:val="26"/>
          <w:lang w:val="es-CO"/>
        </w:rPr>
        <w:t>debe</w:t>
      </w:r>
      <w:r w:rsidRPr="003C5DE8">
        <w:rPr>
          <w:rFonts w:ascii="Arial Narrow" w:hAnsi="Arial Narrow" w:cs="Arial"/>
          <w:color w:val="000000" w:themeColor="text1"/>
          <w:sz w:val="26"/>
          <w:szCs w:val="26"/>
          <w:lang w:val="es-CO"/>
        </w:rPr>
        <w:t xml:space="preserve"> clasificar en la modalidad y categoría de riesgo (calificación) que corresponda a cada uno de los créditos, las comisiones y cuentas por cobrar originadas en cada tipo de operación.</w:t>
      </w:r>
    </w:p>
    <w:p w14:paraId="3FE03621" w14:textId="77777777" w:rsidR="00453FAF" w:rsidRPr="003C5DE8" w:rsidRDefault="0010027E" w:rsidP="003C5DE8">
      <w:pPr>
        <w:widowControl/>
        <w:numPr>
          <w:ilvl w:val="0"/>
          <w:numId w:val="39"/>
        </w:numPr>
        <w:suppressAutoHyphens/>
        <w:adjustRightInd w:val="0"/>
        <w:ind w:left="567" w:hanging="567"/>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 xml:space="preserve">Si el valor aprobado no es el mismo registrado en la solicitud de crédito, se deberá contar con la aceptación expresa del asociado, quien la podrá manifestar mediante cualquier mecanismo del cual quede prueba. En todo caso el valor del pagaré que resulte de la </w:t>
      </w:r>
      <w:proofErr w:type="gramStart"/>
      <w:r w:rsidRPr="003C5DE8">
        <w:rPr>
          <w:rFonts w:ascii="Arial Narrow" w:hAnsi="Arial Narrow" w:cs="Arial"/>
          <w:color w:val="000000" w:themeColor="text1"/>
          <w:sz w:val="26"/>
          <w:szCs w:val="26"/>
          <w:lang w:val="es-CO" w:eastAsia="ar-SA"/>
        </w:rPr>
        <w:t>operación,</w:t>
      </w:r>
      <w:proofErr w:type="gramEnd"/>
      <w:r w:rsidRPr="003C5DE8">
        <w:rPr>
          <w:rFonts w:ascii="Arial Narrow" w:hAnsi="Arial Narrow" w:cs="Arial"/>
          <w:color w:val="000000" w:themeColor="text1"/>
          <w:sz w:val="26"/>
          <w:szCs w:val="26"/>
          <w:lang w:val="es-CO" w:eastAsia="ar-SA"/>
        </w:rPr>
        <w:t xml:space="preserve"> deberá corresponder únicamente al valor del crédito efectivamente pactado entre las partes.</w:t>
      </w:r>
    </w:p>
    <w:p w14:paraId="5DA8519D" w14:textId="6284B09B" w:rsidR="00453FAF" w:rsidRPr="003C5DE8" w:rsidRDefault="00453FAF" w:rsidP="003C5DE8">
      <w:pPr>
        <w:widowControl/>
        <w:numPr>
          <w:ilvl w:val="0"/>
          <w:numId w:val="39"/>
        </w:numPr>
        <w:suppressAutoHyphens/>
        <w:adjustRightInd w:val="0"/>
        <w:ind w:left="567" w:hanging="567"/>
        <w:jc w:val="both"/>
        <w:rPr>
          <w:rFonts w:ascii="Arial Narrow" w:hAnsi="Arial Narrow" w:cs="Arial"/>
          <w:color w:val="000000" w:themeColor="text1"/>
          <w:sz w:val="26"/>
          <w:szCs w:val="26"/>
          <w:lang w:val="es-CO" w:eastAsia="ar-SA"/>
        </w:rPr>
      </w:pPr>
      <w:r w:rsidRPr="003C5DE8">
        <w:rPr>
          <w:rFonts w:ascii="Arial Narrow" w:hAnsi="Arial Narrow"/>
          <w:color w:val="000000" w:themeColor="text1"/>
          <w:sz w:val="26"/>
          <w:szCs w:val="26"/>
          <w:lang w:val="es-CO"/>
        </w:rPr>
        <w:t xml:space="preserve">De acuerdo con lo estipulado en el artículo 1653 del código civil, si se debe capital e intereses, el pago se imputará primeramente a los intereses, salvo que </w:t>
      </w:r>
      <w:r w:rsidR="009A4C18">
        <w:rPr>
          <w:rFonts w:ascii="Arial Narrow" w:hAnsi="Arial Narrow"/>
          <w:color w:val="000000" w:themeColor="text1"/>
          <w:sz w:val="26"/>
          <w:szCs w:val="26"/>
          <w:lang w:val="es-CO"/>
        </w:rPr>
        <w:t>FONDEJEMPLO</w:t>
      </w:r>
      <w:r w:rsidRPr="003C5DE8">
        <w:rPr>
          <w:rFonts w:ascii="Arial Narrow" w:hAnsi="Arial Narrow"/>
          <w:color w:val="000000" w:themeColor="text1"/>
          <w:sz w:val="26"/>
          <w:szCs w:val="26"/>
          <w:lang w:val="es-CO"/>
        </w:rPr>
        <w:t xml:space="preserve"> consienta expresamente que se impute al capital. En cuanto a los abonos de capital una vez cubiertos los intereses, según lo señalado en el artículo 881 del código de comercio y salvo estipulación en contrario, la imputación del pago se hará conforme a las siguientes reglas: Si hay diferentes deudas exigibles, sin garantía, puede el FONDO imputar el pago a la que elija el deudor; pero si una de las deudas exigibles tuviere garantía real o personal, no podrá el deudor imputar el pago a ésta sin el consentimiento de </w:t>
      </w:r>
      <w:r w:rsidR="009A4C18">
        <w:rPr>
          <w:rFonts w:ascii="Arial Narrow" w:hAnsi="Arial Narrow"/>
          <w:color w:val="000000" w:themeColor="text1"/>
          <w:sz w:val="26"/>
          <w:szCs w:val="26"/>
          <w:lang w:val="es-CO"/>
        </w:rPr>
        <w:t>FONDEJEMPLO</w:t>
      </w:r>
      <w:r w:rsidRPr="003C5DE8">
        <w:rPr>
          <w:rFonts w:ascii="Arial Narrow" w:hAnsi="Arial Narrow"/>
          <w:color w:val="000000" w:themeColor="text1"/>
          <w:sz w:val="26"/>
          <w:szCs w:val="26"/>
          <w:lang w:val="es-CO"/>
        </w:rPr>
        <w:t xml:space="preserve">.  Cuando </w:t>
      </w:r>
      <w:r w:rsidR="009A4C18">
        <w:rPr>
          <w:rFonts w:ascii="Arial Narrow" w:hAnsi="Arial Narrow"/>
          <w:color w:val="000000" w:themeColor="text1"/>
          <w:sz w:val="26"/>
          <w:szCs w:val="26"/>
          <w:lang w:val="es-CO"/>
        </w:rPr>
        <w:t>FONDEJEMPLO</w:t>
      </w:r>
      <w:r w:rsidRPr="003C5DE8">
        <w:rPr>
          <w:rFonts w:ascii="Arial Narrow" w:hAnsi="Arial Narrow"/>
          <w:color w:val="000000" w:themeColor="text1"/>
          <w:sz w:val="26"/>
          <w:szCs w:val="26"/>
          <w:lang w:val="es-CO"/>
        </w:rPr>
        <w:t xml:space="preserve"> tenga varios créditos exigibles y garantizados específicamente podrá imputar el pago al que le ofrezca menos seguridades.</w:t>
      </w:r>
    </w:p>
    <w:p w14:paraId="6A0EE870" w14:textId="77777777" w:rsidR="0010027E" w:rsidRPr="003C5DE8" w:rsidRDefault="0010027E" w:rsidP="003C5DE8">
      <w:pPr>
        <w:pStyle w:val="Prrafodelista"/>
        <w:ind w:left="567" w:hanging="567"/>
        <w:jc w:val="both"/>
        <w:rPr>
          <w:rFonts w:ascii="Arial Narrow" w:hAnsi="Arial Narrow" w:cs="Arial"/>
          <w:color w:val="000000" w:themeColor="text1"/>
          <w:sz w:val="26"/>
          <w:szCs w:val="26"/>
          <w:lang w:val="es-CO" w:eastAsia="ar-SA"/>
        </w:rPr>
      </w:pPr>
    </w:p>
    <w:p w14:paraId="58F808CC" w14:textId="77777777" w:rsidR="0010027E" w:rsidRPr="003C5DE8" w:rsidRDefault="0010027E" w:rsidP="003C5DE8">
      <w:pPr>
        <w:pStyle w:val="Ttulo2"/>
        <w:numPr>
          <w:ilvl w:val="1"/>
          <w:numId w:val="13"/>
        </w:numPr>
        <w:spacing w:before="0"/>
        <w:ind w:left="567" w:hanging="567"/>
        <w:jc w:val="both"/>
        <w:rPr>
          <w:rFonts w:ascii="Arial Narrow" w:hAnsi="Arial Narrow"/>
          <w:b/>
          <w:bCs/>
          <w:color w:val="000000" w:themeColor="text1"/>
          <w:lang w:val="es-CO" w:eastAsia="ar-SA"/>
        </w:rPr>
      </w:pPr>
      <w:bookmarkStart w:id="2251" w:name="_Toc2671692"/>
      <w:bookmarkStart w:id="2252" w:name="_Toc8492112"/>
      <w:bookmarkStart w:id="2253" w:name="_Toc8492248"/>
      <w:bookmarkStart w:id="2254" w:name="_Toc8556198"/>
      <w:bookmarkStart w:id="2255" w:name="_Toc8646310"/>
      <w:bookmarkStart w:id="2256" w:name="_Toc8657435"/>
      <w:bookmarkStart w:id="2257" w:name="_Toc8657474"/>
      <w:bookmarkStart w:id="2258" w:name="_Toc8657513"/>
      <w:bookmarkStart w:id="2259" w:name="_Toc8657977"/>
      <w:bookmarkStart w:id="2260" w:name="_Toc8658026"/>
      <w:bookmarkStart w:id="2261" w:name="_Toc10628861"/>
      <w:bookmarkStart w:id="2262" w:name="_Toc10650603"/>
      <w:bookmarkStart w:id="2263" w:name="_Toc10655641"/>
      <w:bookmarkStart w:id="2264" w:name="_Toc10655730"/>
      <w:bookmarkStart w:id="2265" w:name="_Toc10655954"/>
      <w:bookmarkStart w:id="2266" w:name="_Toc10656148"/>
      <w:bookmarkStart w:id="2267" w:name="_Toc11652142"/>
      <w:bookmarkStart w:id="2268" w:name="_Toc11652336"/>
      <w:bookmarkStart w:id="2269" w:name="_Toc11652530"/>
      <w:bookmarkStart w:id="2270" w:name="_Toc11652723"/>
      <w:bookmarkStart w:id="2271" w:name="_Toc11652918"/>
      <w:bookmarkStart w:id="2272" w:name="_Toc11666108"/>
      <w:bookmarkStart w:id="2273" w:name="_Toc11671902"/>
      <w:bookmarkStart w:id="2274" w:name="_Toc11674623"/>
      <w:bookmarkStart w:id="2275" w:name="_Toc11674990"/>
      <w:bookmarkStart w:id="2276" w:name="_Toc1730689"/>
      <w:bookmarkStart w:id="2277" w:name="_Toc1745774"/>
      <w:bookmarkStart w:id="2278" w:name="_Toc1730690"/>
      <w:bookmarkStart w:id="2279" w:name="_Toc1745775"/>
      <w:bookmarkStart w:id="2280" w:name="_Toc1730691"/>
      <w:bookmarkStart w:id="2281" w:name="_Toc1745776"/>
      <w:bookmarkStart w:id="2282" w:name="_Toc1730692"/>
      <w:bookmarkStart w:id="2283" w:name="_Toc1745777"/>
      <w:bookmarkStart w:id="2284" w:name="_Toc11674991"/>
      <w:bookmarkStart w:id="2285" w:name="_Toc56498224"/>
      <w:bookmarkStart w:id="2286" w:name="_Toc97966926"/>
      <w:bookmarkEnd w:id="2251"/>
      <w:bookmarkEnd w:id="2252"/>
      <w:bookmarkEnd w:id="2253"/>
      <w:bookmarkEnd w:id="2254"/>
      <w:bookmarkEnd w:id="2255"/>
      <w:bookmarkEnd w:id="2256"/>
      <w:bookmarkEnd w:id="2257"/>
      <w:bookmarkEnd w:id="2258"/>
      <w:bookmarkEnd w:id="2259"/>
      <w:bookmarkEnd w:id="2260"/>
      <w:bookmarkEnd w:id="2261"/>
      <w:bookmarkEnd w:id="2262"/>
      <w:bookmarkEnd w:id="2263"/>
      <w:bookmarkEnd w:id="2264"/>
      <w:bookmarkEnd w:id="2265"/>
      <w:bookmarkEnd w:id="2266"/>
      <w:bookmarkEnd w:id="2267"/>
      <w:bookmarkEnd w:id="2268"/>
      <w:bookmarkEnd w:id="2269"/>
      <w:bookmarkEnd w:id="2270"/>
      <w:bookmarkEnd w:id="2271"/>
      <w:bookmarkEnd w:id="2272"/>
      <w:bookmarkEnd w:id="2273"/>
      <w:bookmarkEnd w:id="2274"/>
      <w:bookmarkEnd w:id="2275"/>
      <w:bookmarkEnd w:id="2276"/>
      <w:bookmarkEnd w:id="2277"/>
      <w:bookmarkEnd w:id="2278"/>
      <w:bookmarkEnd w:id="2279"/>
      <w:bookmarkEnd w:id="2280"/>
      <w:bookmarkEnd w:id="2281"/>
      <w:bookmarkEnd w:id="2282"/>
      <w:bookmarkEnd w:id="2283"/>
      <w:r w:rsidRPr="003C5DE8">
        <w:rPr>
          <w:rFonts w:ascii="Arial Narrow" w:hAnsi="Arial Narrow"/>
          <w:b/>
          <w:bCs/>
          <w:color w:val="000000" w:themeColor="text1"/>
          <w:lang w:val="es-CO" w:eastAsia="ar-SA"/>
        </w:rPr>
        <w:t>SISTEMA DE ACTUALIZACIÓN DE DATOS</w:t>
      </w:r>
      <w:bookmarkEnd w:id="2284"/>
      <w:bookmarkEnd w:id="2285"/>
      <w:bookmarkEnd w:id="2286"/>
    </w:p>
    <w:p w14:paraId="3E765A78" w14:textId="77777777" w:rsidR="0010027E" w:rsidRPr="003C5DE8" w:rsidRDefault="0010027E" w:rsidP="003C5DE8">
      <w:pPr>
        <w:ind w:left="567" w:hanging="567"/>
        <w:jc w:val="both"/>
        <w:rPr>
          <w:rFonts w:ascii="Arial Narrow" w:hAnsi="Arial Narrow" w:cs="Arial"/>
          <w:color w:val="000000" w:themeColor="text1"/>
          <w:sz w:val="26"/>
          <w:szCs w:val="26"/>
          <w:lang w:val="es-CO" w:eastAsia="ar-SA"/>
        </w:rPr>
      </w:pPr>
    </w:p>
    <w:p w14:paraId="344AF8FD" w14:textId="3B9A6DAC" w:rsidR="0010027E" w:rsidRPr="003C5DE8" w:rsidRDefault="0010027E" w:rsidP="003C5DE8">
      <w:pPr>
        <w:suppressAutoHyphens/>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El SARC deberá contar con un sistema que permanentemente permita recoger y actualizar la información sobre la condición o situación de pago de los deudores, así como cualquier modificación que se presente sobre la misma, al momento en que ésta se produzca.</w:t>
      </w:r>
      <w:r w:rsidR="0047005F" w:rsidRPr="003C5DE8">
        <w:rPr>
          <w:rFonts w:ascii="Arial Narrow" w:hAnsi="Arial Narrow" w:cs="Arial"/>
          <w:color w:val="000000" w:themeColor="text1"/>
          <w:sz w:val="26"/>
          <w:szCs w:val="26"/>
          <w:lang w:val="es-CO" w:eastAsia="ar-SA"/>
        </w:rPr>
        <w:t xml:space="preserve"> </w:t>
      </w:r>
      <w:r w:rsidRPr="003C5DE8">
        <w:rPr>
          <w:rFonts w:ascii="Arial Narrow" w:hAnsi="Arial Narrow" w:cs="Arial"/>
          <w:color w:val="000000" w:themeColor="text1"/>
          <w:sz w:val="26"/>
          <w:szCs w:val="26"/>
          <w:lang w:val="es-CO" w:eastAsia="ar-SA"/>
        </w:rPr>
        <w:t xml:space="preserve">El sistema que se adopte para el efecto deberá cumplir como mínimo con los siguientes requisitos: </w:t>
      </w:r>
    </w:p>
    <w:p w14:paraId="3B3ECE30" w14:textId="77777777" w:rsidR="0010027E" w:rsidRPr="003C5DE8" w:rsidRDefault="0010027E" w:rsidP="003C5DE8">
      <w:pPr>
        <w:suppressAutoHyphens/>
        <w:ind w:left="567" w:hanging="567"/>
        <w:jc w:val="both"/>
        <w:rPr>
          <w:rFonts w:ascii="Arial Narrow" w:hAnsi="Arial Narrow" w:cs="Arial"/>
          <w:color w:val="000000" w:themeColor="text1"/>
          <w:sz w:val="26"/>
          <w:szCs w:val="26"/>
          <w:lang w:val="es-CO" w:eastAsia="ar-SA"/>
        </w:rPr>
      </w:pPr>
    </w:p>
    <w:p w14:paraId="7378DDD4" w14:textId="77777777" w:rsidR="0010027E" w:rsidRPr="003C5DE8" w:rsidRDefault="0010027E" w:rsidP="003C5DE8">
      <w:pPr>
        <w:widowControl/>
        <w:numPr>
          <w:ilvl w:val="0"/>
          <w:numId w:val="53"/>
        </w:numPr>
        <w:suppressAutoHyphens/>
        <w:autoSpaceDE/>
        <w:autoSpaceDN/>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Un mecanismo que permita reflejar de manera ágil e inmediata cualquier cambio en la situación de la capacidad de pago del deudor, de manera que la información sobre él sea: veraz, completa, actualizada y acorde con el derecho fundamental al habeas data.</w:t>
      </w:r>
    </w:p>
    <w:p w14:paraId="6460D1A6" w14:textId="72AE52B0" w:rsidR="0010027E" w:rsidRPr="003C5DE8" w:rsidRDefault="0010027E" w:rsidP="003C5DE8">
      <w:pPr>
        <w:widowControl/>
        <w:numPr>
          <w:ilvl w:val="0"/>
          <w:numId w:val="53"/>
        </w:numPr>
        <w:suppressAutoHyphens/>
        <w:autoSpaceDE/>
        <w:autoSpaceDN/>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 xml:space="preserve">El representante legal debe designar un funcionario que se encargue del permanente control y seguimiento de los aplicativos de </w:t>
      </w:r>
      <w:r w:rsidR="009A4C18">
        <w:rPr>
          <w:rFonts w:ascii="Arial Narrow" w:hAnsi="Arial Narrow" w:cs="Arial"/>
          <w:color w:val="000000" w:themeColor="text1"/>
          <w:sz w:val="26"/>
          <w:szCs w:val="26"/>
          <w:lang w:val="es-CO" w:eastAsia="ar-SA"/>
        </w:rPr>
        <w:t>FONDEJEMPLO</w:t>
      </w:r>
      <w:r w:rsidRPr="003C5DE8">
        <w:rPr>
          <w:rFonts w:ascii="Arial Narrow" w:hAnsi="Arial Narrow" w:cs="Arial"/>
          <w:color w:val="000000" w:themeColor="text1"/>
          <w:sz w:val="26"/>
          <w:szCs w:val="26"/>
          <w:lang w:val="es-CO" w:eastAsia="ar-SA"/>
        </w:rPr>
        <w:t xml:space="preserve">, de modo que se garantice el registro inmediato y la continua actualización de la situación de cumplimiento o incumplimiento de las obligaciones de cada uno de los deudores </w:t>
      </w:r>
      <w:r w:rsidRPr="003C5DE8">
        <w:rPr>
          <w:rFonts w:ascii="Arial Narrow" w:hAnsi="Arial Narrow" w:cs="Arial"/>
          <w:b/>
          <w:bCs/>
          <w:color w:val="000000" w:themeColor="text1"/>
          <w:sz w:val="26"/>
          <w:szCs w:val="26"/>
          <w:lang w:val="es-CO" w:eastAsia="ar-SA"/>
        </w:rPr>
        <w:t>y su oportuna remisión a las respectivas centrales de riesgos.</w:t>
      </w:r>
      <w:r w:rsidRPr="003C5DE8">
        <w:rPr>
          <w:rFonts w:ascii="Arial Narrow" w:hAnsi="Arial Narrow" w:cs="Arial"/>
          <w:color w:val="000000" w:themeColor="text1"/>
          <w:sz w:val="26"/>
          <w:szCs w:val="26"/>
          <w:lang w:val="es-CO" w:eastAsia="ar-SA"/>
        </w:rPr>
        <w:t xml:space="preserve"> Es responsabilidad del representante legal evaluar el cumplimiento de esta actividad. </w:t>
      </w:r>
    </w:p>
    <w:p w14:paraId="4C23F78F" w14:textId="77777777" w:rsidR="0010027E" w:rsidRPr="003C5DE8" w:rsidRDefault="0010027E" w:rsidP="003C5DE8">
      <w:pPr>
        <w:widowControl/>
        <w:numPr>
          <w:ilvl w:val="0"/>
          <w:numId w:val="53"/>
        </w:numPr>
        <w:suppressAutoHyphens/>
        <w:autoSpaceDE/>
        <w:autoSpaceDN/>
        <w:jc w:val="both"/>
        <w:rPr>
          <w:rFonts w:ascii="Arial Narrow" w:hAnsi="Arial Narrow" w:cs="Arial"/>
          <w:color w:val="000000" w:themeColor="text1"/>
          <w:sz w:val="26"/>
          <w:szCs w:val="26"/>
          <w:lang w:val="es-CO" w:eastAsia="ar-SA"/>
        </w:rPr>
      </w:pPr>
      <w:r w:rsidRPr="003C5DE8">
        <w:rPr>
          <w:rFonts w:ascii="Arial Narrow" w:hAnsi="Arial Narrow" w:cs="Arial"/>
          <w:color w:val="000000" w:themeColor="text1"/>
          <w:sz w:val="26"/>
          <w:szCs w:val="26"/>
          <w:lang w:val="es-CO" w:eastAsia="ar-SA"/>
        </w:rPr>
        <w:t>Procedimientos adecuados y oportunos de atención de las solicitudes de actualización o rectificación de la información que presenten los asociados y usuarios.</w:t>
      </w:r>
    </w:p>
    <w:p w14:paraId="1ADD0C15" w14:textId="77777777" w:rsidR="0010027E" w:rsidRPr="003C5DE8" w:rsidRDefault="0010027E" w:rsidP="003C5DE8">
      <w:pPr>
        <w:ind w:left="567" w:hanging="567"/>
        <w:jc w:val="both"/>
        <w:rPr>
          <w:rFonts w:ascii="Arial Narrow" w:hAnsi="Arial Narrow" w:cs="Arial"/>
          <w:color w:val="000000" w:themeColor="text1"/>
          <w:sz w:val="26"/>
          <w:szCs w:val="26"/>
          <w:lang w:val="es-CO" w:eastAsia="ar-SA"/>
        </w:rPr>
      </w:pPr>
    </w:p>
    <w:p w14:paraId="3D2B2E70" w14:textId="77777777" w:rsidR="00876E99" w:rsidRPr="003C5DE8" w:rsidRDefault="00876E99" w:rsidP="003C5DE8">
      <w:pPr>
        <w:pStyle w:val="Textoindependiente"/>
        <w:ind w:left="567" w:hanging="567"/>
        <w:jc w:val="both"/>
        <w:rPr>
          <w:rFonts w:ascii="Arial Narrow" w:hAnsi="Arial Narrow"/>
          <w:color w:val="000000" w:themeColor="text1"/>
          <w:sz w:val="26"/>
          <w:szCs w:val="26"/>
          <w:lang w:val="es-CO"/>
        </w:rPr>
      </w:pPr>
      <w:bookmarkStart w:id="2287" w:name="_Toc10628863"/>
      <w:bookmarkStart w:id="2288" w:name="_Toc10650605"/>
      <w:bookmarkStart w:id="2289" w:name="_Toc10655643"/>
      <w:bookmarkStart w:id="2290" w:name="_Toc10655732"/>
      <w:bookmarkStart w:id="2291" w:name="_Toc10655956"/>
      <w:bookmarkStart w:id="2292" w:name="_Toc10656150"/>
      <w:bookmarkStart w:id="2293" w:name="_Toc11652144"/>
      <w:bookmarkStart w:id="2294" w:name="_Toc11652338"/>
      <w:bookmarkStart w:id="2295" w:name="_Toc11652532"/>
      <w:bookmarkStart w:id="2296" w:name="_Toc11652725"/>
      <w:bookmarkStart w:id="2297" w:name="_Toc11652920"/>
      <w:bookmarkStart w:id="2298" w:name="_Toc11666110"/>
      <w:bookmarkStart w:id="2299" w:name="_Toc11671904"/>
      <w:bookmarkStart w:id="2300" w:name="_Toc11674625"/>
      <w:bookmarkStart w:id="2301" w:name="_Toc11674992"/>
      <w:bookmarkStart w:id="2302" w:name="_Toc10628864"/>
      <w:bookmarkStart w:id="2303" w:name="_Toc10650606"/>
      <w:bookmarkStart w:id="2304" w:name="_Toc10655644"/>
      <w:bookmarkStart w:id="2305" w:name="_Toc10655733"/>
      <w:bookmarkStart w:id="2306" w:name="_Toc10655957"/>
      <w:bookmarkStart w:id="2307" w:name="_Toc10656151"/>
      <w:bookmarkStart w:id="2308" w:name="_Toc11652145"/>
      <w:bookmarkStart w:id="2309" w:name="_Toc11652339"/>
      <w:bookmarkStart w:id="2310" w:name="_Toc11652533"/>
      <w:bookmarkStart w:id="2311" w:name="_Toc11652726"/>
      <w:bookmarkStart w:id="2312" w:name="_Toc11652921"/>
      <w:bookmarkStart w:id="2313" w:name="_Toc11666111"/>
      <w:bookmarkStart w:id="2314" w:name="_Toc11671905"/>
      <w:bookmarkStart w:id="2315" w:name="_Toc11674626"/>
      <w:bookmarkStart w:id="2316" w:name="_Toc11674993"/>
      <w:bookmarkStart w:id="2317" w:name="_Toc1730454"/>
      <w:bookmarkStart w:id="2318" w:name="_Toc1730694"/>
      <w:bookmarkStart w:id="2319" w:name="_Toc1745779"/>
      <w:bookmarkStart w:id="2320" w:name="_Toc1730455"/>
      <w:bookmarkStart w:id="2321" w:name="_Toc1730695"/>
      <w:bookmarkStart w:id="2322" w:name="_Toc1745780"/>
      <w:bookmarkStart w:id="2323" w:name="_Toc1730456"/>
      <w:bookmarkStart w:id="2324" w:name="_Toc1730696"/>
      <w:bookmarkStart w:id="2325" w:name="_Toc1745781"/>
      <w:bookmarkStart w:id="2326" w:name="_Toc1730457"/>
      <w:bookmarkStart w:id="2327" w:name="_Toc1730697"/>
      <w:bookmarkStart w:id="2328" w:name="_Toc1745782"/>
      <w:bookmarkEnd w:id="2245"/>
      <w:bookmarkEnd w:id="2287"/>
      <w:bookmarkEnd w:id="2288"/>
      <w:bookmarkEnd w:id="2289"/>
      <w:bookmarkEnd w:id="2290"/>
      <w:bookmarkEnd w:id="2291"/>
      <w:bookmarkEnd w:id="2292"/>
      <w:bookmarkEnd w:id="2293"/>
      <w:bookmarkEnd w:id="2294"/>
      <w:bookmarkEnd w:id="2295"/>
      <w:bookmarkEnd w:id="2296"/>
      <w:bookmarkEnd w:id="2297"/>
      <w:bookmarkEnd w:id="2298"/>
      <w:bookmarkEnd w:id="2299"/>
      <w:bookmarkEnd w:id="2300"/>
      <w:bookmarkEnd w:id="2301"/>
      <w:bookmarkEnd w:id="2302"/>
      <w:bookmarkEnd w:id="2303"/>
      <w:bookmarkEnd w:id="2304"/>
      <w:bookmarkEnd w:id="2305"/>
      <w:bookmarkEnd w:id="2306"/>
      <w:bookmarkEnd w:id="2307"/>
      <w:bookmarkEnd w:id="2308"/>
      <w:bookmarkEnd w:id="2309"/>
      <w:bookmarkEnd w:id="2310"/>
      <w:bookmarkEnd w:id="2311"/>
      <w:bookmarkEnd w:id="2312"/>
      <w:bookmarkEnd w:id="2313"/>
      <w:bookmarkEnd w:id="2314"/>
      <w:bookmarkEnd w:id="2315"/>
      <w:bookmarkEnd w:id="2316"/>
      <w:bookmarkEnd w:id="2317"/>
      <w:bookmarkEnd w:id="2318"/>
      <w:bookmarkEnd w:id="2319"/>
      <w:bookmarkEnd w:id="2320"/>
      <w:bookmarkEnd w:id="2321"/>
      <w:bookmarkEnd w:id="2322"/>
      <w:bookmarkEnd w:id="2323"/>
      <w:bookmarkEnd w:id="2324"/>
      <w:bookmarkEnd w:id="2325"/>
      <w:bookmarkEnd w:id="2326"/>
      <w:bookmarkEnd w:id="2327"/>
      <w:bookmarkEnd w:id="2328"/>
    </w:p>
    <w:p w14:paraId="31EDDF01" w14:textId="1B811D3D" w:rsidR="000970BD" w:rsidRPr="003C5DE8" w:rsidRDefault="000970BD" w:rsidP="003C5DE8">
      <w:pPr>
        <w:ind w:left="567" w:hanging="567"/>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br w:type="page"/>
      </w:r>
    </w:p>
    <w:p w14:paraId="3EE3B215" w14:textId="77777777" w:rsidR="000970BD" w:rsidRPr="003C5DE8" w:rsidRDefault="000970BD" w:rsidP="003C5DE8">
      <w:pPr>
        <w:pStyle w:val="Textoindependiente"/>
        <w:shd w:val="clear" w:color="auto" w:fill="EAF1DD" w:themeFill="accent3" w:themeFillTint="33"/>
        <w:ind w:left="567" w:hanging="567"/>
        <w:jc w:val="center"/>
        <w:rPr>
          <w:rFonts w:ascii="Arial Narrow" w:hAnsi="Arial Narrow"/>
          <w:b/>
          <w:bCs/>
          <w:color w:val="000000" w:themeColor="text1"/>
          <w:sz w:val="26"/>
          <w:szCs w:val="26"/>
          <w:lang w:val="es-CO"/>
        </w:rPr>
      </w:pPr>
      <w:r w:rsidRPr="003C5DE8">
        <w:rPr>
          <w:rFonts w:ascii="Arial Narrow" w:hAnsi="Arial Narrow"/>
          <w:b/>
          <w:bCs/>
          <w:color w:val="000000" w:themeColor="text1"/>
          <w:sz w:val="26"/>
          <w:szCs w:val="26"/>
          <w:lang w:val="es-CO"/>
        </w:rPr>
        <w:lastRenderedPageBreak/>
        <w:t xml:space="preserve">ANEXO 1 - CONSIDERACIONES PARA LA CALIFICACIÓN Y DETERIORO </w:t>
      </w:r>
    </w:p>
    <w:p w14:paraId="4033B708" w14:textId="77777777" w:rsidR="000970BD" w:rsidRPr="003C5DE8" w:rsidRDefault="000970BD" w:rsidP="003C5DE8">
      <w:pPr>
        <w:pStyle w:val="Textoindependiente"/>
        <w:ind w:left="567" w:hanging="567"/>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1B017ADC" w14:textId="77777777" w:rsidR="000970BD" w:rsidRPr="003C5DE8" w:rsidRDefault="000970BD" w:rsidP="003C5DE8">
      <w:pPr>
        <w:pStyle w:val="Textoindependiente"/>
        <w:ind w:left="567" w:hanging="567"/>
        <w:rPr>
          <w:rFonts w:ascii="Arial Narrow" w:hAnsi="Arial Narrow"/>
          <w:b/>
          <w:bCs/>
          <w:color w:val="000000" w:themeColor="text1"/>
          <w:sz w:val="26"/>
          <w:szCs w:val="26"/>
          <w:lang w:val="es-CO"/>
        </w:rPr>
      </w:pPr>
      <w:r w:rsidRPr="003C5DE8">
        <w:rPr>
          <w:rFonts w:ascii="Arial Narrow" w:hAnsi="Arial Narrow"/>
          <w:color w:val="000000" w:themeColor="text1"/>
          <w:sz w:val="26"/>
          <w:szCs w:val="26"/>
          <w:lang w:val="es-CO"/>
        </w:rPr>
        <w:t xml:space="preserve"> </w:t>
      </w:r>
      <w:r w:rsidRPr="003C5DE8">
        <w:rPr>
          <w:rFonts w:ascii="Arial Narrow" w:hAnsi="Arial Narrow"/>
          <w:b/>
          <w:bCs/>
          <w:color w:val="000000" w:themeColor="text1"/>
          <w:sz w:val="26"/>
          <w:szCs w:val="26"/>
          <w:lang w:val="es-CO"/>
        </w:rPr>
        <w:t xml:space="preserve">1. </w:t>
      </w:r>
      <w:r w:rsidRPr="003C5DE8">
        <w:rPr>
          <w:rFonts w:ascii="Arial Narrow" w:hAnsi="Arial Narrow"/>
          <w:b/>
          <w:bCs/>
          <w:color w:val="000000" w:themeColor="text1"/>
          <w:sz w:val="26"/>
          <w:szCs w:val="26"/>
          <w:lang w:val="es-CO"/>
        </w:rPr>
        <w:tab/>
        <w:t xml:space="preserve">PARÁMETROS SOBRE LA CALIFICACIÓN DE RIESGO DE LOS CRÉDITOS </w:t>
      </w:r>
    </w:p>
    <w:p w14:paraId="22D3124E"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1671FFA6" w14:textId="75AD3795"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proofErr w:type="gramStart"/>
      <w:r w:rsidRPr="003C5DE8">
        <w:rPr>
          <w:rFonts w:ascii="Arial Narrow" w:hAnsi="Arial Narrow"/>
          <w:color w:val="000000" w:themeColor="text1"/>
          <w:sz w:val="26"/>
          <w:szCs w:val="26"/>
          <w:lang w:val="es-CO"/>
        </w:rPr>
        <w:t xml:space="preserve">Las operaciones crediticias </w:t>
      </w:r>
      <w:r w:rsidR="009B3A78" w:rsidRPr="003C5DE8">
        <w:rPr>
          <w:rFonts w:ascii="Arial Narrow" w:hAnsi="Arial Narrow"/>
          <w:color w:val="000000" w:themeColor="text1"/>
          <w:sz w:val="26"/>
          <w:szCs w:val="26"/>
          <w:lang w:val="es-CO"/>
        </w:rPr>
        <w:t>debe</w:t>
      </w:r>
      <w:proofErr w:type="gramEnd"/>
      <w:r w:rsidRPr="003C5DE8">
        <w:rPr>
          <w:rFonts w:ascii="Arial Narrow" w:hAnsi="Arial Narrow"/>
          <w:color w:val="000000" w:themeColor="text1"/>
          <w:sz w:val="26"/>
          <w:szCs w:val="26"/>
          <w:lang w:val="es-CO"/>
        </w:rPr>
        <w:t xml:space="preserve"> clasificarse en una de las siguientes categorías de riesgo, según corresponda: </w:t>
      </w:r>
    </w:p>
    <w:p w14:paraId="2E693775"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1581472B"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w:t>
      </w:r>
      <w:r w:rsidRPr="003C5DE8">
        <w:rPr>
          <w:rFonts w:ascii="Arial Narrow" w:hAnsi="Arial Narrow"/>
          <w:color w:val="000000" w:themeColor="text1"/>
          <w:sz w:val="26"/>
          <w:szCs w:val="26"/>
          <w:lang w:val="es-CO"/>
        </w:rPr>
        <w:tab/>
        <w:t xml:space="preserve">Categoría A o “riesgo normal” </w:t>
      </w:r>
    </w:p>
    <w:p w14:paraId="1B93F0EC"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w:t>
      </w:r>
      <w:r w:rsidRPr="003C5DE8">
        <w:rPr>
          <w:rFonts w:ascii="Arial Narrow" w:hAnsi="Arial Narrow"/>
          <w:color w:val="000000" w:themeColor="text1"/>
          <w:sz w:val="26"/>
          <w:szCs w:val="26"/>
          <w:lang w:val="es-CO"/>
        </w:rPr>
        <w:tab/>
        <w:t xml:space="preserve">Categoría B o “riesgo aceptable, superior al normal” </w:t>
      </w:r>
    </w:p>
    <w:p w14:paraId="158E5F56"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w:t>
      </w:r>
      <w:r w:rsidRPr="003C5DE8">
        <w:rPr>
          <w:rFonts w:ascii="Arial Narrow" w:hAnsi="Arial Narrow"/>
          <w:color w:val="000000" w:themeColor="text1"/>
          <w:sz w:val="26"/>
          <w:szCs w:val="26"/>
          <w:lang w:val="es-CO"/>
        </w:rPr>
        <w:tab/>
        <w:t xml:space="preserve">Categoría C o “riesgo apreciable” </w:t>
      </w:r>
    </w:p>
    <w:p w14:paraId="11EC124E"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w:t>
      </w:r>
      <w:r w:rsidRPr="003C5DE8">
        <w:rPr>
          <w:rFonts w:ascii="Arial Narrow" w:hAnsi="Arial Narrow"/>
          <w:color w:val="000000" w:themeColor="text1"/>
          <w:sz w:val="26"/>
          <w:szCs w:val="26"/>
          <w:lang w:val="es-CO"/>
        </w:rPr>
        <w:tab/>
        <w:t xml:space="preserve">Categoría D o “riesgo significativo” </w:t>
      </w:r>
    </w:p>
    <w:p w14:paraId="2886E652"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w:t>
      </w:r>
      <w:r w:rsidRPr="003C5DE8">
        <w:rPr>
          <w:rFonts w:ascii="Arial Narrow" w:hAnsi="Arial Narrow"/>
          <w:color w:val="000000" w:themeColor="text1"/>
          <w:sz w:val="26"/>
          <w:szCs w:val="26"/>
          <w:lang w:val="es-CO"/>
        </w:rPr>
        <w:tab/>
        <w:t xml:space="preserve">Categoría E o “riesgo de incobrabilidad” </w:t>
      </w:r>
    </w:p>
    <w:p w14:paraId="5A3EA32A"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3006781F"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1.1.</w:t>
      </w:r>
      <w:r w:rsidRPr="003C5DE8">
        <w:rPr>
          <w:rFonts w:ascii="Arial Narrow" w:hAnsi="Arial Narrow"/>
          <w:color w:val="000000" w:themeColor="text1"/>
          <w:sz w:val="26"/>
          <w:szCs w:val="26"/>
          <w:lang w:val="es-CO"/>
        </w:rPr>
        <w:tab/>
        <w:t xml:space="preserve">Categoría "A": Crédito con riesgo crediticio NORMAL. Los créditos calificados en esta categoría reflejan una estructuración y atención apropiadas. Los estados financieros de los deudores o los flujos de caja del proyecto, así como la demás información crediticia, indican una capacidad de pago adecuada, en términos del monto y origen de los ingresos con que cuentan los deudores para atender los pagos requeridos. Así mismo, su altura de mora será: </w:t>
      </w:r>
    </w:p>
    <w:p w14:paraId="033B0C64"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0B57049D" w14:textId="77777777" w:rsidR="000970BD" w:rsidRPr="003C5DE8" w:rsidRDefault="000970BD" w:rsidP="003C5DE8">
      <w:pPr>
        <w:pStyle w:val="Textoindependiente"/>
        <w:ind w:left="567" w:hanging="567"/>
        <w:jc w:val="both"/>
        <w:rPr>
          <w:rFonts w:ascii="Arial Narrow" w:hAnsi="Arial Narrow"/>
          <w:b/>
          <w:bCs/>
          <w:color w:val="000000" w:themeColor="text1"/>
          <w:sz w:val="26"/>
          <w:szCs w:val="26"/>
          <w:lang w:val="es-CO"/>
        </w:rPr>
      </w:pPr>
      <w:r w:rsidRPr="003C5DE8">
        <w:rPr>
          <w:rFonts w:ascii="Arial Narrow" w:hAnsi="Arial Narrow"/>
          <w:b/>
          <w:bCs/>
          <w:color w:val="000000" w:themeColor="text1"/>
          <w:sz w:val="26"/>
          <w:szCs w:val="26"/>
          <w:lang w:val="es-CO"/>
        </w:rPr>
        <w:t xml:space="preserve"> MODALIDAD DE CREDITO </w:t>
      </w:r>
      <w:r w:rsidRPr="003C5DE8">
        <w:rPr>
          <w:rFonts w:ascii="Arial Narrow" w:hAnsi="Arial Narrow"/>
          <w:b/>
          <w:bCs/>
          <w:color w:val="000000" w:themeColor="text1"/>
          <w:sz w:val="26"/>
          <w:szCs w:val="26"/>
          <w:lang w:val="es-CO"/>
        </w:rPr>
        <w:tab/>
        <w:t xml:space="preserve">DÍAS EN MORA </w:t>
      </w:r>
    </w:p>
    <w:p w14:paraId="2458BBED"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Vivienda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Hasta 60 días </w:t>
      </w:r>
    </w:p>
    <w:p w14:paraId="7B2E491A"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Consumo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Hasta 30 días </w:t>
      </w:r>
    </w:p>
    <w:p w14:paraId="39B76F7B"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Microcrédito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Hasta 30 días </w:t>
      </w:r>
    </w:p>
    <w:p w14:paraId="4D3C9BAC"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Comercial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Hasta 30 días </w:t>
      </w:r>
    </w:p>
    <w:p w14:paraId="292CF518"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3CC36ADE"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1.2.</w:t>
      </w:r>
      <w:r w:rsidRPr="003C5DE8">
        <w:rPr>
          <w:rFonts w:ascii="Arial Narrow" w:hAnsi="Arial Narrow"/>
          <w:color w:val="000000" w:themeColor="text1"/>
          <w:sz w:val="26"/>
          <w:szCs w:val="26"/>
          <w:lang w:val="es-CO"/>
        </w:rPr>
        <w:tab/>
        <w:t xml:space="preserve">Categoría "B": Crédito con riesgo ACEPTABLE. Los créditos calificados en esta categoría están aceptablemente atendidos y protegidos, pero existen debilidades que potencialmente pueden afectar, transitoria o permanentemente, la capacidad de pago del deudor o los flujos de caja del proyecto, en forma tal que, de no ser corregidas oportunamente, llegarían a afectar el normal recaudo del crédito. Así mismo, su altura de mora será: </w:t>
      </w:r>
    </w:p>
    <w:p w14:paraId="2FE795A0"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6263DFD5" w14:textId="77777777" w:rsidR="000970BD" w:rsidRPr="003C5DE8" w:rsidRDefault="000970BD" w:rsidP="003C5DE8">
      <w:pPr>
        <w:pStyle w:val="Textoindependiente"/>
        <w:ind w:left="567" w:hanging="567"/>
        <w:jc w:val="both"/>
        <w:rPr>
          <w:rFonts w:ascii="Arial Narrow" w:hAnsi="Arial Narrow"/>
          <w:b/>
          <w:bCs/>
          <w:color w:val="000000" w:themeColor="text1"/>
          <w:sz w:val="26"/>
          <w:szCs w:val="26"/>
          <w:lang w:val="es-CO"/>
        </w:rPr>
      </w:pPr>
      <w:r w:rsidRPr="003C5DE8">
        <w:rPr>
          <w:rFonts w:ascii="Arial Narrow" w:hAnsi="Arial Narrow"/>
          <w:b/>
          <w:bCs/>
          <w:color w:val="000000" w:themeColor="text1"/>
          <w:sz w:val="26"/>
          <w:szCs w:val="26"/>
          <w:lang w:val="es-CO"/>
        </w:rPr>
        <w:t xml:space="preserve">MODALIDAD DE CREDITO </w:t>
      </w:r>
      <w:r w:rsidRPr="003C5DE8">
        <w:rPr>
          <w:rFonts w:ascii="Arial Narrow" w:hAnsi="Arial Narrow"/>
          <w:b/>
          <w:bCs/>
          <w:color w:val="000000" w:themeColor="text1"/>
          <w:sz w:val="26"/>
          <w:szCs w:val="26"/>
          <w:lang w:val="es-CO"/>
        </w:rPr>
        <w:tab/>
        <w:t xml:space="preserve">DÍAS en mora (Rango) </w:t>
      </w:r>
    </w:p>
    <w:p w14:paraId="2C8EDDE0"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Vivienda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Más de 60 días hasta 150 días </w:t>
      </w:r>
    </w:p>
    <w:p w14:paraId="7FE298A3"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Consumo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Más de 30 días hasta 60 días </w:t>
      </w:r>
    </w:p>
    <w:p w14:paraId="3306A33F"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Microcrédito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Más de 30 días hasta 60 días </w:t>
      </w:r>
    </w:p>
    <w:p w14:paraId="20B16F72"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Comercial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Más de 30 días hasta 90 días </w:t>
      </w:r>
    </w:p>
    <w:p w14:paraId="520D2DCC"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5EA2CC97"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1.3.</w:t>
      </w:r>
      <w:r w:rsidRPr="003C5DE8">
        <w:rPr>
          <w:rFonts w:ascii="Arial Narrow" w:hAnsi="Arial Narrow"/>
          <w:color w:val="000000" w:themeColor="text1"/>
          <w:sz w:val="26"/>
          <w:szCs w:val="26"/>
          <w:lang w:val="es-CO"/>
        </w:rPr>
        <w:tab/>
        <w:t xml:space="preserve">Categoría "C": Crédito deficiente, con riesgo APRECIABLE. Se califican en esta categoría los créditos o contratos que presentan insuficiencias en la capacidad de pago del deudor o en los flujos de caja del proyecto, que comprometan el normal recaudo de la obligación en los términos convenidos. Así mismo, su altura de mora será: </w:t>
      </w:r>
    </w:p>
    <w:p w14:paraId="268FA2C3"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6F63C783" w14:textId="77777777" w:rsidR="000970BD" w:rsidRPr="003C5DE8" w:rsidRDefault="000970BD" w:rsidP="003C5DE8">
      <w:pPr>
        <w:pStyle w:val="Textoindependiente"/>
        <w:ind w:left="567" w:hanging="567"/>
        <w:jc w:val="both"/>
        <w:rPr>
          <w:rFonts w:ascii="Arial Narrow" w:hAnsi="Arial Narrow"/>
          <w:b/>
          <w:bCs/>
          <w:color w:val="000000" w:themeColor="text1"/>
          <w:sz w:val="26"/>
          <w:szCs w:val="26"/>
          <w:lang w:val="es-CO"/>
        </w:rPr>
      </w:pPr>
      <w:r w:rsidRPr="003C5DE8">
        <w:rPr>
          <w:rFonts w:ascii="Arial Narrow" w:hAnsi="Arial Narrow"/>
          <w:b/>
          <w:bCs/>
          <w:color w:val="000000" w:themeColor="text1"/>
          <w:sz w:val="26"/>
          <w:szCs w:val="26"/>
          <w:lang w:val="es-CO"/>
        </w:rPr>
        <w:t xml:space="preserve">MODALIDAD DE CREDITO </w:t>
      </w:r>
      <w:r w:rsidRPr="003C5DE8">
        <w:rPr>
          <w:rFonts w:ascii="Arial Narrow" w:hAnsi="Arial Narrow"/>
          <w:b/>
          <w:bCs/>
          <w:color w:val="000000" w:themeColor="text1"/>
          <w:sz w:val="26"/>
          <w:szCs w:val="26"/>
          <w:lang w:val="es-CO"/>
        </w:rPr>
        <w:tab/>
        <w:t xml:space="preserve">DÍAS en mora (Rango) </w:t>
      </w:r>
    </w:p>
    <w:p w14:paraId="61E9E107"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Vivienda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Más de 150 días hasta 360 días </w:t>
      </w:r>
    </w:p>
    <w:p w14:paraId="646AADDF"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Consumo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Más de 60 días hasta 90 días </w:t>
      </w:r>
    </w:p>
    <w:p w14:paraId="6B9D262A"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Microcrédito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Más de 60 días hasta 90 días </w:t>
      </w:r>
    </w:p>
    <w:p w14:paraId="06CE1784"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Comercial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Más de 90 días hasta 120 días </w:t>
      </w:r>
    </w:p>
    <w:p w14:paraId="2B68D8FA"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lastRenderedPageBreak/>
        <w:t xml:space="preserve"> </w:t>
      </w:r>
    </w:p>
    <w:p w14:paraId="7058C73C"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1.4.</w:t>
      </w:r>
      <w:r w:rsidRPr="003C5DE8">
        <w:rPr>
          <w:rFonts w:ascii="Arial Narrow" w:hAnsi="Arial Narrow"/>
          <w:color w:val="000000" w:themeColor="text1"/>
          <w:sz w:val="26"/>
          <w:szCs w:val="26"/>
          <w:lang w:val="es-CO"/>
        </w:rPr>
        <w:tab/>
        <w:t xml:space="preserve">Categoría "D": Crédito de difícil cobro, con riesgo SIGNIFICATIVO. Es aquél que tiene cualquiera de las características del deficiente, pero en mayor grado, de tal suerte que la probabilidad de recaudo es altamente dudosa. Así mismo, su altura de mora será: </w:t>
      </w:r>
    </w:p>
    <w:p w14:paraId="18E02F87"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6B8C02B7" w14:textId="77777777" w:rsidR="000970BD" w:rsidRPr="003C5DE8" w:rsidRDefault="000970BD" w:rsidP="003C5DE8">
      <w:pPr>
        <w:pStyle w:val="Textoindependiente"/>
        <w:ind w:left="567" w:hanging="567"/>
        <w:jc w:val="both"/>
        <w:rPr>
          <w:rFonts w:ascii="Arial Narrow" w:hAnsi="Arial Narrow"/>
          <w:b/>
          <w:bCs/>
          <w:color w:val="000000" w:themeColor="text1"/>
          <w:sz w:val="26"/>
          <w:szCs w:val="26"/>
          <w:lang w:val="es-CO"/>
        </w:rPr>
      </w:pPr>
      <w:r w:rsidRPr="003C5DE8">
        <w:rPr>
          <w:rFonts w:ascii="Arial Narrow" w:hAnsi="Arial Narrow"/>
          <w:b/>
          <w:bCs/>
          <w:color w:val="000000" w:themeColor="text1"/>
          <w:sz w:val="26"/>
          <w:szCs w:val="26"/>
          <w:lang w:val="es-CO"/>
        </w:rPr>
        <w:t xml:space="preserve">MODALIDAD DE CREDITO </w:t>
      </w:r>
      <w:r w:rsidRPr="003C5DE8">
        <w:rPr>
          <w:rFonts w:ascii="Arial Narrow" w:hAnsi="Arial Narrow"/>
          <w:b/>
          <w:bCs/>
          <w:color w:val="000000" w:themeColor="text1"/>
          <w:sz w:val="26"/>
          <w:szCs w:val="26"/>
          <w:lang w:val="es-CO"/>
        </w:rPr>
        <w:tab/>
        <w:t xml:space="preserve">DÍAS en mora (Rango) </w:t>
      </w:r>
    </w:p>
    <w:p w14:paraId="75511AEB"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Vivienda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Más de 360 días hasta 540 días </w:t>
      </w:r>
    </w:p>
    <w:p w14:paraId="43828DB3"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Consumo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Más de 90 días hasta 180 días </w:t>
      </w:r>
    </w:p>
    <w:p w14:paraId="0282EE43"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Microcrédito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Más de 90 días hasta 120 días </w:t>
      </w:r>
    </w:p>
    <w:p w14:paraId="73FB38D5"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Comercial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Más de 120 días hasta 150 días </w:t>
      </w:r>
    </w:p>
    <w:p w14:paraId="07C041F0"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75AE56A5" w14:textId="46982E85" w:rsidR="000970BD" w:rsidRPr="003C5DE8" w:rsidRDefault="002140BF" w:rsidP="003C5DE8">
      <w:pPr>
        <w:pStyle w:val="Textoindependiente"/>
        <w:ind w:left="567" w:hanging="567"/>
        <w:jc w:val="both"/>
        <w:rPr>
          <w:rFonts w:ascii="Arial Narrow" w:hAnsi="Arial Narrow"/>
          <w:b/>
          <w:bCs/>
          <w:color w:val="000000" w:themeColor="text1"/>
          <w:sz w:val="26"/>
          <w:szCs w:val="26"/>
          <w:lang w:val="es-CO"/>
        </w:rPr>
      </w:pPr>
      <w:r w:rsidRPr="003C5DE8">
        <w:rPr>
          <w:rFonts w:ascii="Arial Narrow" w:hAnsi="Arial Narrow"/>
          <w:b/>
          <w:bCs/>
          <w:color w:val="000000" w:themeColor="text1"/>
          <w:sz w:val="26"/>
          <w:szCs w:val="26"/>
          <w:lang w:val="es-CO"/>
        </w:rPr>
        <w:t>Deberá</w:t>
      </w:r>
      <w:r w:rsidR="000970BD" w:rsidRPr="003C5DE8">
        <w:rPr>
          <w:rFonts w:ascii="Arial Narrow" w:hAnsi="Arial Narrow"/>
          <w:b/>
          <w:bCs/>
          <w:color w:val="000000" w:themeColor="text1"/>
          <w:sz w:val="26"/>
          <w:szCs w:val="26"/>
          <w:lang w:val="es-CO"/>
        </w:rPr>
        <w:t xml:space="preserve"> clasificarse en esta categoría aquellos créditos que incurran en mora superior a siete (7) días y que su amortización sea a una sola cuota, exceptuando las tarjetas de crédito y cupos rotativos diferidos a una cuota. </w:t>
      </w:r>
    </w:p>
    <w:p w14:paraId="3C3EFC91"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576C0DA2"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1.5.</w:t>
      </w:r>
      <w:r w:rsidRPr="003C5DE8">
        <w:rPr>
          <w:rFonts w:ascii="Arial Narrow" w:hAnsi="Arial Narrow"/>
          <w:color w:val="000000" w:themeColor="text1"/>
          <w:sz w:val="26"/>
          <w:szCs w:val="26"/>
          <w:lang w:val="es-CO"/>
        </w:rPr>
        <w:tab/>
        <w:t xml:space="preserve">Categoría "E": Crédito IRRECUPERABLE. Es aquél que se estima incobrable. Así mismo, su altura de mora será: </w:t>
      </w:r>
    </w:p>
    <w:p w14:paraId="6753DA37"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16E74C12" w14:textId="77777777" w:rsidR="000970BD" w:rsidRPr="003C5DE8" w:rsidRDefault="000970BD" w:rsidP="003C5DE8">
      <w:pPr>
        <w:pStyle w:val="Textoindependiente"/>
        <w:ind w:left="567" w:hanging="567"/>
        <w:jc w:val="both"/>
        <w:rPr>
          <w:rFonts w:ascii="Arial Narrow" w:hAnsi="Arial Narrow"/>
          <w:b/>
          <w:bCs/>
          <w:color w:val="000000" w:themeColor="text1"/>
          <w:sz w:val="26"/>
          <w:szCs w:val="26"/>
          <w:lang w:val="es-CO"/>
        </w:rPr>
      </w:pPr>
      <w:r w:rsidRPr="003C5DE8">
        <w:rPr>
          <w:rFonts w:ascii="Arial Narrow" w:hAnsi="Arial Narrow"/>
          <w:b/>
          <w:bCs/>
          <w:color w:val="000000" w:themeColor="text1"/>
          <w:sz w:val="26"/>
          <w:szCs w:val="26"/>
          <w:lang w:val="es-CO"/>
        </w:rPr>
        <w:t xml:space="preserve">MODALIDAD DE CREDITO </w:t>
      </w:r>
      <w:r w:rsidRPr="003C5DE8">
        <w:rPr>
          <w:rFonts w:ascii="Arial Narrow" w:hAnsi="Arial Narrow"/>
          <w:b/>
          <w:bCs/>
          <w:color w:val="000000" w:themeColor="text1"/>
          <w:sz w:val="26"/>
          <w:szCs w:val="26"/>
          <w:lang w:val="es-CO"/>
        </w:rPr>
        <w:tab/>
        <w:t xml:space="preserve">DÍAS en mora (Rango) </w:t>
      </w:r>
    </w:p>
    <w:p w14:paraId="425E0B15"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Vivienda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Más de 540 días </w:t>
      </w:r>
    </w:p>
    <w:p w14:paraId="2CDBF57A"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Consumo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Más de 180 días </w:t>
      </w:r>
    </w:p>
    <w:p w14:paraId="0D6522CA"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Microcrédito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Más de 120 días </w:t>
      </w:r>
    </w:p>
    <w:p w14:paraId="7BF44E36"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Comercial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Más de 150 días </w:t>
      </w:r>
    </w:p>
    <w:p w14:paraId="66695B9C"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72EC6262" w14:textId="6E0F0B56" w:rsidR="000970BD" w:rsidRPr="003C5DE8" w:rsidRDefault="002140BF" w:rsidP="003C5DE8">
      <w:pPr>
        <w:pStyle w:val="Textoindependiente"/>
        <w:jc w:val="both"/>
        <w:rPr>
          <w:rFonts w:ascii="Arial Narrow" w:hAnsi="Arial Narrow"/>
          <w:color w:val="000000" w:themeColor="text1"/>
          <w:sz w:val="26"/>
          <w:szCs w:val="26"/>
          <w:lang w:val="es-CO"/>
        </w:rPr>
      </w:pPr>
      <w:r w:rsidRPr="003C5DE8">
        <w:rPr>
          <w:rFonts w:ascii="Arial Narrow" w:hAnsi="Arial Narrow"/>
          <w:b/>
          <w:bCs/>
          <w:color w:val="000000" w:themeColor="text1"/>
          <w:sz w:val="26"/>
          <w:szCs w:val="26"/>
          <w:lang w:val="es-CO"/>
        </w:rPr>
        <w:t>Deberá</w:t>
      </w:r>
      <w:r w:rsidR="000970BD" w:rsidRPr="003C5DE8">
        <w:rPr>
          <w:rFonts w:ascii="Arial Narrow" w:hAnsi="Arial Narrow"/>
          <w:b/>
          <w:bCs/>
          <w:color w:val="000000" w:themeColor="text1"/>
          <w:sz w:val="26"/>
          <w:szCs w:val="26"/>
          <w:lang w:val="es-CO"/>
        </w:rPr>
        <w:t xml:space="preserve"> clasificarse en esta categoría aquellos créditos que superen 90 días de mora y que su amortización sea a una sola cuota, exceptuando las tarjetas de crédito y cupos rotativos diferidos a una cuota.</w:t>
      </w:r>
      <w:r w:rsidR="000970BD" w:rsidRPr="003C5DE8">
        <w:rPr>
          <w:rFonts w:ascii="Arial Narrow" w:hAnsi="Arial Narrow"/>
          <w:color w:val="000000" w:themeColor="text1"/>
          <w:sz w:val="26"/>
          <w:szCs w:val="26"/>
          <w:lang w:val="es-CO"/>
        </w:rPr>
        <w:t xml:space="preserve"> </w:t>
      </w:r>
    </w:p>
    <w:p w14:paraId="71874D53"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p>
    <w:p w14:paraId="6EAE4F94" w14:textId="3BA1DE0F" w:rsidR="000970BD" w:rsidRPr="003C5DE8" w:rsidRDefault="000970BD" w:rsidP="003C5DE8">
      <w:pPr>
        <w:pStyle w:val="Textoindependiente"/>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Las condiciones señaladas en los cuadros anteriores, de edad de vencimiento por modalidad de cartera, son condiciones objetivas para adquirir la calificación respectiva. Sin embargo, </w:t>
      </w:r>
      <w:r w:rsidR="009A4C18">
        <w:rPr>
          <w:rFonts w:ascii="Arial Narrow" w:hAnsi="Arial Narrow"/>
          <w:color w:val="000000" w:themeColor="text1"/>
          <w:sz w:val="26"/>
          <w:szCs w:val="26"/>
          <w:lang w:val="es-CO"/>
        </w:rPr>
        <w:t>FONDEJEMPLO</w:t>
      </w:r>
      <w:r w:rsidRPr="003C5DE8">
        <w:rPr>
          <w:rFonts w:ascii="Arial Narrow" w:hAnsi="Arial Narrow"/>
          <w:color w:val="000000" w:themeColor="text1"/>
          <w:sz w:val="26"/>
          <w:szCs w:val="26"/>
          <w:lang w:val="es-CO"/>
        </w:rPr>
        <w:t xml:space="preserve"> debe clasificar en categorías de mayor riesgo a los deudores que independientemente que cumplan con las condiciones de altura de mora, presenten mayor riesgo por otros factores descritos en cada una de las categorías. </w:t>
      </w:r>
    </w:p>
    <w:p w14:paraId="302FC64B" w14:textId="77777777" w:rsidR="000970BD" w:rsidRPr="003C5DE8" w:rsidRDefault="000970BD" w:rsidP="003C5DE8">
      <w:pPr>
        <w:pStyle w:val="Textoindependiente"/>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33D709E2" w14:textId="77777777" w:rsidR="000970BD" w:rsidRPr="003C5DE8" w:rsidRDefault="000970BD" w:rsidP="003C5DE8">
      <w:pPr>
        <w:pStyle w:val="Textoindependiente"/>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No se consideran créditos a una sola cuota, los créditos rotativos y las utilizaciones de las tarjetas de crédito. Para estos casos, se deberá dar el tratamiento de calificación previsto para los créditos de consumo o comercial, dependiendo de la clasificación del crédito. </w:t>
      </w:r>
    </w:p>
    <w:p w14:paraId="5BA2E663" w14:textId="77777777" w:rsidR="000970BD" w:rsidRPr="003C5DE8" w:rsidRDefault="000970BD" w:rsidP="003C5DE8">
      <w:pPr>
        <w:pStyle w:val="Textoindependiente"/>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136D4227" w14:textId="1F7E6BA1" w:rsidR="000970BD" w:rsidRPr="003C5DE8" w:rsidRDefault="000970BD" w:rsidP="003C5DE8">
      <w:pPr>
        <w:pStyle w:val="Textoindependiente"/>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En todos los casos, la Supersolidaria podrá ordenar recalificaciones de la cartera de crédito cuando estime que la probabilidad de recaudo sea dudosa y se pueda comprometer la estabilidad financiera de </w:t>
      </w:r>
      <w:r w:rsidR="009A4C18">
        <w:rPr>
          <w:rFonts w:ascii="Arial Narrow" w:hAnsi="Arial Narrow"/>
          <w:color w:val="000000" w:themeColor="text1"/>
          <w:sz w:val="26"/>
          <w:szCs w:val="26"/>
          <w:lang w:val="es-CO"/>
        </w:rPr>
        <w:t>FONDEJEMPLO</w:t>
      </w:r>
      <w:r w:rsidRPr="003C5DE8">
        <w:rPr>
          <w:rFonts w:ascii="Arial Narrow" w:hAnsi="Arial Narrow"/>
          <w:color w:val="000000" w:themeColor="text1"/>
          <w:sz w:val="26"/>
          <w:szCs w:val="26"/>
          <w:lang w:val="es-CO"/>
        </w:rPr>
        <w:t xml:space="preserve">. </w:t>
      </w:r>
    </w:p>
    <w:p w14:paraId="618F9201"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5BE12746" w14:textId="77777777" w:rsidR="000970BD" w:rsidRPr="003C5DE8" w:rsidRDefault="000970BD" w:rsidP="003C5DE8">
      <w:pPr>
        <w:pStyle w:val="Textoindependiente"/>
        <w:ind w:left="567" w:hanging="567"/>
        <w:jc w:val="both"/>
        <w:rPr>
          <w:rFonts w:ascii="Arial Narrow" w:hAnsi="Arial Narrow"/>
          <w:b/>
          <w:bCs/>
          <w:color w:val="000000" w:themeColor="text1"/>
          <w:sz w:val="26"/>
          <w:szCs w:val="26"/>
          <w:lang w:val="es-CO"/>
        </w:rPr>
      </w:pPr>
      <w:r w:rsidRPr="003C5DE8">
        <w:rPr>
          <w:rFonts w:ascii="Arial Narrow" w:hAnsi="Arial Narrow"/>
          <w:b/>
          <w:bCs/>
          <w:color w:val="000000" w:themeColor="text1"/>
          <w:sz w:val="26"/>
          <w:szCs w:val="26"/>
          <w:lang w:val="es-CO"/>
        </w:rPr>
        <w:t xml:space="preserve"> 2. </w:t>
      </w:r>
      <w:r w:rsidRPr="003C5DE8">
        <w:rPr>
          <w:rFonts w:ascii="Arial Narrow" w:hAnsi="Arial Narrow"/>
          <w:b/>
          <w:bCs/>
          <w:color w:val="000000" w:themeColor="text1"/>
          <w:sz w:val="26"/>
          <w:szCs w:val="26"/>
          <w:lang w:val="es-CO"/>
        </w:rPr>
        <w:tab/>
        <w:t xml:space="preserve">REGLA DE ALINEAMIENTO O ARRASTRE </w:t>
      </w:r>
    </w:p>
    <w:p w14:paraId="67AC8C62"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61927147" w14:textId="56C315C2" w:rsidR="000970BD" w:rsidRPr="003C5DE8" w:rsidRDefault="000970BD" w:rsidP="003C5DE8">
      <w:pPr>
        <w:pStyle w:val="Textoindependiente"/>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Para efectos de constituir el respectivo deterioro, mensualmente </w:t>
      </w:r>
      <w:r w:rsidR="009A4C18">
        <w:rPr>
          <w:rFonts w:ascii="Arial Narrow" w:hAnsi="Arial Narrow"/>
          <w:color w:val="000000" w:themeColor="text1"/>
          <w:sz w:val="26"/>
          <w:szCs w:val="26"/>
          <w:lang w:val="es-CO"/>
        </w:rPr>
        <w:t>FONDEJEMPLO</w:t>
      </w:r>
      <w:r w:rsidRPr="003C5DE8">
        <w:rPr>
          <w:rFonts w:ascii="Arial Narrow" w:hAnsi="Arial Narrow"/>
          <w:color w:val="000000" w:themeColor="text1"/>
          <w:sz w:val="26"/>
          <w:szCs w:val="26"/>
          <w:lang w:val="es-CO"/>
        </w:rPr>
        <w:t xml:space="preserve"> </w:t>
      </w:r>
      <w:r w:rsidR="002140BF" w:rsidRPr="003C5DE8">
        <w:rPr>
          <w:rFonts w:ascii="Arial Narrow" w:hAnsi="Arial Narrow"/>
          <w:color w:val="000000" w:themeColor="text1"/>
          <w:sz w:val="26"/>
          <w:szCs w:val="26"/>
          <w:lang w:val="es-CO"/>
        </w:rPr>
        <w:t>deberá</w:t>
      </w:r>
      <w:r w:rsidRPr="003C5DE8">
        <w:rPr>
          <w:rFonts w:ascii="Arial Narrow" w:hAnsi="Arial Narrow"/>
          <w:color w:val="000000" w:themeColor="text1"/>
          <w:sz w:val="26"/>
          <w:szCs w:val="26"/>
          <w:lang w:val="es-CO"/>
        </w:rPr>
        <w:t xml:space="preserve"> realizar el proceso de alineamiento interno (arrastre interno) cuando califique cualquiera de los créditos de un mismo deudor en B, C, D o E, para lo cual llevarán a la categoría de mayor riesgo los créditos de la </w:t>
      </w:r>
      <w:r w:rsidRPr="003C5DE8">
        <w:rPr>
          <w:rFonts w:ascii="Arial Narrow" w:hAnsi="Arial Narrow"/>
          <w:color w:val="000000" w:themeColor="text1"/>
          <w:sz w:val="26"/>
          <w:szCs w:val="26"/>
          <w:lang w:val="es-CO"/>
        </w:rPr>
        <w:lastRenderedPageBreak/>
        <w:t xml:space="preserve">misma modalidad de cartera otorgados a un mismo deudor. </w:t>
      </w:r>
    </w:p>
    <w:p w14:paraId="4A109D4A" w14:textId="77777777" w:rsidR="000970BD" w:rsidRPr="003C5DE8" w:rsidRDefault="000970BD" w:rsidP="003C5DE8">
      <w:pPr>
        <w:pStyle w:val="Textoindependiente"/>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7A6EFA51" w14:textId="77777777" w:rsidR="000970BD" w:rsidRPr="003C5DE8" w:rsidRDefault="000970BD" w:rsidP="003C5DE8">
      <w:pPr>
        <w:pStyle w:val="Textoindependiente"/>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Se exceptúan de la aplicación de la regla de alineamiento o arrastre, las obligaciones a cargo de un mismo deudor cuando la sumatoria de los saldos de los créditos sea igual o inferior al valor de los aportes del deudor-asociado, teniendo en cuenta el porcentaje de ponderación de las garantías admisibles no hipotecarias. </w:t>
      </w:r>
    </w:p>
    <w:p w14:paraId="0E85FED9" w14:textId="77777777" w:rsidR="000970BD" w:rsidRPr="003C5DE8" w:rsidRDefault="000970BD" w:rsidP="003C5DE8">
      <w:pPr>
        <w:pStyle w:val="Textoindependiente"/>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458E8367" w14:textId="055293B8" w:rsidR="000970BD" w:rsidRPr="003C5DE8" w:rsidRDefault="000970BD" w:rsidP="003C5DE8">
      <w:pPr>
        <w:pStyle w:val="Textoindependiente"/>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Este tratamiento se podrá realizar, siempre y cuando </w:t>
      </w:r>
      <w:r w:rsidR="009A4C18">
        <w:rPr>
          <w:rFonts w:ascii="Arial Narrow" w:hAnsi="Arial Narrow"/>
          <w:color w:val="000000" w:themeColor="text1"/>
          <w:sz w:val="26"/>
          <w:szCs w:val="26"/>
          <w:lang w:val="es-CO"/>
        </w:rPr>
        <w:t>FONDEJEMPLO</w:t>
      </w:r>
      <w:r w:rsidRPr="003C5DE8">
        <w:rPr>
          <w:rFonts w:ascii="Arial Narrow" w:hAnsi="Arial Narrow"/>
          <w:color w:val="000000" w:themeColor="text1"/>
          <w:sz w:val="26"/>
          <w:szCs w:val="26"/>
          <w:lang w:val="es-CO"/>
        </w:rPr>
        <w:t xml:space="preserve"> no registre pérdidas acumuladas, ni en el ejercicio en curso y esté cumpliendo la relación de solvencia e indicador de solidez exigidos para las cooperativas que ejercen actividad financiera y los fondos de empleados de categoría plena, respectivamente. </w:t>
      </w:r>
    </w:p>
    <w:p w14:paraId="0753E595" w14:textId="77777777" w:rsidR="000970BD" w:rsidRPr="003C5DE8" w:rsidRDefault="000970BD" w:rsidP="003C5DE8">
      <w:pPr>
        <w:pStyle w:val="Textoindependiente"/>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389B2C78" w14:textId="77777777" w:rsidR="000970BD" w:rsidRPr="003C5DE8" w:rsidRDefault="000970BD" w:rsidP="003C5DE8">
      <w:pPr>
        <w:pStyle w:val="Textoindependiente"/>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En aplicación de la regla de alineamiento o arrastre, las referencias que se hagan al deudor no se entenderán realizadas al codeudor o codeudores que estén vinculados a la respectiva operación de crédito. </w:t>
      </w:r>
    </w:p>
    <w:p w14:paraId="3405B8EF"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5A946B49" w14:textId="77777777" w:rsidR="000970BD" w:rsidRPr="003C5DE8" w:rsidRDefault="000970BD" w:rsidP="003C5DE8">
      <w:pPr>
        <w:pStyle w:val="Textoindependiente"/>
        <w:ind w:left="567" w:hanging="567"/>
        <w:jc w:val="both"/>
        <w:rPr>
          <w:rFonts w:ascii="Arial Narrow" w:hAnsi="Arial Narrow"/>
          <w:b/>
          <w:bCs/>
          <w:color w:val="000000" w:themeColor="text1"/>
          <w:sz w:val="26"/>
          <w:szCs w:val="26"/>
          <w:lang w:val="es-CO"/>
        </w:rPr>
      </w:pPr>
      <w:r w:rsidRPr="003C5DE8">
        <w:rPr>
          <w:rFonts w:ascii="Arial Narrow" w:hAnsi="Arial Narrow"/>
          <w:b/>
          <w:bCs/>
          <w:color w:val="000000" w:themeColor="text1"/>
          <w:sz w:val="26"/>
          <w:szCs w:val="26"/>
          <w:lang w:val="es-CO"/>
        </w:rPr>
        <w:t xml:space="preserve"> 3. CALIFICACIÓN FINAL DE LAS OBLIGACIONES PARA EL CÁLCULO DEL DETERIORO INDIVIDUAL </w:t>
      </w:r>
    </w:p>
    <w:p w14:paraId="0AE4ADC8"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01EB9878" w14:textId="44E82F8C" w:rsidR="000970BD" w:rsidRPr="003C5DE8" w:rsidRDefault="000970BD" w:rsidP="003C5DE8">
      <w:pPr>
        <w:pStyle w:val="Textoindependiente"/>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Para determinar la calificación con la cual se debe calcular el deterioro de las obligaciones, </w:t>
      </w:r>
      <w:r w:rsidR="009A4C18">
        <w:rPr>
          <w:rFonts w:ascii="Arial Narrow" w:hAnsi="Arial Narrow"/>
          <w:color w:val="000000" w:themeColor="text1"/>
          <w:sz w:val="26"/>
          <w:szCs w:val="26"/>
          <w:lang w:val="es-CO"/>
        </w:rPr>
        <w:t>FONDEJEMPLO</w:t>
      </w:r>
      <w:r w:rsidRPr="003C5DE8">
        <w:rPr>
          <w:rFonts w:ascii="Arial Narrow" w:hAnsi="Arial Narrow"/>
          <w:color w:val="000000" w:themeColor="text1"/>
          <w:sz w:val="26"/>
          <w:szCs w:val="26"/>
          <w:lang w:val="es-CO"/>
        </w:rPr>
        <w:t xml:space="preserve"> </w:t>
      </w:r>
      <w:r w:rsidR="002140BF" w:rsidRPr="003C5DE8">
        <w:rPr>
          <w:rFonts w:ascii="Arial Narrow" w:hAnsi="Arial Narrow"/>
          <w:color w:val="000000" w:themeColor="text1"/>
          <w:sz w:val="26"/>
          <w:szCs w:val="26"/>
          <w:lang w:val="es-CO"/>
        </w:rPr>
        <w:t>deberá</w:t>
      </w:r>
      <w:r w:rsidRPr="003C5DE8">
        <w:rPr>
          <w:rFonts w:ascii="Arial Narrow" w:hAnsi="Arial Narrow"/>
          <w:color w:val="000000" w:themeColor="text1"/>
          <w:sz w:val="26"/>
          <w:szCs w:val="26"/>
          <w:lang w:val="es-CO"/>
        </w:rPr>
        <w:t xml:space="preserve"> tener en cuenta la calificación de mayor riesgo del deudor entre todas las posibles como pueden ser: </w:t>
      </w:r>
    </w:p>
    <w:p w14:paraId="4644D9A8"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p>
    <w:p w14:paraId="5A5EE65C"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b)</w:t>
      </w:r>
      <w:r w:rsidRPr="003C5DE8">
        <w:rPr>
          <w:rFonts w:ascii="Arial Narrow" w:hAnsi="Arial Narrow"/>
          <w:color w:val="000000" w:themeColor="text1"/>
          <w:sz w:val="26"/>
          <w:szCs w:val="26"/>
          <w:lang w:val="es-CO"/>
        </w:rPr>
        <w:tab/>
        <w:t xml:space="preserve">Por altura de mora </w:t>
      </w:r>
    </w:p>
    <w:p w14:paraId="05B85096"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c)</w:t>
      </w:r>
      <w:r w:rsidRPr="003C5DE8">
        <w:rPr>
          <w:rFonts w:ascii="Arial Narrow" w:hAnsi="Arial Narrow"/>
          <w:color w:val="000000" w:themeColor="text1"/>
          <w:sz w:val="26"/>
          <w:szCs w:val="26"/>
          <w:lang w:val="es-CO"/>
        </w:rPr>
        <w:tab/>
        <w:t xml:space="preserve">Por el proceso de evaluación de cartera. </w:t>
      </w:r>
    </w:p>
    <w:p w14:paraId="0AF832F5"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d)</w:t>
      </w:r>
      <w:r w:rsidRPr="003C5DE8">
        <w:rPr>
          <w:rFonts w:ascii="Arial Narrow" w:hAnsi="Arial Narrow"/>
          <w:color w:val="000000" w:themeColor="text1"/>
          <w:sz w:val="26"/>
          <w:szCs w:val="26"/>
          <w:lang w:val="es-CO"/>
        </w:rPr>
        <w:tab/>
        <w:t xml:space="preserve">Por regla de alineamiento o arrastre. </w:t>
      </w:r>
    </w:p>
    <w:p w14:paraId="6EC797C6"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e)</w:t>
      </w:r>
      <w:r w:rsidRPr="003C5DE8">
        <w:rPr>
          <w:rFonts w:ascii="Arial Narrow" w:hAnsi="Arial Narrow"/>
          <w:color w:val="000000" w:themeColor="text1"/>
          <w:sz w:val="26"/>
          <w:szCs w:val="26"/>
          <w:lang w:val="es-CO"/>
        </w:rPr>
        <w:tab/>
        <w:t xml:space="preserve">Por condición de reestructurado o de cualquier otra calificación que pueda tener la operación crediticia </w:t>
      </w:r>
    </w:p>
    <w:p w14:paraId="7A167EA9"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4C0623C9" w14:textId="77777777" w:rsidR="000970BD" w:rsidRPr="003C5DE8" w:rsidRDefault="000970BD" w:rsidP="003C5DE8">
      <w:pPr>
        <w:pStyle w:val="Textoindependiente"/>
        <w:ind w:left="567" w:hanging="567"/>
        <w:jc w:val="both"/>
        <w:rPr>
          <w:rFonts w:ascii="Arial Narrow" w:hAnsi="Arial Narrow"/>
          <w:b/>
          <w:bCs/>
          <w:color w:val="000000" w:themeColor="text1"/>
          <w:sz w:val="26"/>
          <w:szCs w:val="26"/>
          <w:lang w:val="es-CO"/>
        </w:rPr>
      </w:pPr>
      <w:r w:rsidRPr="003C5DE8">
        <w:rPr>
          <w:rFonts w:ascii="Arial Narrow" w:hAnsi="Arial Narrow"/>
          <w:b/>
          <w:bCs/>
          <w:color w:val="000000" w:themeColor="text1"/>
          <w:sz w:val="26"/>
          <w:szCs w:val="26"/>
          <w:lang w:val="es-CO"/>
        </w:rPr>
        <w:t xml:space="preserve">4. DETERIORO INDIVIDUAL </w:t>
      </w:r>
    </w:p>
    <w:p w14:paraId="2297C2BE"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3316BC01" w14:textId="6DB3905C" w:rsidR="000970BD" w:rsidRPr="003C5DE8" w:rsidRDefault="009A4C18" w:rsidP="003C5DE8">
      <w:pPr>
        <w:pStyle w:val="Textoindependiente"/>
        <w:jc w:val="both"/>
        <w:rPr>
          <w:rFonts w:ascii="Arial Narrow" w:hAnsi="Arial Narrow"/>
          <w:color w:val="000000" w:themeColor="text1"/>
          <w:sz w:val="26"/>
          <w:szCs w:val="26"/>
          <w:lang w:val="es-CO"/>
        </w:rPr>
      </w:pPr>
      <w:r>
        <w:rPr>
          <w:rFonts w:ascii="Arial Narrow" w:hAnsi="Arial Narrow"/>
          <w:color w:val="000000" w:themeColor="text1"/>
          <w:sz w:val="26"/>
          <w:szCs w:val="26"/>
          <w:lang w:val="es-CO"/>
        </w:rPr>
        <w:t>FONDEJEMPLO</w:t>
      </w:r>
      <w:r w:rsidR="000970BD" w:rsidRPr="003C5DE8">
        <w:rPr>
          <w:rFonts w:ascii="Arial Narrow" w:hAnsi="Arial Narrow"/>
          <w:color w:val="000000" w:themeColor="text1"/>
          <w:sz w:val="26"/>
          <w:szCs w:val="26"/>
          <w:lang w:val="es-CO"/>
        </w:rPr>
        <w:t xml:space="preserve"> debe calcular el deterioro según la calificación otorgada por altura de mora o por riesgo, de acuerdo con la evaluación realizada por </w:t>
      </w:r>
      <w:r>
        <w:rPr>
          <w:rFonts w:ascii="Arial Narrow" w:hAnsi="Arial Narrow"/>
          <w:color w:val="000000" w:themeColor="text1"/>
          <w:sz w:val="26"/>
          <w:szCs w:val="26"/>
          <w:lang w:val="es-CO"/>
        </w:rPr>
        <w:t>FONDEJEMPLO</w:t>
      </w:r>
      <w:r w:rsidR="000970BD" w:rsidRPr="003C5DE8">
        <w:rPr>
          <w:rFonts w:ascii="Arial Narrow" w:hAnsi="Arial Narrow"/>
          <w:color w:val="000000" w:themeColor="text1"/>
          <w:sz w:val="26"/>
          <w:szCs w:val="26"/>
          <w:lang w:val="es-CO"/>
        </w:rPr>
        <w:t xml:space="preserve"> y con los parámetros del numeral 1 de este anexo, así: </w:t>
      </w:r>
    </w:p>
    <w:p w14:paraId="0A37490F"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05FA7DFF"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A </w:t>
      </w:r>
      <w:r w:rsidRPr="003C5DE8">
        <w:rPr>
          <w:rFonts w:ascii="Arial Narrow" w:hAnsi="Arial Narrow"/>
          <w:color w:val="000000" w:themeColor="text1"/>
          <w:sz w:val="26"/>
          <w:szCs w:val="26"/>
          <w:lang w:val="es-CO"/>
        </w:rPr>
        <w:tab/>
        <w:t xml:space="preserve">0% </w:t>
      </w:r>
    </w:p>
    <w:p w14:paraId="75C0664B"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B </w:t>
      </w:r>
      <w:r w:rsidRPr="003C5DE8">
        <w:rPr>
          <w:rFonts w:ascii="Arial Narrow" w:hAnsi="Arial Narrow"/>
          <w:color w:val="000000" w:themeColor="text1"/>
          <w:sz w:val="26"/>
          <w:szCs w:val="26"/>
          <w:lang w:val="es-CO"/>
        </w:rPr>
        <w:tab/>
        <w:t xml:space="preserve">1% </w:t>
      </w:r>
    </w:p>
    <w:p w14:paraId="71213019"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C </w:t>
      </w:r>
      <w:r w:rsidRPr="003C5DE8">
        <w:rPr>
          <w:rFonts w:ascii="Arial Narrow" w:hAnsi="Arial Narrow"/>
          <w:color w:val="000000" w:themeColor="text1"/>
          <w:sz w:val="26"/>
          <w:szCs w:val="26"/>
          <w:lang w:val="es-CO"/>
        </w:rPr>
        <w:tab/>
        <w:t xml:space="preserve">10% </w:t>
      </w:r>
    </w:p>
    <w:p w14:paraId="213F1BCE"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D </w:t>
      </w:r>
      <w:r w:rsidRPr="003C5DE8">
        <w:rPr>
          <w:rFonts w:ascii="Arial Narrow" w:hAnsi="Arial Narrow"/>
          <w:color w:val="000000" w:themeColor="text1"/>
          <w:sz w:val="26"/>
          <w:szCs w:val="26"/>
          <w:lang w:val="es-CO"/>
        </w:rPr>
        <w:tab/>
        <w:t xml:space="preserve">20% </w:t>
      </w:r>
    </w:p>
    <w:p w14:paraId="0D1A76E5"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E </w:t>
      </w:r>
      <w:r w:rsidRPr="003C5DE8">
        <w:rPr>
          <w:rFonts w:ascii="Arial Narrow" w:hAnsi="Arial Narrow"/>
          <w:color w:val="000000" w:themeColor="text1"/>
          <w:sz w:val="26"/>
          <w:szCs w:val="26"/>
          <w:lang w:val="es-CO"/>
        </w:rPr>
        <w:tab/>
        <w:t xml:space="preserve">50% </w:t>
      </w:r>
    </w:p>
    <w:p w14:paraId="4B4FE67D"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E1 </w:t>
      </w:r>
      <w:r w:rsidRPr="003C5DE8">
        <w:rPr>
          <w:rFonts w:ascii="Arial Narrow" w:hAnsi="Arial Narrow"/>
          <w:color w:val="000000" w:themeColor="text1"/>
          <w:sz w:val="26"/>
          <w:szCs w:val="26"/>
          <w:lang w:val="es-CO"/>
        </w:rPr>
        <w:tab/>
        <w:t xml:space="preserve">100% </w:t>
      </w:r>
    </w:p>
    <w:p w14:paraId="534A2532"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5E81DC8F" w14:textId="113B5E4A" w:rsidR="000970BD" w:rsidRPr="003C5DE8" w:rsidRDefault="000970BD" w:rsidP="003C5DE8">
      <w:pPr>
        <w:pStyle w:val="Textoindependiente"/>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La decisión de constituir un deterioro individual superior al mínimo exigido corresponderá a una política aprobada por </w:t>
      </w:r>
      <w:r w:rsidR="003862F6" w:rsidRPr="003C5DE8">
        <w:rPr>
          <w:rFonts w:ascii="Arial Narrow" w:hAnsi="Arial Narrow"/>
          <w:color w:val="000000" w:themeColor="text1"/>
          <w:sz w:val="26"/>
          <w:szCs w:val="26"/>
          <w:lang w:val="es-CO"/>
        </w:rPr>
        <w:t>El órgano permanente de administración</w:t>
      </w:r>
      <w:r w:rsidRPr="003C5DE8">
        <w:rPr>
          <w:rFonts w:ascii="Arial Narrow" w:hAnsi="Arial Narrow"/>
          <w:color w:val="000000" w:themeColor="text1"/>
          <w:sz w:val="26"/>
          <w:szCs w:val="26"/>
          <w:lang w:val="es-CO"/>
        </w:rPr>
        <w:t xml:space="preserve">. Lo anterior, sin perjuicio que la Supersolidaria ordene en cualquier momento un nivel de deterioro diferente, teniendo en cuenta como criterios de evaluación, entre otros, la real situación de los elementos del SARC de </w:t>
      </w:r>
      <w:r w:rsidR="009A4C18">
        <w:rPr>
          <w:rFonts w:ascii="Arial Narrow" w:hAnsi="Arial Narrow"/>
          <w:color w:val="000000" w:themeColor="text1"/>
          <w:sz w:val="26"/>
          <w:szCs w:val="26"/>
          <w:lang w:val="es-CO"/>
        </w:rPr>
        <w:t>FONDEJEMPLO</w:t>
      </w:r>
      <w:r w:rsidRPr="003C5DE8">
        <w:rPr>
          <w:rFonts w:ascii="Arial Narrow" w:hAnsi="Arial Narrow"/>
          <w:color w:val="000000" w:themeColor="text1"/>
          <w:sz w:val="26"/>
          <w:szCs w:val="26"/>
          <w:lang w:val="es-CO"/>
        </w:rPr>
        <w:t xml:space="preserve">. </w:t>
      </w:r>
    </w:p>
    <w:p w14:paraId="36F73B48"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45AA111F" w14:textId="77777777" w:rsidR="000970BD" w:rsidRPr="003C5DE8" w:rsidRDefault="000970BD" w:rsidP="003C5DE8">
      <w:pPr>
        <w:pStyle w:val="Textoindependiente"/>
        <w:ind w:left="567" w:hanging="567"/>
        <w:jc w:val="both"/>
        <w:rPr>
          <w:rFonts w:ascii="Arial Narrow" w:hAnsi="Arial Narrow"/>
          <w:b/>
          <w:bCs/>
          <w:color w:val="000000" w:themeColor="text1"/>
          <w:sz w:val="26"/>
          <w:szCs w:val="26"/>
          <w:lang w:val="es-CO"/>
        </w:rPr>
      </w:pPr>
      <w:r w:rsidRPr="003C5DE8">
        <w:rPr>
          <w:rFonts w:ascii="Arial Narrow" w:hAnsi="Arial Narrow"/>
          <w:b/>
          <w:bCs/>
          <w:color w:val="000000" w:themeColor="text1"/>
          <w:sz w:val="26"/>
          <w:szCs w:val="26"/>
          <w:lang w:val="es-CO"/>
        </w:rPr>
        <w:lastRenderedPageBreak/>
        <w:t xml:space="preserve">5. TRATAMIENTO DE LAS GARANTÍAS PARA EL CÁLCULO DE LOS DETERIOROS INDIVIDUALES </w:t>
      </w:r>
    </w:p>
    <w:p w14:paraId="285FB58B"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7AC462D2" w14:textId="1FAF7399" w:rsidR="000970BD" w:rsidRPr="003C5DE8" w:rsidRDefault="000970BD" w:rsidP="003C5DE8">
      <w:pPr>
        <w:pStyle w:val="Textoindependiente"/>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Para efectos de la constitución del deterioro o provisiones individuales, se </w:t>
      </w:r>
      <w:r w:rsidR="002140BF" w:rsidRPr="003C5DE8">
        <w:rPr>
          <w:rFonts w:ascii="Arial Narrow" w:hAnsi="Arial Narrow"/>
          <w:color w:val="000000" w:themeColor="text1"/>
          <w:sz w:val="26"/>
          <w:szCs w:val="26"/>
          <w:lang w:val="es-CO"/>
        </w:rPr>
        <w:t>deberá</w:t>
      </w:r>
      <w:r w:rsidRPr="003C5DE8">
        <w:rPr>
          <w:rFonts w:ascii="Arial Narrow" w:hAnsi="Arial Narrow"/>
          <w:color w:val="000000" w:themeColor="text1"/>
          <w:sz w:val="26"/>
          <w:szCs w:val="26"/>
          <w:lang w:val="es-CO"/>
        </w:rPr>
        <w:t xml:space="preserve"> tener en cuenta los siguientes parámetros: </w:t>
      </w:r>
    </w:p>
    <w:p w14:paraId="5B0FFD83"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0F7D61BC" w14:textId="77777777" w:rsidR="000970BD" w:rsidRPr="003C5DE8" w:rsidRDefault="000970BD" w:rsidP="003C5DE8">
      <w:pPr>
        <w:pStyle w:val="Textoindependiente"/>
        <w:numPr>
          <w:ilvl w:val="0"/>
          <w:numId w:val="6"/>
        </w:numPr>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La naturaleza de la garantía y la altura de mora del crédito. </w:t>
      </w:r>
    </w:p>
    <w:p w14:paraId="581B264A" w14:textId="77777777" w:rsidR="000970BD" w:rsidRPr="003C5DE8" w:rsidRDefault="000970BD" w:rsidP="003C5DE8">
      <w:pPr>
        <w:pStyle w:val="Textoindependiente"/>
        <w:numPr>
          <w:ilvl w:val="0"/>
          <w:numId w:val="6"/>
        </w:numPr>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Se tomarán los porcentajes dependiendo de la garantía y altura de mora relacionados a continuación, para restarlo del valor expuesto del activo. El resultado, será el valor descubierto, sobre el cual se deberá calcular el deterioro. </w:t>
      </w:r>
    </w:p>
    <w:p w14:paraId="2498B92E"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1204DA74" w14:textId="77777777" w:rsidR="000970BD" w:rsidRPr="003C5DE8" w:rsidRDefault="000970BD" w:rsidP="003C5DE8">
      <w:pPr>
        <w:pStyle w:val="Textoindependiente"/>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Los porcentajes </w:t>
      </w:r>
      <w:proofErr w:type="gramStart"/>
      <w:r w:rsidRPr="003C5DE8">
        <w:rPr>
          <w:rFonts w:ascii="Arial Narrow" w:hAnsi="Arial Narrow"/>
          <w:color w:val="000000" w:themeColor="text1"/>
          <w:sz w:val="26"/>
          <w:szCs w:val="26"/>
          <w:lang w:val="es-CO"/>
        </w:rPr>
        <w:t>a</w:t>
      </w:r>
      <w:proofErr w:type="gramEnd"/>
      <w:r w:rsidRPr="003C5DE8">
        <w:rPr>
          <w:rFonts w:ascii="Arial Narrow" w:hAnsi="Arial Narrow"/>
          <w:color w:val="000000" w:themeColor="text1"/>
          <w:sz w:val="26"/>
          <w:szCs w:val="26"/>
          <w:lang w:val="es-CO"/>
        </w:rPr>
        <w:t xml:space="preserve"> tener en cuenta, según la naturaleza de la garantía y la altura de mora de los créditos son: </w:t>
      </w:r>
    </w:p>
    <w:p w14:paraId="5F3D4538"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4C954E35" w14:textId="77777777" w:rsidR="000970BD" w:rsidRPr="003C5DE8" w:rsidRDefault="000970BD" w:rsidP="003C5DE8">
      <w:pPr>
        <w:pStyle w:val="Textoindependiente"/>
        <w:ind w:left="567" w:hanging="567"/>
        <w:jc w:val="both"/>
        <w:rPr>
          <w:rFonts w:ascii="Arial Narrow" w:hAnsi="Arial Narrow"/>
          <w:b/>
          <w:bCs/>
          <w:color w:val="000000" w:themeColor="text1"/>
          <w:sz w:val="26"/>
          <w:szCs w:val="26"/>
          <w:lang w:val="es-CO"/>
        </w:rPr>
      </w:pPr>
      <w:r w:rsidRPr="003C5DE8">
        <w:rPr>
          <w:rFonts w:ascii="Arial Narrow" w:hAnsi="Arial Narrow"/>
          <w:b/>
          <w:bCs/>
          <w:color w:val="000000" w:themeColor="text1"/>
          <w:sz w:val="26"/>
          <w:szCs w:val="26"/>
          <w:lang w:val="es-CO"/>
        </w:rPr>
        <w:t xml:space="preserve">Para garantías NO hipotecarias (idóneas o no idóneas): </w:t>
      </w:r>
    </w:p>
    <w:p w14:paraId="16E6316E"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18030B33"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TIEMPO DE MORA DEL CRÉDITO </w:t>
      </w:r>
      <w:r w:rsidRPr="003C5DE8">
        <w:rPr>
          <w:rFonts w:ascii="Arial Narrow" w:hAnsi="Arial Narrow"/>
          <w:color w:val="000000" w:themeColor="text1"/>
          <w:sz w:val="26"/>
          <w:szCs w:val="26"/>
          <w:lang w:val="es-CO"/>
        </w:rPr>
        <w:tab/>
        <w:t xml:space="preserve">PORCENTAJE </w:t>
      </w:r>
    </w:p>
    <w:p w14:paraId="47D16CE2"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0 a 12 meses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70% </w:t>
      </w:r>
    </w:p>
    <w:p w14:paraId="484AED46"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Más de 12 meses y hasta 24 meses </w:t>
      </w:r>
      <w:r w:rsidRPr="003C5DE8">
        <w:rPr>
          <w:rFonts w:ascii="Arial Narrow" w:hAnsi="Arial Narrow"/>
          <w:color w:val="000000" w:themeColor="text1"/>
          <w:sz w:val="26"/>
          <w:szCs w:val="26"/>
          <w:lang w:val="es-CO"/>
        </w:rPr>
        <w:tab/>
        <w:t xml:space="preserve">50% </w:t>
      </w:r>
    </w:p>
    <w:p w14:paraId="7D7D61BB"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Más de 24 meses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0% </w:t>
      </w:r>
    </w:p>
    <w:p w14:paraId="4E1B31D4"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04536544" w14:textId="5B0E0566" w:rsidR="000970BD" w:rsidRPr="003C5DE8" w:rsidRDefault="000970BD" w:rsidP="003C5DE8">
      <w:pPr>
        <w:pStyle w:val="Textoindependiente"/>
        <w:ind w:left="567" w:hanging="567"/>
        <w:jc w:val="both"/>
        <w:rPr>
          <w:rFonts w:ascii="Arial Narrow" w:hAnsi="Arial Narrow"/>
          <w:b/>
          <w:bCs/>
          <w:color w:val="000000" w:themeColor="text1"/>
          <w:sz w:val="26"/>
          <w:szCs w:val="26"/>
          <w:lang w:val="es-CO"/>
        </w:rPr>
      </w:pPr>
      <w:r w:rsidRPr="003C5DE8">
        <w:rPr>
          <w:rFonts w:ascii="Arial Narrow" w:hAnsi="Arial Narrow"/>
          <w:b/>
          <w:bCs/>
          <w:color w:val="000000" w:themeColor="text1"/>
          <w:sz w:val="26"/>
          <w:szCs w:val="26"/>
          <w:lang w:val="es-CO"/>
        </w:rPr>
        <w:t xml:space="preserve">Para garantías hipotecarias: </w:t>
      </w:r>
    </w:p>
    <w:p w14:paraId="0E608D9D"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29258472"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TIEMPO DE MORA DEL CRÉDITO </w:t>
      </w:r>
      <w:r w:rsidRPr="003C5DE8">
        <w:rPr>
          <w:rFonts w:ascii="Arial Narrow" w:hAnsi="Arial Narrow"/>
          <w:color w:val="000000" w:themeColor="text1"/>
          <w:sz w:val="26"/>
          <w:szCs w:val="26"/>
          <w:lang w:val="es-CO"/>
        </w:rPr>
        <w:tab/>
        <w:t xml:space="preserve">PORCENTAJE </w:t>
      </w:r>
    </w:p>
    <w:p w14:paraId="1F56DD09"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0 a 18 meses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70% </w:t>
      </w:r>
    </w:p>
    <w:p w14:paraId="626A7104"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Más de 18 meses y hasta 24 meses </w:t>
      </w:r>
      <w:r w:rsidRPr="003C5DE8">
        <w:rPr>
          <w:rFonts w:ascii="Arial Narrow" w:hAnsi="Arial Narrow"/>
          <w:color w:val="000000" w:themeColor="text1"/>
          <w:sz w:val="26"/>
          <w:szCs w:val="26"/>
          <w:lang w:val="es-CO"/>
        </w:rPr>
        <w:tab/>
        <w:t xml:space="preserve">50% </w:t>
      </w:r>
    </w:p>
    <w:p w14:paraId="287EA2FC"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Más de 24 meses y hasta 30 meses </w:t>
      </w:r>
      <w:r w:rsidRPr="003C5DE8">
        <w:rPr>
          <w:rFonts w:ascii="Arial Narrow" w:hAnsi="Arial Narrow"/>
          <w:color w:val="000000" w:themeColor="text1"/>
          <w:sz w:val="26"/>
          <w:szCs w:val="26"/>
          <w:lang w:val="es-CO"/>
        </w:rPr>
        <w:tab/>
        <w:t xml:space="preserve">30% </w:t>
      </w:r>
    </w:p>
    <w:p w14:paraId="1D3F730B"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Más de 30 meses y hasta 36 meses </w:t>
      </w:r>
      <w:r w:rsidRPr="003C5DE8">
        <w:rPr>
          <w:rFonts w:ascii="Arial Narrow" w:hAnsi="Arial Narrow"/>
          <w:color w:val="000000" w:themeColor="text1"/>
          <w:sz w:val="26"/>
          <w:szCs w:val="26"/>
          <w:lang w:val="es-CO"/>
        </w:rPr>
        <w:tab/>
        <w:t xml:space="preserve">15% </w:t>
      </w:r>
    </w:p>
    <w:p w14:paraId="262D2A24"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Más de 36 meses </w:t>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r>
      <w:r w:rsidRPr="003C5DE8">
        <w:rPr>
          <w:rFonts w:ascii="Arial Narrow" w:hAnsi="Arial Narrow"/>
          <w:color w:val="000000" w:themeColor="text1"/>
          <w:sz w:val="26"/>
          <w:szCs w:val="26"/>
          <w:lang w:val="es-CO"/>
        </w:rPr>
        <w:tab/>
        <w:t xml:space="preserve">0% </w:t>
      </w:r>
    </w:p>
    <w:p w14:paraId="2DB662F3"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48FEBCC6" w14:textId="77777777" w:rsidR="000970BD" w:rsidRPr="003C5DE8" w:rsidRDefault="000970BD" w:rsidP="003C5DE8">
      <w:pPr>
        <w:pStyle w:val="Textoindependiente"/>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Para los créditos que estén respaldados con una misma garantía, y una de las modalidades aplique modelo de referencia, se podrá tomar el 100% del valor de la garantía para realizar la distribución correspondiente. </w:t>
      </w:r>
    </w:p>
    <w:p w14:paraId="6F9CD01E"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6DE90715" w14:textId="08D071C9" w:rsidR="000970BD" w:rsidRPr="003C5DE8" w:rsidRDefault="000970BD" w:rsidP="003C5DE8">
      <w:pPr>
        <w:pStyle w:val="Textoindependiente"/>
        <w:ind w:left="567" w:hanging="567"/>
        <w:jc w:val="both"/>
        <w:rPr>
          <w:rFonts w:ascii="Arial Narrow" w:hAnsi="Arial Narrow"/>
          <w:b/>
          <w:bCs/>
          <w:color w:val="000000" w:themeColor="text1"/>
          <w:sz w:val="26"/>
          <w:szCs w:val="26"/>
          <w:lang w:val="es-CO"/>
        </w:rPr>
      </w:pPr>
      <w:r w:rsidRPr="003C5DE8">
        <w:rPr>
          <w:rFonts w:ascii="Arial Narrow" w:hAnsi="Arial Narrow"/>
          <w:b/>
          <w:bCs/>
          <w:color w:val="000000" w:themeColor="text1"/>
          <w:sz w:val="26"/>
          <w:szCs w:val="26"/>
          <w:lang w:val="es-CO"/>
        </w:rPr>
        <w:t>6.</w:t>
      </w:r>
      <w:r w:rsidR="00FC405C" w:rsidRPr="003C5DE8">
        <w:rPr>
          <w:rFonts w:ascii="Arial Narrow" w:hAnsi="Arial Narrow"/>
          <w:b/>
          <w:bCs/>
          <w:color w:val="000000" w:themeColor="text1"/>
          <w:sz w:val="26"/>
          <w:szCs w:val="26"/>
          <w:lang w:val="es-CO"/>
        </w:rPr>
        <w:t xml:space="preserve"> </w:t>
      </w:r>
      <w:r w:rsidRPr="003C5DE8">
        <w:rPr>
          <w:rFonts w:ascii="Arial Narrow" w:hAnsi="Arial Narrow"/>
          <w:b/>
          <w:bCs/>
          <w:color w:val="000000" w:themeColor="text1"/>
          <w:sz w:val="26"/>
          <w:szCs w:val="26"/>
          <w:lang w:val="es-CO"/>
        </w:rPr>
        <w:t xml:space="preserve">TRATAMIENTO DE LOS APORTES SOCIALES Y AHORRO PERMANENTE </w:t>
      </w:r>
    </w:p>
    <w:p w14:paraId="1FC197F5" w14:textId="77777777" w:rsidR="000970BD" w:rsidRPr="003C5DE8" w:rsidRDefault="000970BD" w:rsidP="003C5DE8">
      <w:pPr>
        <w:pStyle w:val="Textoindependiente"/>
        <w:ind w:left="567" w:hanging="567"/>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w:t>
      </w:r>
    </w:p>
    <w:p w14:paraId="60EF580F" w14:textId="66213FA0" w:rsidR="000970BD" w:rsidRPr="003C5DE8" w:rsidRDefault="000970BD" w:rsidP="003C5DE8">
      <w:pPr>
        <w:pStyle w:val="Textoindependiente"/>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Para el reconocimiento del deterioro individual de los créditos, en todas las modalidades de cartera garantizados con aportes sociales y ahorro permanente siempre y cuando, </w:t>
      </w:r>
      <w:r w:rsidR="009A4C18">
        <w:rPr>
          <w:rFonts w:ascii="Arial Narrow" w:hAnsi="Arial Narrow"/>
          <w:color w:val="000000" w:themeColor="text1"/>
          <w:sz w:val="26"/>
          <w:szCs w:val="26"/>
          <w:lang w:val="es-CO"/>
        </w:rPr>
        <w:t>FONDEJEMPLO</w:t>
      </w:r>
      <w:r w:rsidRPr="003C5DE8">
        <w:rPr>
          <w:rFonts w:ascii="Arial Narrow" w:hAnsi="Arial Narrow"/>
          <w:color w:val="000000" w:themeColor="text1"/>
          <w:sz w:val="26"/>
          <w:szCs w:val="26"/>
          <w:lang w:val="es-CO"/>
        </w:rPr>
        <w:t xml:space="preserve"> no contemple dentro de sus estatutos o demás reglamentación interna, el retiro parcial de los mismos por parte de los asociados.</w:t>
      </w:r>
      <w:r w:rsidR="00FC405C" w:rsidRPr="003C5DE8">
        <w:rPr>
          <w:rFonts w:ascii="Arial Narrow" w:hAnsi="Arial Narrow"/>
          <w:color w:val="000000" w:themeColor="text1"/>
          <w:sz w:val="26"/>
          <w:szCs w:val="26"/>
          <w:lang w:val="es-CO"/>
        </w:rPr>
        <w:t xml:space="preserve"> </w:t>
      </w:r>
      <w:r w:rsidRPr="003C5DE8">
        <w:rPr>
          <w:rFonts w:ascii="Arial Narrow" w:hAnsi="Arial Narrow"/>
          <w:color w:val="000000" w:themeColor="text1"/>
          <w:sz w:val="26"/>
          <w:szCs w:val="26"/>
          <w:lang w:val="es-CO"/>
        </w:rPr>
        <w:t xml:space="preserve">Este valor se podrá restar del valor expuesto del activo en un 100%, siempre y cuando, </w:t>
      </w:r>
      <w:r w:rsidR="009A4C18">
        <w:rPr>
          <w:rFonts w:ascii="Arial Narrow" w:hAnsi="Arial Narrow"/>
          <w:color w:val="000000" w:themeColor="text1"/>
          <w:sz w:val="26"/>
          <w:szCs w:val="26"/>
          <w:lang w:val="es-CO"/>
        </w:rPr>
        <w:t>FONDEJEMPLO</w:t>
      </w:r>
      <w:r w:rsidRPr="003C5DE8">
        <w:rPr>
          <w:rFonts w:ascii="Arial Narrow" w:hAnsi="Arial Narrow"/>
          <w:color w:val="000000" w:themeColor="text1"/>
          <w:sz w:val="26"/>
          <w:szCs w:val="26"/>
          <w:lang w:val="es-CO"/>
        </w:rPr>
        <w:t xml:space="preserve"> no registre pérdidas acumuladas, o en el ejercicio en curso, al corte del mes inmediatamente anterior. En el evento que el deudor tenga más de una obligación, los aportes sociales y ahorros permanentes serán descontados en forma proporcional, es decir, de acuerdo con el porcentaje que represente el saldo insoluto de cada uno de los créditos sobre el saldo de la totalidad de los créditos del mismo deudor. </w:t>
      </w:r>
    </w:p>
    <w:p w14:paraId="1E8D7E47" w14:textId="77777777" w:rsidR="00BB1D75" w:rsidRPr="003C5DE8" w:rsidRDefault="00BB1D75" w:rsidP="003C5DE8">
      <w:pPr>
        <w:pStyle w:val="Textoindependiente"/>
        <w:ind w:left="567" w:hanging="567"/>
        <w:jc w:val="both"/>
        <w:rPr>
          <w:rFonts w:ascii="Arial Narrow" w:hAnsi="Arial Narrow"/>
          <w:color w:val="000000" w:themeColor="text1"/>
          <w:sz w:val="26"/>
          <w:szCs w:val="26"/>
          <w:lang w:val="es-CO"/>
        </w:rPr>
      </w:pPr>
    </w:p>
    <w:p w14:paraId="5EFB6D57" w14:textId="77777777" w:rsidR="00BB1D75" w:rsidRPr="003C5DE8" w:rsidRDefault="00BB1D75" w:rsidP="003C5DE8">
      <w:pPr>
        <w:pStyle w:val="Textoindependiente"/>
        <w:ind w:left="567" w:hanging="567"/>
        <w:jc w:val="both"/>
        <w:rPr>
          <w:rFonts w:ascii="Arial Narrow" w:hAnsi="Arial Narrow"/>
          <w:color w:val="000000" w:themeColor="text1"/>
          <w:sz w:val="26"/>
          <w:szCs w:val="26"/>
          <w:lang w:val="es-CO"/>
        </w:rPr>
      </w:pPr>
    </w:p>
    <w:p w14:paraId="25439218" w14:textId="0B3D3A5D" w:rsidR="00DA1E1C" w:rsidRPr="003C5DE8" w:rsidRDefault="00DA1E1C" w:rsidP="003C5DE8">
      <w:pPr>
        <w:jc w:val="center"/>
        <w:rPr>
          <w:rFonts w:ascii="Arial Narrow" w:hAnsi="Arial Narrow"/>
          <w:b/>
          <w:bCs/>
          <w:color w:val="000000" w:themeColor="text1"/>
          <w:sz w:val="26"/>
          <w:szCs w:val="26"/>
          <w:lang w:val="es-CO"/>
        </w:rPr>
      </w:pPr>
      <w:r w:rsidRPr="003C5DE8">
        <w:rPr>
          <w:rFonts w:ascii="Arial Narrow" w:hAnsi="Arial Narrow"/>
          <w:color w:val="000000" w:themeColor="text1"/>
          <w:sz w:val="26"/>
          <w:szCs w:val="26"/>
          <w:lang w:val="es-CO"/>
        </w:rPr>
        <w:br w:type="page"/>
      </w:r>
      <w:r w:rsidRPr="003C5DE8">
        <w:rPr>
          <w:rFonts w:ascii="Arial Narrow" w:hAnsi="Arial Narrow"/>
          <w:b/>
          <w:bCs/>
          <w:color w:val="000000" w:themeColor="text1"/>
          <w:sz w:val="26"/>
          <w:szCs w:val="26"/>
          <w:lang w:val="es-CO"/>
        </w:rPr>
        <w:lastRenderedPageBreak/>
        <w:t>ANEXO 2 – METODOLOGÍA TÉCNICA PARA EVALUACION DE CARTERA Y POLITICA DE RECALIFICACION Y DETERIORO DE LA CARTERA</w:t>
      </w:r>
    </w:p>
    <w:p w14:paraId="2C487391" w14:textId="77777777" w:rsidR="00DA1E1C" w:rsidRPr="003C5DE8" w:rsidRDefault="00DA1E1C" w:rsidP="003C5DE8">
      <w:pPr>
        <w:ind w:left="567" w:hanging="567"/>
        <w:rPr>
          <w:rFonts w:ascii="Arial Narrow" w:hAnsi="Arial Narrow"/>
          <w:color w:val="000000" w:themeColor="text1"/>
          <w:sz w:val="26"/>
          <w:szCs w:val="26"/>
          <w:lang w:val="es-CO"/>
        </w:rPr>
      </w:pPr>
    </w:p>
    <w:p w14:paraId="72865B23" w14:textId="2F16EA26" w:rsidR="00DA1E1C" w:rsidRPr="003C5DE8" w:rsidRDefault="009A4C18" w:rsidP="003C5DE8">
      <w:pPr>
        <w:ind w:left="567" w:hanging="567"/>
        <w:rPr>
          <w:rFonts w:ascii="Arial Narrow" w:hAnsi="Arial Narrow" w:cs="Tahoma"/>
          <w:bCs/>
          <w:color w:val="000000" w:themeColor="text1"/>
          <w:sz w:val="26"/>
          <w:szCs w:val="26"/>
          <w:lang w:val="es-CO"/>
        </w:rPr>
      </w:pPr>
      <w:r>
        <w:rPr>
          <w:rFonts w:ascii="Arial Narrow" w:hAnsi="Arial Narrow" w:cs="Tahoma"/>
          <w:bCs/>
          <w:color w:val="000000" w:themeColor="text1"/>
          <w:sz w:val="26"/>
          <w:szCs w:val="26"/>
          <w:lang w:val="es-CO"/>
        </w:rPr>
        <w:t>FONDEJEMPLO</w:t>
      </w:r>
      <w:r w:rsidR="00DA1E1C" w:rsidRPr="003C5DE8">
        <w:rPr>
          <w:rFonts w:ascii="Arial Narrow" w:hAnsi="Arial Narrow" w:cs="Tahoma"/>
          <w:bCs/>
          <w:color w:val="000000" w:themeColor="text1"/>
          <w:sz w:val="26"/>
          <w:szCs w:val="26"/>
          <w:lang w:val="es-CO"/>
        </w:rPr>
        <w:t xml:space="preserve"> consolidará en una sola base de datos la siguiente información:</w:t>
      </w:r>
    </w:p>
    <w:p w14:paraId="27634946" w14:textId="77777777" w:rsidR="00DA1E1C" w:rsidRPr="003C5DE8" w:rsidRDefault="00DA1E1C" w:rsidP="003C5DE8">
      <w:pPr>
        <w:ind w:left="567" w:hanging="567"/>
        <w:rPr>
          <w:rFonts w:ascii="Arial Narrow" w:hAnsi="Arial Narrow" w:cs="Tahoma"/>
          <w:bCs/>
          <w:color w:val="000000" w:themeColor="text1"/>
          <w:sz w:val="26"/>
          <w:szCs w:val="26"/>
          <w:lang w:val="es-CO"/>
        </w:rPr>
      </w:pPr>
    </w:p>
    <w:p w14:paraId="26FECA23" w14:textId="6C979E6E" w:rsidR="00DA1E1C" w:rsidRPr="003C5DE8" w:rsidRDefault="00DA1E1C" w:rsidP="003C5DE8">
      <w:pPr>
        <w:pStyle w:val="Prrafodelista"/>
        <w:widowControl/>
        <w:numPr>
          <w:ilvl w:val="0"/>
          <w:numId w:val="7"/>
        </w:numPr>
        <w:autoSpaceDE/>
        <w:autoSpaceDN/>
        <w:ind w:left="567" w:hanging="567"/>
        <w:jc w:val="both"/>
        <w:rPr>
          <w:rFonts w:ascii="Arial Narrow" w:hAnsi="Arial Narrow" w:cs="Tahoma"/>
          <w:bCs/>
          <w:color w:val="000000" w:themeColor="text1"/>
          <w:sz w:val="26"/>
          <w:szCs w:val="26"/>
          <w:lang w:val="es-CO"/>
        </w:rPr>
      </w:pPr>
      <w:r w:rsidRPr="003C5DE8">
        <w:rPr>
          <w:rFonts w:ascii="Arial Narrow" w:hAnsi="Arial Narrow" w:cs="Tahoma"/>
          <w:bCs/>
          <w:color w:val="000000" w:themeColor="text1"/>
          <w:sz w:val="26"/>
          <w:szCs w:val="26"/>
          <w:lang w:val="es-CO"/>
        </w:rPr>
        <w:t xml:space="preserve">Consulta masiva en la Central de Riesgos </w:t>
      </w:r>
      <w:r w:rsidR="006C0C98" w:rsidRPr="003C5DE8">
        <w:rPr>
          <w:rFonts w:ascii="Arial Narrow" w:hAnsi="Arial Narrow" w:cs="Tahoma"/>
          <w:bCs/>
          <w:color w:val="000000" w:themeColor="text1"/>
          <w:sz w:val="26"/>
          <w:szCs w:val="26"/>
          <w:lang w:val="es-CO"/>
        </w:rPr>
        <w:t xml:space="preserve">TRANSUNION </w:t>
      </w:r>
      <w:r w:rsidRPr="003C5DE8">
        <w:rPr>
          <w:rFonts w:ascii="Arial Narrow" w:hAnsi="Arial Narrow" w:cs="Tahoma"/>
          <w:bCs/>
          <w:color w:val="000000" w:themeColor="text1"/>
          <w:sz w:val="26"/>
          <w:szCs w:val="26"/>
          <w:lang w:val="es-CO"/>
        </w:rPr>
        <w:t>mediante el producto “Evaluación de Cartera” que entregan una base de datos en EXCEL.</w:t>
      </w:r>
    </w:p>
    <w:p w14:paraId="179D740A" w14:textId="0FA5E431" w:rsidR="00DA1E1C" w:rsidRPr="003C5DE8" w:rsidRDefault="00DA1E1C" w:rsidP="003C5DE8">
      <w:pPr>
        <w:pStyle w:val="Prrafodelista"/>
        <w:widowControl/>
        <w:numPr>
          <w:ilvl w:val="0"/>
          <w:numId w:val="7"/>
        </w:numPr>
        <w:autoSpaceDE/>
        <w:autoSpaceDN/>
        <w:ind w:left="567" w:hanging="567"/>
        <w:jc w:val="both"/>
        <w:rPr>
          <w:rFonts w:ascii="Arial Narrow" w:hAnsi="Arial Narrow" w:cs="Tahoma"/>
          <w:bCs/>
          <w:color w:val="000000" w:themeColor="text1"/>
          <w:sz w:val="26"/>
          <w:szCs w:val="26"/>
          <w:lang w:val="es-CO"/>
        </w:rPr>
      </w:pPr>
      <w:r w:rsidRPr="003C5DE8">
        <w:rPr>
          <w:rFonts w:ascii="Arial Narrow" w:hAnsi="Arial Narrow" w:cs="Tahoma"/>
          <w:bCs/>
          <w:color w:val="000000" w:themeColor="text1"/>
          <w:sz w:val="26"/>
          <w:szCs w:val="26"/>
          <w:lang w:val="es-CO"/>
        </w:rPr>
        <w:t>Informe individual de usuarios, aportes, captaciones y cartera reportado a la Supersolidaria a través del SICSES.</w:t>
      </w:r>
    </w:p>
    <w:p w14:paraId="0E795683" w14:textId="77777777" w:rsidR="00DA1E1C" w:rsidRPr="003C5DE8" w:rsidRDefault="00DA1E1C" w:rsidP="003C5DE8">
      <w:pPr>
        <w:ind w:left="567" w:hanging="567"/>
        <w:rPr>
          <w:rFonts w:ascii="Arial Narrow" w:hAnsi="Arial Narrow" w:cs="Tahoma"/>
          <w:bCs/>
          <w:color w:val="000000" w:themeColor="text1"/>
          <w:sz w:val="26"/>
          <w:szCs w:val="26"/>
          <w:lang w:val="es-CO"/>
        </w:rPr>
      </w:pPr>
    </w:p>
    <w:p w14:paraId="5FF89FE0" w14:textId="77777777" w:rsidR="00DA1E1C" w:rsidRPr="003C5DE8" w:rsidRDefault="00DA1E1C" w:rsidP="003C5DE8">
      <w:pPr>
        <w:jc w:val="both"/>
        <w:rPr>
          <w:rFonts w:ascii="Arial Narrow" w:hAnsi="Arial Narrow" w:cs="Tahoma"/>
          <w:bCs/>
          <w:color w:val="000000" w:themeColor="text1"/>
          <w:sz w:val="26"/>
          <w:szCs w:val="26"/>
          <w:lang w:val="es-CO"/>
        </w:rPr>
      </w:pPr>
      <w:r w:rsidRPr="003C5DE8">
        <w:rPr>
          <w:rFonts w:ascii="Arial Narrow" w:hAnsi="Arial Narrow" w:cs="Tahoma"/>
          <w:bCs/>
          <w:color w:val="000000" w:themeColor="text1"/>
          <w:sz w:val="26"/>
          <w:szCs w:val="26"/>
          <w:lang w:val="es-CO"/>
        </w:rPr>
        <w:t>Con dicha información se procede a consolidar la información de cada asociado para aplicar SCORING de seguimiento.</w:t>
      </w:r>
    </w:p>
    <w:p w14:paraId="601A4EBB" w14:textId="77777777" w:rsidR="00DA1E1C" w:rsidRPr="003C5DE8" w:rsidRDefault="00DA1E1C" w:rsidP="003C5DE8">
      <w:pPr>
        <w:ind w:left="567" w:hanging="567"/>
        <w:rPr>
          <w:rFonts w:ascii="Arial Narrow" w:hAnsi="Arial Narrow"/>
          <w:color w:val="000000" w:themeColor="text1"/>
          <w:sz w:val="26"/>
          <w:szCs w:val="26"/>
          <w:lang w:val="es-CO"/>
        </w:rPr>
      </w:pPr>
    </w:p>
    <w:p w14:paraId="6C4B4D86" w14:textId="6F66BF3D" w:rsidR="00DA1E1C" w:rsidRPr="003C5DE8" w:rsidRDefault="00DA1E1C" w:rsidP="003C5DE8">
      <w:pPr>
        <w:pStyle w:val="Prrafodelista"/>
        <w:widowControl/>
        <w:numPr>
          <w:ilvl w:val="0"/>
          <w:numId w:val="9"/>
        </w:numPr>
        <w:pBdr>
          <w:bottom w:val="single" w:sz="4" w:space="1" w:color="auto"/>
        </w:pBdr>
        <w:shd w:val="clear" w:color="auto" w:fill="E5DFEC" w:themeFill="accent4" w:themeFillTint="33"/>
        <w:autoSpaceDE/>
        <w:autoSpaceDN/>
        <w:ind w:left="567" w:hanging="567"/>
        <w:jc w:val="both"/>
        <w:rPr>
          <w:rFonts w:ascii="Arial Narrow" w:hAnsi="Arial Narrow"/>
          <w:color w:val="000000" w:themeColor="text1"/>
          <w:sz w:val="26"/>
          <w:szCs w:val="26"/>
          <w:lang w:val="es-CO"/>
        </w:rPr>
      </w:pPr>
      <w:r w:rsidRPr="003C5DE8">
        <w:rPr>
          <w:rFonts w:ascii="Arial Narrow" w:hAnsi="Arial Narrow"/>
          <w:b/>
          <w:bCs/>
          <w:color w:val="000000" w:themeColor="text1"/>
          <w:sz w:val="26"/>
          <w:szCs w:val="26"/>
          <w:lang w:val="es-CO"/>
        </w:rPr>
        <w:t xml:space="preserve">Capacidad de </w:t>
      </w:r>
      <w:r w:rsidR="006C0C98" w:rsidRPr="003C5DE8">
        <w:rPr>
          <w:rFonts w:ascii="Arial Narrow" w:hAnsi="Arial Narrow"/>
          <w:b/>
          <w:bCs/>
          <w:color w:val="000000" w:themeColor="text1"/>
          <w:sz w:val="26"/>
          <w:szCs w:val="26"/>
          <w:lang w:val="es-CO"/>
        </w:rPr>
        <w:t>Pago</w:t>
      </w:r>
      <w:r w:rsidRPr="003C5DE8">
        <w:rPr>
          <w:rFonts w:ascii="Arial Narrow" w:hAnsi="Arial Narrow"/>
          <w:b/>
          <w:bCs/>
          <w:color w:val="000000" w:themeColor="text1"/>
          <w:sz w:val="26"/>
          <w:szCs w:val="26"/>
          <w:lang w:val="es-CO"/>
        </w:rPr>
        <w:t>:</w:t>
      </w:r>
    </w:p>
    <w:p w14:paraId="1FE9F59C" w14:textId="77777777" w:rsidR="00DA1E1C" w:rsidRPr="003C5DE8" w:rsidRDefault="00DA1E1C" w:rsidP="003C5DE8">
      <w:pPr>
        <w:pStyle w:val="Prrafodelista"/>
        <w:widowControl/>
        <w:numPr>
          <w:ilvl w:val="0"/>
          <w:numId w:val="10"/>
        </w:numPr>
        <w:autoSpaceDE/>
        <w:autoSpaceDN/>
        <w:ind w:left="567" w:hanging="567"/>
        <w:jc w:val="both"/>
        <w:rPr>
          <w:rFonts w:ascii="Arial Narrow" w:hAnsi="Arial Narrow"/>
          <w:color w:val="000000" w:themeColor="text1"/>
          <w:sz w:val="26"/>
          <w:szCs w:val="26"/>
          <w:lang w:val="es-CO"/>
        </w:rPr>
      </w:pPr>
      <w:r w:rsidRPr="003C5DE8">
        <w:rPr>
          <w:rFonts w:ascii="Arial Narrow" w:hAnsi="Arial Narrow"/>
          <w:b/>
          <w:bCs/>
          <w:color w:val="000000" w:themeColor="text1"/>
          <w:sz w:val="26"/>
          <w:szCs w:val="26"/>
          <w:lang w:val="es-CO"/>
        </w:rPr>
        <w:t>Carga financiera estimada / Ingreso familiar probable:</w:t>
      </w:r>
      <w:r w:rsidRPr="003C5DE8">
        <w:rPr>
          <w:rFonts w:ascii="Arial Narrow" w:hAnsi="Arial Narrow"/>
          <w:color w:val="000000" w:themeColor="text1"/>
          <w:sz w:val="26"/>
          <w:szCs w:val="26"/>
          <w:lang w:val="es-CO"/>
        </w:rPr>
        <w:t xml:space="preserve"> La carga financiera se estimó a partir de segmentar las obligaciones reportadas en la central de riesgos por vivienda, consumo, tarjetas de crédito y otras en las que se estimó la cuota mínima probable que pagase a un plazo y tasa de mercado para dicho producto. El ingreso mínimo probable se estimó a partir del rango de ingresos reportado a la Supersolidaria multiplicado por 1.5 teniendo en cuenta probables ingresos externos o familiares.</w:t>
      </w:r>
    </w:p>
    <w:p w14:paraId="6D8012BF" w14:textId="77777777" w:rsidR="00DA1E1C" w:rsidRPr="003C5DE8" w:rsidRDefault="00DA1E1C" w:rsidP="003C5DE8">
      <w:pPr>
        <w:pStyle w:val="Prrafodelista"/>
        <w:widowControl/>
        <w:numPr>
          <w:ilvl w:val="0"/>
          <w:numId w:val="10"/>
        </w:numPr>
        <w:autoSpaceDE/>
        <w:autoSpaceDN/>
        <w:ind w:left="567" w:hanging="567"/>
        <w:jc w:val="both"/>
        <w:rPr>
          <w:rFonts w:ascii="Arial Narrow" w:hAnsi="Arial Narrow"/>
          <w:color w:val="000000" w:themeColor="text1"/>
          <w:sz w:val="26"/>
          <w:szCs w:val="26"/>
          <w:lang w:val="es-CO"/>
        </w:rPr>
      </w:pPr>
      <w:r w:rsidRPr="003C5DE8">
        <w:rPr>
          <w:rFonts w:ascii="Arial Narrow" w:hAnsi="Arial Narrow"/>
          <w:b/>
          <w:bCs/>
          <w:color w:val="000000" w:themeColor="text1"/>
          <w:sz w:val="26"/>
          <w:szCs w:val="26"/>
          <w:lang w:val="es-CO"/>
        </w:rPr>
        <w:t>Ingresos SICSES:</w:t>
      </w:r>
      <w:r w:rsidRPr="003C5DE8">
        <w:rPr>
          <w:rFonts w:ascii="Arial Narrow" w:hAnsi="Arial Narrow"/>
          <w:color w:val="000000" w:themeColor="text1"/>
          <w:sz w:val="26"/>
          <w:szCs w:val="26"/>
          <w:lang w:val="es-CO"/>
        </w:rPr>
        <w:t xml:space="preserve"> a mayor nivel de ingresos mayor capacidad para sostener la carga financiera.</w:t>
      </w:r>
    </w:p>
    <w:p w14:paraId="39436033" w14:textId="77777777" w:rsidR="006C0C98" w:rsidRPr="003C5DE8" w:rsidRDefault="006C0C98" w:rsidP="003C5DE8">
      <w:pPr>
        <w:pStyle w:val="Prrafodelista"/>
        <w:widowControl/>
        <w:numPr>
          <w:ilvl w:val="0"/>
          <w:numId w:val="10"/>
        </w:numPr>
        <w:autoSpaceDE/>
        <w:autoSpaceDN/>
        <w:ind w:left="567" w:hanging="567"/>
        <w:jc w:val="both"/>
        <w:rPr>
          <w:rFonts w:ascii="Arial Narrow" w:hAnsi="Arial Narrow"/>
          <w:b/>
          <w:bCs/>
          <w:color w:val="000000" w:themeColor="text1"/>
          <w:sz w:val="26"/>
          <w:szCs w:val="26"/>
          <w:lang w:val="es-CO"/>
        </w:rPr>
      </w:pPr>
      <w:r w:rsidRPr="003C5DE8">
        <w:rPr>
          <w:rFonts w:ascii="Arial Narrow" w:hAnsi="Arial Narrow"/>
          <w:b/>
          <w:bCs/>
          <w:color w:val="000000" w:themeColor="text1"/>
          <w:sz w:val="26"/>
          <w:szCs w:val="26"/>
          <w:lang w:val="es-CO"/>
        </w:rPr>
        <w:t xml:space="preserve">Escolaridad: </w:t>
      </w:r>
      <w:r w:rsidRPr="003C5DE8">
        <w:rPr>
          <w:rFonts w:ascii="Arial Narrow" w:hAnsi="Arial Narrow"/>
          <w:color w:val="000000" w:themeColor="text1"/>
          <w:sz w:val="26"/>
          <w:szCs w:val="26"/>
          <w:lang w:val="es-CO"/>
        </w:rPr>
        <w:t>A mayor nivel de formación se cuenta con mayor nivel de ingreso probable.</w:t>
      </w:r>
      <w:r w:rsidRPr="003C5DE8">
        <w:rPr>
          <w:rFonts w:ascii="Arial Narrow" w:hAnsi="Arial Narrow"/>
          <w:b/>
          <w:bCs/>
          <w:color w:val="000000" w:themeColor="text1"/>
          <w:sz w:val="26"/>
          <w:szCs w:val="26"/>
          <w:lang w:val="es-CO"/>
        </w:rPr>
        <w:t xml:space="preserve"> </w:t>
      </w:r>
    </w:p>
    <w:p w14:paraId="655C289D" w14:textId="77777777" w:rsidR="00DA1E1C" w:rsidRPr="003C5DE8" w:rsidRDefault="00DA1E1C" w:rsidP="003C5DE8">
      <w:pPr>
        <w:pStyle w:val="Prrafodelista"/>
        <w:widowControl/>
        <w:numPr>
          <w:ilvl w:val="0"/>
          <w:numId w:val="10"/>
        </w:numPr>
        <w:autoSpaceDE/>
        <w:autoSpaceDN/>
        <w:ind w:left="567" w:hanging="567"/>
        <w:jc w:val="both"/>
        <w:rPr>
          <w:rFonts w:ascii="Arial Narrow" w:hAnsi="Arial Narrow"/>
          <w:b/>
          <w:bCs/>
          <w:color w:val="000000" w:themeColor="text1"/>
          <w:sz w:val="26"/>
          <w:szCs w:val="26"/>
          <w:lang w:val="es-CO"/>
        </w:rPr>
      </w:pPr>
      <w:r w:rsidRPr="003C5DE8">
        <w:rPr>
          <w:rFonts w:ascii="Arial Narrow" w:hAnsi="Arial Narrow"/>
          <w:b/>
          <w:bCs/>
          <w:color w:val="000000" w:themeColor="text1"/>
          <w:sz w:val="26"/>
          <w:szCs w:val="26"/>
          <w:lang w:val="es-CO"/>
        </w:rPr>
        <w:t xml:space="preserve">Estado civil: </w:t>
      </w:r>
      <w:r w:rsidRPr="003C5DE8">
        <w:rPr>
          <w:rFonts w:ascii="Arial Narrow" w:hAnsi="Arial Narrow"/>
          <w:color w:val="000000" w:themeColor="text1"/>
          <w:sz w:val="26"/>
          <w:szCs w:val="26"/>
          <w:lang w:val="es-CO"/>
        </w:rPr>
        <w:t>Se supone que los casados tienen la posibilidad de un segundo ingreso en el hogar mientras los solteros tienen menor nivel de solvencia patrimonial, al igual que los separados o divorciados donde en el caso de los separados además se tiene la incertidumbre del resultado final de la separación de bienes. En el caso de los viudos las deudas del conyugue desaparecen, se hereda el ingreso por pensión de supervivencia y los bienes del fallecido pasan parcialmente al sobreviviente mejorando regularmente la situación patrimonial.</w:t>
      </w:r>
      <w:r w:rsidRPr="003C5DE8">
        <w:rPr>
          <w:rFonts w:ascii="Arial Narrow" w:hAnsi="Arial Narrow"/>
          <w:b/>
          <w:bCs/>
          <w:color w:val="000000" w:themeColor="text1"/>
          <w:sz w:val="26"/>
          <w:szCs w:val="26"/>
          <w:lang w:val="es-CO"/>
        </w:rPr>
        <w:t xml:space="preserve"> </w:t>
      </w:r>
    </w:p>
    <w:p w14:paraId="57010E98" w14:textId="77777777" w:rsidR="00DA1E1C" w:rsidRPr="003C5DE8" w:rsidRDefault="00DA1E1C" w:rsidP="003C5DE8">
      <w:pPr>
        <w:ind w:left="567" w:hanging="567"/>
        <w:rPr>
          <w:rFonts w:ascii="Arial Narrow" w:hAnsi="Arial Narrow"/>
          <w:b/>
          <w:bCs/>
          <w:color w:val="000000" w:themeColor="text1"/>
          <w:sz w:val="26"/>
          <w:szCs w:val="26"/>
          <w:lang w:val="es-CO"/>
        </w:rPr>
      </w:pPr>
    </w:p>
    <w:p w14:paraId="5E99C4B1" w14:textId="77777777" w:rsidR="00DA1E1C" w:rsidRPr="003C5DE8" w:rsidRDefault="00DA1E1C" w:rsidP="003C5DE8">
      <w:pPr>
        <w:pStyle w:val="Prrafodelista"/>
        <w:widowControl/>
        <w:numPr>
          <w:ilvl w:val="0"/>
          <w:numId w:val="9"/>
        </w:numPr>
        <w:pBdr>
          <w:bottom w:val="single" w:sz="4" w:space="1" w:color="auto"/>
        </w:pBdr>
        <w:shd w:val="clear" w:color="auto" w:fill="E5DFEC" w:themeFill="accent4" w:themeFillTint="33"/>
        <w:autoSpaceDE/>
        <w:autoSpaceDN/>
        <w:ind w:left="567" w:hanging="567"/>
        <w:jc w:val="both"/>
        <w:rPr>
          <w:rFonts w:ascii="Arial Narrow" w:hAnsi="Arial Narrow"/>
          <w:color w:val="000000" w:themeColor="text1"/>
          <w:sz w:val="26"/>
          <w:szCs w:val="26"/>
          <w:lang w:val="es-CO"/>
        </w:rPr>
      </w:pPr>
      <w:r w:rsidRPr="003C5DE8">
        <w:rPr>
          <w:rFonts w:ascii="Arial Narrow" w:hAnsi="Arial Narrow"/>
          <w:b/>
          <w:bCs/>
          <w:color w:val="000000" w:themeColor="text1"/>
          <w:sz w:val="26"/>
          <w:szCs w:val="26"/>
          <w:lang w:val="es-CO"/>
        </w:rPr>
        <w:t>Solvencia:</w:t>
      </w:r>
    </w:p>
    <w:p w14:paraId="4C1BB495" w14:textId="29A8B71C" w:rsidR="00DA1E1C" w:rsidRPr="003C5DE8" w:rsidRDefault="00DA1E1C" w:rsidP="003C5DE8">
      <w:pPr>
        <w:pStyle w:val="Prrafodelista"/>
        <w:widowControl/>
        <w:numPr>
          <w:ilvl w:val="0"/>
          <w:numId w:val="10"/>
        </w:numPr>
        <w:autoSpaceDE/>
        <w:autoSpaceDN/>
        <w:ind w:left="567" w:hanging="567"/>
        <w:jc w:val="both"/>
        <w:rPr>
          <w:rFonts w:ascii="Arial Narrow" w:hAnsi="Arial Narrow"/>
          <w:bCs/>
          <w:color w:val="000000" w:themeColor="text1"/>
          <w:sz w:val="26"/>
          <w:szCs w:val="26"/>
          <w:lang w:val="es-CO"/>
        </w:rPr>
      </w:pPr>
      <w:r w:rsidRPr="003C5DE8">
        <w:rPr>
          <w:rFonts w:ascii="Arial Narrow" w:hAnsi="Arial Narrow"/>
          <w:b/>
          <w:bCs/>
          <w:color w:val="000000" w:themeColor="text1"/>
          <w:sz w:val="26"/>
          <w:szCs w:val="26"/>
          <w:lang w:val="es-CO"/>
        </w:rPr>
        <w:t xml:space="preserve">Deuda TOTAL / Ingresos: </w:t>
      </w:r>
      <w:r w:rsidRPr="003C5DE8">
        <w:rPr>
          <w:rFonts w:ascii="Arial Narrow" w:hAnsi="Arial Narrow"/>
          <w:bCs/>
          <w:color w:val="000000" w:themeColor="text1"/>
          <w:sz w:val="26"/>
          <w:szCs w:val="26"/>
          <w:lang w:val="es-CO"/>
        </w:rPr>
        <w:t xml:space="preserve">Deuda Total </w:t>
      </w:r>
      <w:r w:rsidR="009A4C18">
        <w:rPr>
          <w:rFonts w:ascii="Arial Narrow" w:hAnsi="Arial Narrow"/>
          <w:bCs/>
          <w:color w:val="000000" w:themeColor="text1"/>
          <w:sz w:val="26"/>
          <w:szCs w:val="26"/>
          <w:lang w:val="es-CO"/>
        </w:rPr>
        <w:t>FONDEJEMPLO</w:t>
      </w:r>
      <w:r w:rsidRPr="003C5DE8">
        <w:rPr>
          <w:rFonts w:ascii="Arial Narrow" w:hAnsi="Arial Narrow"/>
          <w:bCs/>
          <w:color w:val="000000" w:themeColor="text1"/>
          <w:sz w:val="26"/>
          <w:szCs w:val="26"/>
          <w:lang w:val="es-CO"/>
        </w:rPr>
        <w:t xml:space="preserve"> y deuda externa dividida el total de ingresos del deudor (salarios, otros ingresos personales y familiares). Se </w:t>
      </w:r>
      <w:r w:rsidR="009B3A78" w:rsidRPr="003C5DE8">
        <w:rPr>
          <w:rFonts w:ascii="Arial Narrow" w:hAnsi="Arial Narrow"/>
          <w:bCs/>
          <w:color w:val="000000" w:themeColor="text1"/>
          <w:sz w:val="26"/>
          <w:szCs w:val="26"/>
          <w:lang w:val="es-CO"/>
        </w:rPr>
        <w:t>debe</w:t>
      </w:r>
      <w:r w:rsidRPr="003C5DE8">
        <w:rPr>
          <w:rFonts w:ascii="Arial Narrow" w:hAnsi="Arial Narrow"/>
          <w:bCs/>
          <w:color w:val="000000" w:themeColor="text1"/>
          <w:sz w:val="26"/>
          <w:szCs w:val="26"/>
          <w:lang w:val="es-CO"/>
        </w:rPr>
        <w:t xml:space="preserve"> revisar aquellos cuyo resultado supere 35 veces para establecer si obedece a problemas de desactualización del dato de ingresos.</w:t>
      </w:r>
    </w:p>
    <w:p w14:paraId="5DEBA2C0" w14:textId="77777777" w:rsidR="00DA1E1C" w:rsidRPr="003C5DE8" w:rsidRDefault="00DA1E1C" w:rsidP="003C5DE8">
      <w:pPr>
        <w:pStyle w:val="Prrafodelista"/>
        <w:widowControl/>
        <w:numPr>
          <w:ilvl w:val="0"/>
          <w:numId w:val="10"/>
        </w:numPr>
        <w:autoSpaceDE/>
        <w:autoSpaceDN/>
        <w:ind w:left="567" w:hanging="567"/>
        <w:jc w:val="both"/>
        <w:rPr>
          <w:rFonts w:ascii="Arial Narrow" w:hAnsi="Arial Narrow"/>
          <w:color w:val="000000" w:themeColor="text1"/>
          <w:sz w:val="26"/>
          <w:szCs w:val="26"/>
          <w:lang w:val="es-CO"/>
        </w:rPr>
      </w:pPr>
      <w:r w:rsidRPr="003C5DE8">
        <w:rPr>
          <w:rFonts w:ascii="Arial Narrow" w:hAnsi="Arial Narrow"/>
          <w:b/>
          <w:bCs/>
          <w:color w:val="000000" w:themeColor="text1"/>
          <w:sz w:val="26"/>
          <w:szCs w:val="26"/>
          <w:lang w:val="es-CO"/>
        </w:rPr>
        <w:t>Aportes + Ahorros / Ingresos:</w:t>
      </w:r>
      <w:r w:rsidRPr="003C5DE8">
        <w:rPr>
          <w:rFonts w:ascii="Arial Narrow" w:hAnsi="Arial Narrow"/>
          <w:color w:val="000000" w:themeColor="text1"/>
          <w:sz w:val="26"/>
          <w:szCs w:val="26"/>
          <w:lang w:val="es-CO"/>
        </w:rPr>
        <w:t xml:space="preserve"> Se presume que a mayor nivel de ahorro y aporte acumulado en función de los ingresos menor es el riesgo potencial de insolvencia.</w:t>
      </w:r>
    </w:p>
    <w:p w14:paraId="33CF8BCC" w14:textId="77777777" w:rsidR="00DA1E1C" w:rsidRPr="003C5DE8" w:rsidRDefault="00DA1E1C" w:rsidP="003C5DE8">
      <w:pPr>
        <w:pStyle w:val="Prrafodelista"/>
        <w:widowControl/>
        <w:numPr>
          <w:ilvl w:val="0"/>
          <w:numId w:val="10"/>
        </w:numPr>
        <w:autoSpaceDE/>
        <w:autoSpaceDN/>
        <w:ind w:left="567" w:hanging="567"/>
        <w:jc w:val="both"/>
        <w:rPr>
          <w:rFonts w:ascii="Arial Narrow" w:hAnsi="Arial Narrow"/>
          <w:color w:val="000000" w:themeColor="text1"/>
          <w:sz w:val="26"/>
          <w:szCs w:val="26"/>
          <w:lang w:val="es-CO"/>
        </w:rPr>
      </w:pPr>
      <w:r w:rsidRPr="003C5DE8">
        <w:rPr>
          <w:rFonts w:ascii="Arial Narrow" w:hAnsi="Arial Narrow"/>
          <w:b/>
          <w:bCs/>
          <w:color w:val="000000" w:themeColor="text1"/>
          <w:sz w:val="26"/>
          <w:szCs w:val="26"/>
          <w:lang w:val="es-CO"/>
        </w:rPr>
        <w:t>Edad:</w:t>
      </w:r>
      <w:r w:rsidRPr="003C5DE8">
        <w:rPr>
          <w:rFonts w:ascii="Arial Narrow" w:hAnsi="Arial Narrow"/>
          <w:color w:val="000000" w:themeColor="text1"/>
          <w:sz w:val="26"/>
          <w:szCs w:val="26"/>
          <w:lang w:val="es-CO"/>
        </w:rPr>
        <w:t xml:space="preserve"> A mayor edad se presupone mayor nivel de solvencia patrimonial.</w:t>
      </w:r>
    </w:p>
    <w:p w14:paraId="3C32E81A" w14:textId="77777777" w:rsidR="00DA1E1C" w:rsidRPr="003C5DE8" w:rsidRDefault="00DA1E1C" w:rsidP="003C5DE8">
      <w:pPr>
        <w:pStyle w:val="Prrafodelista"/>
        <w:widowControl/>
        <w:numPr>
          <w:ilvl w:val="0"/>
          <w:numId w:val="10"/>
        </w:numPr>
        <w:autoSpaceDE/>
        <w:autoSpaceDN/>
        <w:ind w:left="567" w:hanging="567"/>
        <w:jc w:val="both"/>
        <w:rPr>
          <w:rFonts w:ascii="Arial Narrow" w:hAnsi="Arial Narrow"/>
          <w:color w:val="000000" w:themeColor="text1"/>
          <w:sz w:val="26"/>
          <w:szCs w:val="26"/>
          <w:lang w:val="es-CO"/>
        </w:rPr>
      </w:pPr>
      <w:r w:rsidRPr="003C5DE8">
        <w:rPr>
          <w:rFonts w:ascii="Arial Narrow" w:hAnsi="Arial Narrow"/>
          <w:b/>
          <w:bCs/>
          <w:color w:val="000000" w:themeColor="text1"/>
          <w:sz w:val="26"/>
          <w:szCs w:val="26"/>
          <w:lang w:val="es-CO"/>
        </w:rPr>
        <w:t>Estrato:</w:t>
      </w:r>
      <w:r w:rsidRPr="003C5DE8">
        <w:rPr>
          <w:rFonts w:ascii="Arial Narrow" w:hAnsi="Arial Narrow"/>
          <w:color w:val="000000" w:themeColor="text1"/>
          <w:sz w:val="26"/>
          <w:szCs w:val="26"/>
          <w:lang w:val="es-CO"/>
        </w:rPr>
        <w:t xml:space="preserve"> Bajo el supuesto que entre mayor sea el estrato es mayor la solvencia.</w:t>
      </w:r>
    </w:p>
    <w:p w14:paraId="07FF02DE" w14:textId="77777777" w:rsidR="00DA1E1C" w:rsidRPr="003C5DE8" w:rsidRDefault="00DA1E1C" w:rsidP="003C5DE8">
      <w:pPr>
        <w:ind w:left="567" w:hanging="567"/>
        <w:rPr>
          <w:rFonts w:ascii="Arial Narrow" w:hAnsi="Arial Narrow"/>
          <w:color w:val="000000" w:themeColor="text1"/>
          <w:sz w:val="26"/>
          <w:szCs w:val="26"/>
          <w:lang w:val="es-CO"/>
        </w:rPr>
      </w:pPr>
    </w:p>
    <w:p w14:paraId="2270E5A1" w14:textId="77777777" w:rsidR="000C0CD7" w:rsidRPr="003C5DE8" w:rsidRDefault="000C0CD7" w:rsidP="003C5DE8">
      <w:pPr>
        <w:pStyle w:val="Prrafodelista"/>
        <w:widowControl/>
        <w:numPr>
          <w:ilvl w:val="0"/>
          <w:numId w:val="9"/>
        </w:numPr>
        <w:pBdr>
          <w:bottom w:val="single" w:sz="4" w:space="1" w:color="auto"/>
        </w:pBdr>
        <w:shd w:val="clear" w:color="auto" w:fill="E5DFEC" w:themeFill="accent4" w:themeFillTint="33"/>
        <w:autoSpaceDE/>
        <w:autoSpaceDN/>
        <w:ind w:left="567" w:hanging="567"/>
        <w:jc w:val="both"/>
        <w:rPr>
          <w:rFonts w:ascii="Arial Narrow" w:hAnsi="Arial Narrow"/>
          <w:b/>
          <w:bCs/>
          <w:color w:val="000000" w:themeColor="text1"/>
          <w:sz w:val="26"/>
          <w:szCs w:val="26"/>
          <w:lang w:val="es-CO"/>
        </w:rPr>
      </w:pPr>
      <w:r w:rsidRPr="003C5DE8">
        <w:rPr>
          <w:rFonts w:ascii="Arial Narrow" w:hAnsi="Arial Narrow"/>
          <w:b/>
          <w:bCs/>
          <w:color w:val="000000" w:themeColor="text1"/>
          <w:sz w:val="26"/>
          <w:szCs w:val="26"/>
          <w:lang w:val="es-CO"/>
        </w:rPr>
        <w:t>Garantías:</w:t>
      </w:r>
    </w:p>
    <w:p w14:paraId="45CE8F3C" w14:textId="77777777" w:rsidR="00813CA9" w:rsidRPr="003C5DE8" w:rsidRDefault="00813CA9" w:rsidP="003C5DE8">
      <w:pPr>
        <w:pStyle w:val="Prrafodelista"/>
        <w:widowControl/>
        <w:numPr>
          <w:ilvl w:val="0"/>
          <w:numId w:val="12"/>
        </w:numPr>
        <w:tabs>
          <w:tab w:val="num" w:pos="709"/>
        </w:tabs>
        <w:autoSpaceDE/>
        <w:autoSpaceDN/>
        <w:ind w:left="567" w:hanging="567"/>
        <w:jc w:val="both"/>
        <w:rPr>
          <w:rFonts w:ascii="Arial Narrow" w:hAnsi="Arial Narrow"/>
          <w:color w:val="000000" w:themeColor="text1"/>
          <w:sz w:val="26"/>
          <w:szCs w:val="26"/>
          <w:lang w:val="es-CO"/>
        </w:rPr>
      </w:pPr>
      <w:r w:rsidRPr="003C5DE8">
        <w:rPr>
          <w:rFonts w:ascii="Arial Narrow" w:hAnsi="Arial Narrow"/>
          <w:b/>
          <w:bCs/>
          <w:color w:val="000000" w:themeColor="text1"/>
          <w:sz w:val="26"/>
          <w:szCs w:val="26"/>
          <w:lang w:val="es-CO"/>
        </w:rPr>
        <w:t>Tipo de Garantía</w:t>
      </w:r>
      <w:r w:rsidRPr="003C5DE8">
        <w:rPr>
          <w:rFonts w:ascii="Arial Narrow" w:hAnsi="Arial Narrow"/>
          <w:color w:val="000000" w:themeColor="text1"/>
          <w:sz w:val="26"/>
          <w:szCs w:val="26"/>
          <w:lang w:val="es-CO"/>
        </w:rPr>
        <w:t>: Se entiende de menor riesgo las garantías admisibles.</w:t>
      </w:r>
    </w:p>
    <w:p w14:paraId="602625DB" w14:textId="77777777" w:rsidR="000C0CD7" w:rsidRPr="003C5DE8" w:rsidRDefault="000C0CD7" w:rsidP="003C5DE8">
      <w:pPr>
        <w:pStyle w:val="Prrafodelista"/>
        <w:widowControl/>
        <w:numPr>
          <w:ilvl w:val="0"/>
          <w:numId w:val="12"/>
        </w:numPr>
        <w:tabs>
          <w:tab w:val="num" w:pos="709"/>
        </w:tabs>
        <w:autoSpaceDE/>
        <w:autoSpaceDN/>
        <w:ind w:left="567" w:hanging="567"/>
        <w:jc w:val="both"/>
        <w:rPr>
          <w:rFonts w:ascii="Arial Narrow" w:hAnsi="Arial Narrow"/>
          <w:color w:val="000000" w:themeColor="text1"/>
          <w:sz w:val="26"/>
          <w:szCs w:val="26"/>
          <w:lang w:val="es-CO"/>
        </w:rPr>
      </w:pPr>
      <w:r w:rsidRPr="003C5DE8">
        <w:rPr>
          <w:rFonts w:ascii="Arial Narrow" w:hAnsi="Arial Narrow"/>
          <w:b/>
          <w:bCs/>
          <w:color w:val="000000" w:themeColor="text1"/>
          <w:sz w:val="26"/>
          <w:szCs w:val="26"/>
          <w:lang w:val="es-CO"/>
        </w:rPr>
        <w:t>Descubierto</w:t>
      </w:r>
      <w:r w:rsidRPr="003C5DE8">
        <w:rPr>
          <w:rFonts w:ascii="Arial Narrow" w:hAnsi="Arial Narrow"/>
          <w:color w:val="000000" w:themeColor="text1"/>
          <w:sz w:val="26"/>
          <w:szCs w:val="26"/>
          <w:lang w:val="es-CO"/>
        </w:rPr>
        <w:t>: Deuda menos los aportes y ahorros permanentes dividido los ingresos estimados del deudor.</w:t>
      </w:r>
    </w:p>
    <w:p w14:paraId="328730A1" w14:textId="77777777" w:rsidR="000C0CD7" w:rsidRPr="003C5DE8" w:rsidRDefault="000C0CD7" w:rsidP="003C5DE8">
      <w:pPr>
        <w:pStyle w:val="Prrafodelista"/>
        <w:widowControl/>
        <w:numPr>
          <w:ilvl w:val="0"/>
          <w:numId w:val="12"/>
        </w:numPr>
        <w:tabs>
          <w:tab w:val="num" w:pos="709"/>
        </w:tabs>
        <w:autoSpaceDE/>
        <w:autoSpaceDN/>
        <w:ind w:left="567" w:hanging="567"/>
        <w:jc w:val="both"/>
        <w:rPr>
          <w:rFonts w:ascii="Arial Narrow" w:hAnsi="Arial Narrow"/>
          <w:color w:val="000000" w:themeColor="text1"/>
          <w:sz w:val="26"/>
          <w:szCs w:val="26"/>
          <w:lang w:val="es-CO"/>
        </w:rPr>
      </w:pPr>
      <w:r w:rsidRPr="003C5DE8">
        <w:rPr>
          <w:rFonts w:ascii="Arial Narrow" w:hAnsi="Arial Narrow"/>
          <w:b/>
          <w:bCs/>
          <w:color w:val="000000" w:themeColor="text1"/>
          <w:sz w:val="26"/>
          <w:szCs w:val="26"/>
          <w:lang w:val="es-CO"/>
        </w:rPr>
        <w:t>Valor en riesgo:</w:t>
      </w:r>
      <w:r w:rsidRPr="003C5DE8">
        <w:rPr>
          <w:rFonts w:ascii="Arial Narrow" w:hAnsi="Arial Narrow"/>
          <w:color w:val="000000" w:themeColor="text1"/>
          <w:sz w:val="26"/>
          <w:szCs w:val="26"/>
          <w:lang w:val="es-CO"/>
        </w:rPr>
        <w:t xml:space="preserve"> Cartera (–) Aportes y Ahorro permanente (–) Garantía Admisible (/) Ingresos del deudor.</w:t>
      </w:r>
    </w:p>
    <w:p w14:paraId="32C5D361" w14:textId="301F4649" w:rsidR="00813CA9" w:rsidRPr="003C5DE8" w:rsidRDefault="00813CA9" w:rsidP="003C5DE8">
      <w:pPr>
        <w:pStyle w:val="Prrafodelista"/>
        <w:widowControl/>
        <w:numPr>
          <w:ilvl w:val="0"/>
          <w:numId w:val="12"/>
        </w:numPr>
        <w:tabs>
          <w:tab w:val="num" w:pos="709"/>
        </w:tabs>
        <w:autoSpaceDE/>
        <w:autoSpaceDN/>
        <w:ind w:left="567" w:hanging="567"/>
        <w:jc w:val="both"/>
        <w:rPr>
          <w:rFonts w:ascii="Arial Narrow" w:hAnsi="Arial Narrow"/>
          <w:color w:val="000000" w:themeColor="text1"/>
          <w:sz w:val="26"/>
          <w:szCs w:val="26"/>
          <w:lang w:val="es-CO"/>
        </w:rPr>
      </w:pPr>
      <w:r w:rsidRPr="003C5DE8">
        <w:rPr>
          <w:rFonts w:ascii="Arial Narrow" w:hAnsi="Arial Narrow"/>
          <w:b/>
          <w:bCs/>
          <w:color w:val="000000" w:themeColor="text1"/>
          <w:sz w:val="26"/>
          <w:szCs w:val="26"/>
          <w:lang w:val="es-CO"/>
        </w:rPr>
        <w:t>Recaudo:</w:t>
      </w:r>
      <w:r w:rsidRPr="003C5DE8">
        <w:rPr>
          <w:rFonts w:ascii="Arial Narrow" w:hAnsi="Arial Narrow"/>
          <w:color w:val="000000" w:themeColor="text1"/>
          <w:sz w:val="26"/>
          <w:szCs w:val="26"/>
          <w:lang w:val="es-CO"/>
        </w:rPr>
        <w:t xml:space="preserve"> siendo de menor riesgo libranza que otros medios.</w:t>
      </w:r>
    </w:p>
    <w:p w14:paraId="3D5C8BED" w14:textId="77777777" w:rsidR="000C0CD7" w:rsidRPr="003C5DE8" w:rsidRDefault="000C0CD7" w:rsidP="003C5DE8">
      <w:pPr>
        <w:ind w:left="567" w:hanging="567"/>
        <w:rPr>
          <w:rFonts w:ascii="Arial Narrow" w:hAnsi="Arial Narrow"/>
          <w:color w:val="000000" w:themeColor="text1"/>
          <w:sz w:val="26"/>
          <w:szCs w:val="26"/>
          <w:lang w:val="es-CO"/>
        </w:rPr>
      </w:pPr>
    </w:p>
    <w:p w14:paraId="5D1DB4D2" w14:textId="77777777" w:rsidR="00DA1E1C" w:rsidRPr="003C5DE8" w:rsidRDefault="00DA1E1C" w:rsidP="003C5DE8">
      <w:pPr>
        <w:pStyle w:val="Prrafodelista"/>
        <w:widowControl/>
        <w:numPr>
          <w:ilvl w:val="0"/>
          <w:numId w:val="9"/>
        </w:numPr>
        <w:pBdr>
          <w:bottom w:val="single" w:sz="4" w:space="1" w:color="auto"/>
        </w:pBdr>
        <w:shd w:val="clear" w:color="auto" w:fill="E5DFEC" w:themeFill="accent4" w:themeFillTint="33"/>
        <w:autoSpaceDE/>
        <w:autoSpaceDN/>
        <w:ind w:left="567" w:hanging="567"/>
        <w:jc w:val="both"/>
        <w:rPr>
          <w:rFonts w:ascii="Arial Narrow" w:hAnsi="Arial Narrow"/>
          <w:b/>
          <w:bCs/>
          <w:color w:val="000000" w:themeColor="text1"/>
          <w:sz w:val="26"/>
          <w:szCs w:val="26"/>
          <w:lang w:val="es-CO"/>
        </w:rPr>
      </w:pPr>
      <w:r w:rsidRPr="003C5DE8">
        <w:rPr>
          <w:rFonts w:ascii="Arial Narrow" w:hAnsi="Arial Narrow"/>
          <w:b/>
          <w:bCs/>
          <w:color w:val="000000" w:themeColor="text1"/>
          <w:sz w:val="26"/>
          <w:szCs w:val="26"/>
          <w:lang w:val="es-CO"/>
        </w:rPr>
        <w:t xml:space="preserve">Servicio de la deuda. </w:t>
      </w:r>
    </w:p>
    <w:p w14:paraId="04FC3F68" w14:textId="77777777" w:rsidR="00A225DD" w:rsidRPr="003C5DE8" w:rsidRDefault="00A225DD" w:rsidP="003C5DE8">
      <w:pPr>
        <w:pStyle w:val="Prrafodelista"/>
        <w:widowControl/>
        <w:numPr>
          <w:ilvl w:val="0"/>
          <w:numId w:val="11"/>
        </w:numPr>
        <w:tabs>
          <w:tab w:val="num" w:pos="720"/>
        </w:tabs>
        <w:autoSpaceDE/>
        <w:autoSpaceDN/>
        <w:ind w:left="567" w:hanging="567"/>
        <w:jc w:val="both"/>
        <w:rPr>
          <w:rFonts w:ascii="Arial Narrow" w:hAnsi="Arial Narrow"/>
          <w:color w:val="000000" w:themeColor="text1"/>
          <w:sz w:val="26"/>
          <w:szCs w:val="26"/>
          <w:lang w:val="es-CO"/>
        </w:rPr>
      </w:pPr>
      <w:r w:rsidRPr="003C5DE8">
        <w:rPr>
          <w:rFonts w:ascii="Arial Narrow" w:hAnsi="Arial Narrow"/>
          <w:b/>
          <w:bCs/>
          <w:color w:val="000000" w:themeColor="text1"/>
          <w:sz w:val="26"/>
          <w:szCs w:val="26"/>
          <w:lang w:val="es-CO"/>
        </w:rPr>
        <w:t>Días de mora:</w:t>
      </w:r>
      <w:r w:rsidRPr="003C5DE8">
        <w:rPr>
          <w:rFonts w:ascii="Arial Narrow" w:hAnsi="Arial Narrow"/>
          <w:color w:val="000000" w:themeColor="text1"/>
          <w:sz w:val="26"/>
          <w:szCs w:val="26"/>
          <w:lang w:val="es-CO"/>
        </w:rPr>
        <w:t xml:space="preserve"> tanto en cartera como en el pago de aportes.</w:t>
      </w:r>
    </w:p>
    <w:p w14:paraId="57AEC2A4" w14:textId="41DC1AD4" w:rsidR="00DA1E1C" w:rsidRPr="003C5DE8" w:rsidRDefault="00DA1E1C" w:rsidP="003C5DE8">
      <w:pPr>
        <w:pStyle w:val="Prrafodelista"/>
        <w:widowControl/>
        <w:numPr>
          <w:ilvl w:val="0"/>
          <w:numId w:val="11"/>
        </w:numPr>
        <w:tabs>
          <w:tab w:val="num" w:pos="720"/>
        </w:tabs>
        <w:autoSpaceDE/>
        <w:autoSpaceDN/>
        <w:ind w:left="567" w:hanging="567"/>
        <w:jc w:val="both"/>
        <w:rPr>
          <w:rFonts w:ascii="Arial Narrow" w:hAnsi="Arial Narrow"/>
          <w:color w:val="000000" w:themeColor="text1"/>
          <w:sz w:val="26"/>
          <w:szCs w:val="26"/>
          <w:lang w:val="es-CO"/>
        </w:rPr>
      </w:pPr>
      <w:r w:rsidRPr="003C5DE8">
        <w:rPr>
          <w:rFonts w:ascii="Arial Narrow" w:hAnsi="Arial Narrow"/>
          <w:b/>
          <w:bCs/>
          <w:color w:val="000000" w:themeColor="text1"/>
          <w:sz w:val="26"/>
          <w:szCs w:val="26"/>
          <w:lang w:val="es-CO"/>
        </w:rPr>
        <w:t xml:space="preserve">Calificación por altura de mora asignada por </w:t>
      </w:r>
      <w:r w:rsidR="009A4C18">
        <w:rPr>
          <w:rFonts w:ascii="Arial Narrow" w:hAnsi="Arial Narrow"/>
          <w:b/>
          <w:bCs/>
          <w:color w:val="000000" w:themeColor="text1"/>
          <w:sz w:val="26"/>
          <w:szCs w:val="26"/>
          <w:lang w:val="es-CO"/>
        </w:rPr>
        <w:t>FONDEJEMPLO</w:t>
      </w:r>
      <w:r w:rsidRPr="003C5DE8">
        <w:rPr>
          <w:rFonts w:ascii="Arial Narrow" w:hAnsi="Arial Narrow"/>
          <w:b/>
          <w:bCs/>
          <w:color w:val="000000" w:themeColor="text1"/>
          <w:sz w:val="26"/>
          <w:szCs w:val="26"/>
          <w:lang w:val="es-CO"/>
        </w:rPr>
        <w:t xml:space="preserve">: </w:t>
      </w:r>
      <w:proofErr w:type="gramStart"/>
      <w:r w:rsidRPr="003C5DE8">
        <w:rPr>
          <w:rFonts w:ascii="Arial Narrow" w:hAnsi="Arial Narrow"/>
          <w:bCs/>
          <w:color w:val="000000" w:themeColor="text1"/>
          <w:sz w:val="26"/>
          <w:szCs w:val="26"/>
          <w:lang w:val="es-CO"/>
        </w:rPr>
        <w:t>De acuerdo a</w:t>
      </w:r>
      <w:proofErr w:type="gramEnd"/>
      <w:r w:rsidRPr="003C5DE8">
        <w:rPr>
          <w:rFonts w:ascii="Arial Narrow" w:hAnsi="Arial Narrow"/>
          <w:bCs/>
          <w:color w:val="000000" w:themeColor="text1"/>
          <w:sz w:val="26"/>
          <w:szCs w:val="26"/>
          <w:lang w:val="es-CO"/>
        </w:rPr>
        <w:t xml:space="preserve"> lo establecido en la circular básica contable y financiera emanada de la Supersolidaria: A, B, C, D, E. </w:t>
      </w:r>
    </w:p>
    <w:p w14:paraId="2205FD87" w14:textId="3377E323" w:rsidR="00DA1E1C" w:rsidRPr="003C5DE8" w:rsidRDefault="00DA1E1C" w:rsidP="003C5DE8">
      <w:pPr>
        <w:pStyle w:val="Prrafodelista"/>
        <w:widowControl/>
        <w:numPr>
          <w:ilvl w:val="0"/>
          <w:numId w:val="11"/>
        </w:numPr>
        <w:tabs>
          <w:tab w:val="num" w:pos="720"/>
        </w:tabs>
        <w:autoSpaceDE/>
        <w:autoSpaceDN/>
        <w:ind w:left="567" w:hanging="567"/>
        <w:jc w:val="both"/>
        <w:rPr>
          <w:rFonts w:ascii="Arial Narrow" w:hAnsi="Arial Narrow"/>
          <w:color w:val="000000" w:themeColor="text1"/>
          <w:sz w:val="26"/>
          <w:szCs w:val="26"/>
          <w:lang w:val="es-CO"/>
        </w:rPr>
      </w:pPr>
      <w:r w:rsidRPr="003C5DE8">
        <w:rPr>
          <w:rFonts w:ascii="Arial Narrow" w:hAnsi="Arial Narrow"/>
          <w:b/>
          <w:bCs/>
          <w:color w:val="000000" w:themeColor="text1"/>
          <w:sz w:val="26"/>
          <w:szCs w:val="26"/>
          <w:lang w:val="es-CO"/>
        </w:rPr>
        <w:t xml:space="preserve">Antigüedad en años del asociado: </w:t>
      </w:r>
      <w:r w:rsidRPr="003C5DE8">
        <w:rPr>
          <w:rFonts w:ascii="Arial Narrow" w:hAnsi="Arial Narrow"/>
          <w:bCs/>
          <w:color w:val="000000" w:themeColor="text1"/>
          <w:sz w:val="26"/>
          <w:szCs w:val="26"/>
          <w:lang w:val="es-CO"/>
        </w:rPr>
        <w:t xml:space="preserve">Este criterio permite no solo conocer de mejor manera el hábito de pago en </w:t>
      </w:r>
      <w:r w:rsidR="009A4C18">
        <w:rPr>
          <w:rFonts w:ascii="Arial Narrow" w:hAnsi="Arial Narrow"/>
          <w:bCs/>
          <w:color w:val="000000" w:themeColor="text1"/>
          <w:sz w:val="26"/>
          <w:szCs w:val="26"/>
          <w:lang w:val="es-CO"/>
        </w:rPr>
        <w:t>FONDEJEMPLO</w:t>
      </w:r>
      <w:r w:rsidRPr="003C5DE8">
        <w:rPr>
          <w:rFonts w:ascii="Arial Narrow" w:hAnsi="Arial Narrow"/>
          <w:bCs/>
          <w:color w:val="000000" w:themeColor="text1"/>
          <w:sz w:val="26"/>
          <w:szCs w:val="26"/>
          <w:lang w:val="es-CO"/>
        </w:rPr>
        <w:t>, sino que, en caso de ser empleado, entre mayor sea la antigüedad como asociado, es de esperar que también se alta la antigüedad laboral y mayor es el valor de una posible liquidación final de prestaciones sociales</w:t>
      </w:r>
      <w:r w:rsidRPr="003C5DE8">
        <w:rPr>
          <w:rFonts w:ascii="Arial Narrow" w:hAnsi="Arial Narrow"/>
          <w:b/>
          <w:bCs/>
          <w:color w:val="000000" w:themeColor="text1"/>
          <w:sz w:val="26"/>
          <w:szCs w:val="26"/>
          <w:lang w:val="es-CO"/>
        </w:rPr>
        <w:t>.</w:t>
      </w:r>
    </w:p>
    <w:p w14:paraId="5ADBE41B" w14:textId="77777777" w:rsidR="00DA1E1C" w:rsidRPr="003C5DE8" w:rsidRDefault="00DA1E1C" w:rsidP="003C5DE8">
      <w:pPr>
        <w:pStyle w:val="Prrafodelista"/>
        <w:widowControl/>
        <w:numPr>
          <w:ilvl w:val="0"/>
          <w:numId w:val="11"/>
        </w:numPr>
        <w:tabs>
          <w:tab w:val="num" w:pos="720"/>
        </w:tabs>
        <w:autoSpaceDE/>
        <w:autoSpaceDN/>
        <w:ind w:left="567" w:hanging="567"/>
        <w:jc w:val="both"/>
        <w:rPr>
          <w:rFonts w:ascii="Arial Narrow" w:hAnsi="Arial Narrow"/>
          <w:color w:val="000000" w:themeColor="text1"/>
          <w:sz w:val="26"/>
          <w:szCs w:val="26"/>
          <w:lang w:val="es-CO"/>
        </w:rPr>
      </w:pPr>
      <w:r w:rsidRPr="003C5DE8">
        <w:rPr>
          <w:rFonts w:ascii="Arial Narrow" w:hAnsi="Arial Narrow"/>
          <w:b/>
          <w:color w:val="000000" w:themeColor="text1"/>
          <w:sz w:val="26"/>
          <w:szCs w:val="26"/>
          <w:lang w:val="es-CO"/>
        </w:rPr>
        <w:t>Género</w:t>
      </w:r>
      <w:r w:rsidRPr="003C5DE8">
        <w:rPr>
          <w:rFonts w:ascii="Arial Narrow" w:hAnsi="Arial Narrow"/>
          <w:bCs/>
          <w:color w:val="000000" w:themeColor="text1"/>
          <w:sz w:val="26"/>
          <w:szCs w:val="26"/>
          <w:lang w:val="es-CO"/>
        </w:rPr>
        <w:t>: estadísticamente se observan mejores hábitos de pago en mujeres.</w:t>
      </w:r>
    </w:p>
    <w:p w14:paraId="3DFE72EE" w14:textId="77777777" w:rsidR="00DA1E1C" w:rsidRPr="003C5DE8" w:rsidRDefault="00DA1E1C" w:rsidP="003C5DE8">
      <w:pPr>
        <w:ind w:left="567" w:hanging="567"/>
        <w:rPr>
          <w:rFonts w:ascii="Arial Narrow" w:hAnsi="Arial Narrow"/>
          <w:color w:val="000000" w:themeColor="text1"/>
          <w:sz w:val="26"/>
          <w:szCs w:val="26"/>
          <w:lang w:val="es-CO"/>
        </w:rPr>
      </w:pPr>
    </w:p>
    <w:p w14:paraId="1559551B" w14:textId="77777777" w:rsidR="00DA1E1C" w:rsidRPr="003C5DE8" w:rsidRDefault="00DA1E1C" w:rsidP="003C5DE8">
      <w:pPr>
        <w:pStyle w:val="Prrafodelista"/>
        <w:widowControl/>
        <w:numPr>
          <w:ilvl w:val="0"/>
          <w:numId w:val="9"/>
        </w:numPr>
        <w:pBdr>
          <w:bottom w:val="single" w:sz="4" w:space="0" w:color="auto"/>
        </w:pBdr>
        <w:shd w:val="clear" w:color="auto" w:fill="E5DFEC" w:themeFill="accent4" w:themeFillTint="33"/>
        <w:autoSpaceDE/>
        <w:autoSpaceDN/>
        <w:ind w:left="567" w:hanging="567"/>
        <w:jc w:val="both"/>
        <w:rPr>
          <w:rFonts w:ascii="Arial Narrow" w:hAnsi="Arial Narrow"/>
          <w:b/>
          <w:bCs/>
          <w:color w:val="000000" w:themeColor="text1"/>
          <w:sz w:val="26"/>
          <w:szCs w:val="26"/>
          <w:lang w:val="es-CO"/>
        </w:rPr>
      </w:pPr>
      <w:r w:rsidRPr="003C5DE8">
        <w:rPr>
          <w:rFonts w:ascii="Arial Narrow" w:hAnsi="Arial Narrow"/>
          <w:b/>
          <w:bCs/>
          <w:color w:val="000000" w:themeColor="text1"/>
          <w:sz w:val="26"/>
          <w:szCs w:val="26"/>
          <w:lang w:val="es-CO"/>
        </w:rPr>
        <w:t xml:space="preserve">Modificaciones. </w:t>
      </w:r>
    </w:p>
    <w:p w14:paraId="1F22B890" w14:textId="2E268754" w:rsidR="00DA1E1C" w:rsidRPr="003C5DE8" w:rsidRDefault="00DA1E1C" w:rsidP="003C5DE8">
      <w:pPr>
        <w:pStyle w:val="Prrafodelista"/>
        <w:widowControl/>
        <w:numPr>
          <w:ilvl w:val="0"/>
          <w:numId w:val="11"/>
        </w:numPr>
        <w:tabs>
          <w:tab w:val="num" w:pos="360"/>
          <w:tab w:val="num" w:pos="720"/>
        </w:tabs>
        <w:autoSpaceDE/>
        <w:autoSpaceDN/>
        <w:ind w:left="567" w:hanging="567"/>
        <w:jc w:val="both"/>
        <w:rPr>
          <w:rFonts w:ascii="Arial Narrow" w:hAnsi="Arial Narrow"/>
          <w:color w:val="000000" w:themeColor="text1"/>
          <w:sz w:val="26"/>
          <w:szCs w:val="26"/>
          <w:lang w:val="es-CO"/>
        </w:rPr>
      </w:pPr>
      <w:r w:rsidRPr="003C5DE8">
        <w:rPr>
          <w:rFonts w:ascii="Arial Narrow" w:hAnsi="Arial Narrow"/>
          <w:b/>
          <w:bCs/>
          <w:color w:val="000000" w:themeColor="text1"/>
          <w:sz w:val="26"/>
          <w:szCs w:val="26"/>
          <w:lang w:val="es-CO"/>
        </w:rPr>
        <w:t>Tipo Modificación y # de modificaciones:</w:t>
      </w:r>
      <w:r w:rsidRPr="003C5DE8">
        <w:rPr>
          <w:rFonts w:ascii="Arial Narrow" w:hAnsi="Arial Narrow"/>
          <w:color w:val="000000" w:themeColor="text1"/>
          <w:sz w:val="26"/>
          <w:szCs w:val="26"/>
          <w:lang w:val="es-CO"/>
        </w:rPr>
        <w:t xml:space="preserve"> Las reestructuraciones se consideran incumplimiento y por tanto se deteriora inicialmente al deudor y entre mayor sea el número de reestructuraciones mayor es el riesgo además de ser considerada una práctica poco recomendable. </w:t>
      </w:r>
      <w:r w:rsidR="00A05265" w:rsidRPr="003C5DE8">
        <w:rPr>
          <w:rFonts w:ascii="Arial Narrow" w:hAnsi="Arial Narrow"/>
          <w:color w:val="000000" w:themeColor="text1"/>
          <w:sz w:val="26"/>
          <w:szCs w:val="26"/>
          <w:lang w:val="es-CO"/>
        </w:rPr>
        <w:t>Siguen en riesgo las otras modificaciones y luego las novaciones siendo de menor riesgo los que no han sufrido ninguna modificación y aquellos cuyo número de modificaciones es mayor, aumenta el riesgo.</w:t>
      </w:r>
    </w:p>
    <w:p w14:paraId="120F384B" w14:textId="77777777" w:rsidR="00DA1E1C" w:rsidRPr="003C5DE8" w:rsidRDefault="00DA1E1C" w:rsidP="003C5DE8">
      <w:pPr>
        <w:tabs>
          <w:tab w:val="num" w:pos="360"/>
        </w:tabs>
        <w:ind w:left="567" w:hanging="567"/>
        <w:rPr>
          <w:rFonts w:ascii="Arial Narrow" w:hAnsi="Arial Narrow"/>
          <w:color w:val="000000" w:themeColor="text1"/>
          <w:sz w:val="26"/>
          <w:szCs w:val="26"/>
          <w:lang w:val="es-CO"/>
        </w:rPr>
      </w:pPr>
    </w:p>
    <w:p w14:paraId="6CEF4FC3" w14:textId="77777777" w:rsidR="00DA1E1C" w:rsidRPr="003C5DE8" w:rsidRDefault="00DA1E1C" w:rsidP="003C5DE8">
      <w:pPr>
        <w:pStyle w:val="Prrafodelista"/>
        <w:widowControl/>
        <w:numPr>
          <w:ilvl w:val="0"/>
          <w:numId w:val="9"/>
        </w:numPr>
        <w:pBdr>
          <w:bottom w:val="single" w:sz="4" w:space="1" w:color="auto"/>
        </w:pBdr>
        <w:shd w:val="clear" w:color="auto" w:fill="E5DFEC" w:themeFill="accent4" w:themeFillTint="33"/>
        <w:autoSpaceDE/>
        <w:autoSpaceDN/>
        <w:ind w:left="567" w:hanging="567"/>
        <w:jc w:val="both"/>
        <w:rPr>
          <w:rFonts w:ascii="Arial Narrow" w:hAnsi="Arial Narrow"/>
          <w:b/>
          <w:bCs/>
          <w:color w:val="000000" w:themeColor="text1"/>
          <w:sz w:val="26"/>
          <w:szCs w:val="26"/>
          <w:lang w:val="es-CO"/>
        </w:rPr>
      </w:pPr>
      <w:r w:rsidRPr="003C5DE8">
        <w:rPr>
          <w:rFonts w:ascii="Arial Narrow" w:hAnsi="Arial Narrow"/>
          <w:b/>
          <w:bCs/>
          <w:color w:val="000000" w:themeColor="text1"/>
          <w:sz w:val="26"/>
          <w:szCs w:val="26"/>
          <w:lang w:val="es-CO"/>
        </w:rPr>
        <w:t>Consulta proveniente de centrales de riesgo</w:t>
      </w:r>
    </w:p>
    <w:p w14:paraId="19B7CAB1" w14:textId="77777777" w:rsidR="00E21472" w:rsidRPr="003C5DE8" w:rsidRDefault="00E21472" w:rsidP="003C5DE8">
      <w:pPr>
        <w:pStyle w:val="Prrafodelista"/>
        <w:widowControl/>
        <w:numPr>
          <w:ilvl w:val="0"/>
          <w:numId w:val="8"/>
        </w:numPr>
        <w:autoSpaceDE/>
        <w:autoSpaceDN/>
        <w:ind w:left="567" w:hanging="567"/>
        <w:jc w:val="both"/>
        <w:rPr>
          <w:rFonts w:ascii="Arial Narrow" w:hAnsi="Arial Narrow"/>
          <w:color w:val="000000" w:themeColor="text1"/>
          <w:sz w:val="26"/>
          <w:szCs w:val="26"/>
          <w:lang w:val="es-CO"/>
        </w:rPr>
      </w:pPr>
      <w:r w:rsidRPr="003C5DE8">
        <w:rPr>
          <w:rFonts w:ascii="Arial Narrow" w:hAnsi="Arial Narrow"/>
          <w:b/>
          <w:color w:val="000000" w:themeColor="text1"/>
          <w:sz w:val="26"/>
          <w:szCs w:val="26"/>
          <w:lang w:val="es-CO"/>
        </w:rPr>
        <w:t>Peor calificación Externa</w:t>
      </w:r>
      <w:r w:rsidRPr="003C5DE8">
        <w:rPr>
          <w:rFonts w:ascii="Arial Narrow" w:hAnsi="Arial Narrow"/>
          <w:bCs/>
          <w:color w:val="000000" w:themeColor="text1"/>
          <w:sz w:val="26"/>
          <w:szCs w:val="26"/>
          <w:lang w:val="es-CO"/>
        </w:rPr>
        <w:t>: refleja el verdadero hábito de pago con otras entidades, especialmente de aquellos que cuentan con descuento de libranza activo y que ante el cambio de empresa patronal presentaría mayores dificultades de recaudo, es decir, mayores probabilidades de incumplimiento.</w:t>
      </w:r>
    </w:p>
    <w:p w14:paraId="5546ED88" w14:textId="09F1F23B" w:rsidR="00E21472" w:rsidRPr="003C5DE8" w:rsidRDefault="00E21472" w:rsidP="003C5DE8">
      <w:pPr>
        <w:pStyle w:val="Prrafodelista"/>
        <w:widowControl/>
        <w:numPr>
          <w:ilvl w:val="0"/>
          <w:numId w:val="8"/>
        </w:numPr>
        <w:autoSpaceDE/>
        <w:autoSpaceDN/>
        <w:ind w:left="567" w:hanging="567"/>
        <w:jc w:val="both"/>
        <w:rPr>
          <w:rFonts w:ascii="Arial Narrow" w:hAnsi="Arial Narrow"/>
          <w:color w:val="000000" w:themeColor="text1"/>
          <w:sz w:val="26"/>
          <w:szCs w:val="26"/>
          <w:lang w:val="es-CO"/>
        </w:rPr>
      </w:pPr>
      <w:r w:rsidRPr="003C5DE8">
        <w:rPr>
          <w:rFonts w:ascii="Arial Narrow" w:hAnsi="Arial Narrow"/>
          <w:b/>
          <w:color w:val="000000" w:themeColor="text1"/>
          <w:sz w:val="26"/>
          <w:szCs w:val="26"/>
          <w:lang w:val="es-CO"/>
        </w:rPr>
        <w:t>Calificación ácida Transunion</w:t>
      </w:r>
      <w:r w:rsidRPr="003C5DE8">
        <w:rPr>
          <w:rFonts w:ascii="Arial Narrow" w:hAnsi="Arial Narrow"/>
          <w:bCs/>
          <w:color w:val="000000" w:themeColor="text1"/>
          <w:sz w:val="26"/>
          <w:szCs w:val="26"/>
          <w:lang w:val="es-CO"/>
        </w:rPr>
        <w:t>: Es la calificación que recomienda Transunion asignar al deudor.</w:t>
      </w:r>
    </w:p>
    <w:p w14:paraId="33D3E6B9" w14:textId="77777777" w:rsidR="00DA1E1C" w:rsidRPr="003C5DE8" w:rsidRDefault="00DA1E1C" w:rsidP="003C5DE8">
      <w:pPr>
        <w:pStyle w:val="Prrafodelista"/>
        <w:widowControl/>
        <w:numPr>
          <w:ilvl w:val="0"/>
          <w:numId w:val="8"/>
        </w:numPr>
        <w:autoSpaceDE/>
        <w:autoSpaceDN/>
        <w:ind w:left="567" w:hanging="567"/>
        <w:jc w:val="both"/>
        <w:rPr>
          <w:rFonts w:ascii="Arial Narrow" w:hAnsi="Arial Narrow"/>
          <w:color w:val="000000" w:themeColor="text1"/>
          <w:sz w:val="26"/>
          <w:szCs w:val="26"/>
          <w:lang w:val="es-CO"/>
        </w:rPr>
      </w:pPr>
      <w:r w:rsidRPr="003C5DE8">
        <w:rPr>
          <w:rFonts w:ascii="Arial Narrow" w:hAnsi="Arial Narrow"/>
          <w:b/>
          <w:color w:val="000000" w:themeColor="text1"/>
          <w:sz w:val="26"/>
          <w:szCs w:val="26"/>
          <w:lang w:val="es-CO"/>
        </w:rPr>
        <w:t>Cartera Externa Calificada en &gt;=C (Default)/ Ingresos estimados</w:t>
      </w:r>
      <w:r w:rsidRPr="003C5DE8">
        <w:rPr>
          <w:rFonts w:ascii="Arial Narrow" w:hAnsi="Arial Narrow"/>
          <w:bCs/>
          <w:color w:val="000000" w:themeColor="text1"/>
          <w:sz w:val="26"/>
          <w:szCs w:val="26"/>
          <w:lang w:val="es-CO"/>
        </w:rPr>
        <w:t>: entre mayor es el valor de cartera incumplida con otras entidades en función del ingreso del deudor mayores las probabilidades de un embargo o de una insolvencia.</w:t>
      </w:r>
    </w:p>
    <w:p w14:paraId="6021E8F7" w14:textId="77777777" w:rsidR="00DA1E1C" w:rsidRPr="003C5DE8" w:rsidRDefault="00DA1E1C" w:rsidP="003C5DE8">
      <w:pPr>
        <w:pStyle w:val="Prrafodelista"/>
        <w:ind w:left="567" w:hanging="567"/>
        <w:rPr>
          <w:rFonts w:ascii="Arial Narrow" w:hAnsi="Arial Narrow"/>
          <w:color w:val="000000" w:themeColor="text1"/>
          <w:sz w:val="26"/>
          <w:szCs w:val="26"/>
          <w:lang w:val="es-CO"/>
        </w:rPr>
      </w:pPr>
    </w:p>
    <w:p w14:paraId="0FF334DC" w14:textId="77777777" w:rsidR="00DA1E1C" w:rsidRPr="003C5DE8" w:rsidRDefault="00DA1E1C" w:rsidP="003C5DE8">
      <w:pPr>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Para entender el SCORING cada variable asigna un puntaje de 0 a 5. Entre más alto es el puntaje el riesgo es MAYOR. El puntaje asignado corresponde al inicio de la escala hasta el siguiente rango. Por ejemplo: Si la antigüedad como asociado es de 0 a 2 años el puntaje es 5, &gt;= 2 a 4 años es de 4, &gt;=4 a 6 años es de 3 y así sucesivamente y aquellos que llevan más de 10 años el puntaje de riesgo es el más bajo con CERO. </w:t>
      </w:r>
    </w:p>
    <w:p w14:paraId="003F8955" w14:textId="77777777" w:rsidR="00DA1E1C" w:rsidRPr="003C5DE8" w:rsidRDefault="00DA1E1C" w:rsidP="003C5DE8">
      <w:pPr>
        <w:ind w:left="567" w:hanging="567"/>
        <w:rPr>
          <w:rFonts w:ascii="Arial Narrow" w:hAnsi="Arial Narrow"/>
          <w:color w:val="000000" w:themeColor="text1"/>
          <w:sz w:val="26"/>
          <w:szCs w:val="26"/>
          <w:lang w:val="es-CO"/>
        </w:rPr>
      </w:pPr>
    </w:p>
    <w:tbl>
      <w:tblPr>
        <w:tblW w:w="6780" w:type="dxa"/>
        <w:tblCellMar>
          <w:left w:w="70" w:type="dxa"/>
          <w:right w:w="70" w:type="dxa"/>
        </w:tblCellMar>
        <w:tblLook w:val="04A0" w:firstRow="1" w:lastRow="0" w:firstColumn="1" w:lastColumn="0" w:noHBand="0" w:noVBand="1"/>
      </w:tblPr>
      <w:tblGrid>
        <w:gridCol w:w="640"/>
        <w:gridCol w:w="286"/>
        <w:gridCol w:w="519"/>
        <w:gridCol w:w="232"/>
        <w:gridCol w:w="427"/>
        <w:gridCol w:w="232"/>
        <w:gridCol w:w="624"/>
        <w:gridCol w:w="232"/>
        <w:gridCol w:w="644"/>
        <w:gridCol w:w="232"/>
        <w:gridCol w:w="289"/>
        <w:gridCol w:w="289"/>
        <w:gridCol w:w="550"/>
        <w:gridCol w:w="550"/>
        <w:gridCol w:w="636"/>
        <w:gridCol w:w="345"/>
        <w:gridCol w:w="718"/>
        <w:gridCol w:w="390"/>
        <w:gridCol w:w="232"/>
        <w:gridCol w:w="232"/>
        <w:gridCol w:w="427"/>
        <w:gridCol w:w="232"/>
        <w:gridCol w:w="232"/>
        <w:gridCol w:w="232"/>
      </w:tblGrid>
      <w:tr w:rsidR="00C95FDD" w:rsidRPr="003C5DE8" w14:paraId="0AB20790" w14:textId="77777777" w:rsidTr="00176A15">
        <w:trPr>
          <w:trHeight w:val="113"/>
        </w:trPr>
        <w:tc>
          <w:tcPr>
            <w:tcW w:w="660"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68BC68E3" w14:textId="77777777" w:rsidR="00176A15" w:rsidRPr="003C5DE8" w:rsidRDefault="00176A15" w:rsidP="003C5DE8">
            <w:pPr>
              <w:widowControl/>
              <w:autoSpaceDE/>
              <w:autoSpaceDN/>
              <w:ind w:left="567" w:hanging="567"/>
              <w:jc w:val="center"/>
              <w:rPr>
                <w:rFonts w:ascii="Arial Narrow" w:eastAsia="Times New Roman" w:hAnsi="Arial Narrow" w:cs="Calibri"/>
                <w:b/>
                <w:bCs/>
                <w:color w:val="000000" w:themeColor="text1"/>
                <w:sz w:val="20"/>
                <w:szCs w:val="20"/>
                <w:lang w:val="es-CO" w:eastAsia="es-CO"/>
              </w:rPr>
            </w:pPr>
            <w:r w:rsidRPr="003C5DE8">
              <w:rPr>
                <w:rFonts w:ascii="Arial Narrow" w:eastAsia="Times New Roman" w:hAnsi="Arial Narrow" w:cs="Calibri"/>
                <w:b/>
                <w:bCs/>
                <w:color w:val="000000" w:themeColor="text1"/>
                <w:sz w:val="20"/>
                <w:szCs w:val="20"/>
                <w:lang w:val="es-CO" w:eastAsia="es-CO"/>
              </w:rPr>
              <w:t xml:space="preserve">Mora </w:t>
            </w:r>
            <w:proofErr w:type="spellStart"/>
            <w:r w:rsidRPr="003C5DE8">
              <w:rPr>
                <w:rFonts w:ascii="Arial Narrow" w:eastAsia="Times New Roman" w:hAnsi="Arial Narrow" w:cs="Calibri"/>
                <w:b/>
                <w:bCs/>
                <w:color w:val="000000" w:themeColor="text1"/>
                <w:sz w:val="20"/>
                <w:szCs w:val="20"/>
                <w:lang w:val="es-CO" w:eastAsia="es-CO"/>
              </w:rPr>
              <w:t>Ap</w:t>
            </w:r>
            <w:proofErr w:type="spellEnd"/>
          </w:p>
        </w:tc>
        <w:tc>
          <w:tcPr>
            <w:tcW w:w="660"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1F10AABA" w14:textId="77777777" w:rsidR="00176A15" w:rsidRPr="003C5DE8" w:rsidRDefault="00176A15" w:rsidP="003C5DE8">
            <w:pPr>
              <w:widowControl/>
              <w:autoSpaceDE/>
              <w:autoSpaceDN/>
              <w:ind w:left="567" w:hanging="567"/>
              <w:jc w:val="center"/>
              <w:rPr>
                <w:rFonts w:ascii="Arial Narrow" w:eastAsia="Times New Roman" w:hAnsi="Arial Narrow" w:cs="Calibri"/>
                <w:b/>
                <w:bCs/>
                <w:color w:val="000000" w:themeColor="text1"/>
                <w:sz w:val="20"/>
                <w:szCs w:val="20"/>
                <w:lang w:val="es-CO" w:eastAsia="es-CO"/>
              </w:rPr>
            </w:pPr>
            <w:r w:rsidRPr="003C5DE8">
              <w:rPr>
                <w:rFonts w:ascii="Arial Narrow" w:eastAsia="Times New Roman" w:hAnsi="Arial Narrow" w:cs="Calibri"/>
                <w:b/>
                <w:bCs/>
                <w:color w:val="000000" w:themeColor="text1"/>
                <w:sz w:val="20"/>
                <w:szCs w:val="20"/>
                <w:lang w:val="es-CO" w:eastAsia="es-CO"/>
              </w:rPr>
              <w:t>Mora</w:t>
            </w:r>
          </w:p>
        </w:tc>
        <w:tc>
          <w:tcPr>
            <w:tcW w:w="580"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5D726860" w14:textId="77777777" w:rsidR="00176A15" w:rsidRPr="003C5DE8" w:rsidRDefault="00176A15" w:rsidP="003C5DE8">
            <w:pPr>
              <w:widowControl/>
              <w:autoSpaceDE/>
              <w:autoSpaceDN/>
              <w:ind w:left="567" w:hanging="567"/>
              <w:jc w:val="center"/>
              <w:rPr>
                <w:rFonts w:ascii="Arial Narrow" w:eastAsia="Times New Roman" w:hAnsi="Arial Narrow" w:cs="Calibri"/>
                <w:b/>
                <w:bCs/>
                <w:color w:val="000000" w:themeColor="text1"/>
                <w:sz w:val="20"/>
                <w:szCs w:val="20"/>
                <w:lang w:val="es-CO" w:eastAsia="es-CO"/>
              </w:rPr>
            </w:pPr>
            <w:r w:rsidRPr="003C5DE8">
              <w:rPr>
                <w:rFonts w:ascii="Arial Narrow" w:eastAsia="Times New Roman" w:hAnsi="Arial Narrow" w:cs="Calibri"/>
                <w:b/>
                <w:bCs/>
                <w:color w:val="000000" w:themeColor="text1"/>
                <w:sz w:val="20"/>
                <w:szCs w:val="20"/>
                <w:lang w:val="es-CO" w:eastAsia="es-CO"/>
              </w:rPr>
              <w:t>CAL</w:t>
            </w:r>
          </w:p>
        </w:tc>
        <w:tc>
          <w:tcPr>
            <w:tcW w:w="760"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091B1DAB" w14:textId="77777777" w:rsidR="00176A15" w:rsidRPr="003C5DE8" w:rsidRDefault="00176A15" w:rsidP="003C5DE8">
            <w:pPr>
              <w:widowControl/>
              <w:autoSpaceDE/>
              <w:autoSpaceDN/>
              <w:ind w:left="567" w:hanging="567"/>
              <w:jc w:val="center"/>
              <w:rPr>
                <w:rFonts w:ascii="Arial Narrow" w:eastAsia="Times New Roman" w:hAnsi="Arial Narrow" w:cs="Calibri"/>
                <w:b/>
                <w:bCs/>
                <w:color w:val="000000" w:themeColor="text1"/>
                <w:sz w:val="20"/>
                <w:szCs w:val="20"/>
                <w:lang w:val="es-CO" w:eastAsia="es-CO"/>
              </w:rPr>
            </w:pPr>
            <w:r w:rsidRPr="003C5DE8">
              <w:rPr>
                <w:rFonts w:ascii="Arial Narrow" w:eastAsia="Times New Roman" w:hAnsi="Arial Narrow" w:cs="Calibri"/>
                <w:b/>
                <w:bCs/>
                <w:color w:val="000000" w:themeColor="text1"/>
                <w:sz w:val="20"/>
                <w:szCs w:val="20"/>
                <w:lang w:val="es-CO" w:eastAsia="es-CO"/>
              </w:rPr>
              <w:t>GARA</w:t>
            </w:r>
          </w:p>
        </w:tc>
        <w:tc>
          <w:tcPr>
            <w:tcW w:w="780"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704DE716" w14:textId="77777777" w:rsidR="00176A15" w:rsidRPr="003C5DE8" w:rsidRDefault="00176A15" w:rsidP="003C5DE8">
            <w:pPr>
              <w:widowControl/>
              <w:autoSpaceDE/>
              <w:autoSpaceDN/>
              <w:ind w:left="567" w:hanging="567"/>
              <w:jc w:val="center"/>
              <w:rPr>
                <w:rFonts w:ascii="Arial Narrow" w:eastAsia="Times New Roman" w:hAnsi="Arial Narrow" w:cs="Calibri"/>
                <w:b/>
                <w:bCs/>
                <w:color w:val="000000" w:themeColor="text1"/>
                <w:sz w:val="20"/>
                <w:szCs w:val="20"/>
                <w:lang w:val="es-CO" w:eastAsia="es-CO"/>
              </w:rPr>
            </w:pPr>
            <w:r w:rsidRPr="003C5DE8">
              <w:rPr>
                <w:rFonts w:ascii="Arial Narrow" w:eastAsia="Times New Roman" w:hAnsi="Arial Narrow" w:cs="Calibri"/>
                <w:b/>
                <w:bCs/>
                <w:color w:val="000000" w:themeColor="text1"/>
                <w:sz w:val="20"/>
                <w:szCs w:val="20"/>
                <w:lang w:val="es-CO" w:eastAsia="es-CO"/>
              </w:rPr>
              <w:t>REC</w:t>
            </w:r>
          </w:p>
        </w:tc>
        <w:tc>
          <w:tcPr>
            <w:tcW w:w="400"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77A71925" w14:textId="77777777" w:rsidR="00176A15" w:rsidRPr="003C5DE8" w:rsidRDefault="00176A15" w:rsidP="003C5DE8">
            <w:pPr>
              <w:widowControl/>
              <w:autoSpaceDE/>
              <w:autoSpaceDN/>
              <w:ind w:left="567" w:hanging="567"/>
              <w:jc w:val="center"/>
              <w:rPr>
                <w:rFonts w:ascii="Arial Narrow" w:eastAsia="Times New Roman" w:hAnsi="Arial Narrow" w:cs="Calibri"/>
                <w:b/>
                <w:bCs/>
                <w:color w:val="000000" w:themeColor="text1"/>
                <w:sz w:val="20"/>
                <w:szCs w:val="20"/>
                <w:lang w:val="es-CO" w:eastAsia="es-CO"/>
              </w:rPr>
            </w:pPr>
            <w:proofErr w:type="spellStart"/>
            <w:r w:rsidRPr="003C5DE8">
              <w:rPr>
                <w:rFonts w:ascii="Arial Narrow" w:eastAsia="Times New Roman" w:hAnsi="Arial Narrow" w:cs="Calibri"/>
                <w:b/>
                <w:bCs/>
                <w:color w:val="000000" w:themeColor="text1"/>
                <w:sz w:val="20"/>
                <w:szCs w:val="20"/>
                <w:lang w:val="es-CO" w:eastAsia="es-CO"/>
              </w:rPr>
              <w:t>Modif</w:t>
            </w:r>
            <w:proofErr w:type="spellEnd"/>
          </w:p>
        </w:tc>
        <w:tc>
          <w:tcPr>
            <w:tcW w:w="400"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607C9ED8" w14:textId="77777777" w:rsidR="00176A15" w:rsidRPr="003C5DE8" w:rsidRDefault="00176A15" w:rsidP="003C5DE8">
            <w:pPr>
              <w:widowControl/>
              <w:autoSpaceDE/>
              <w:autoSpaceDN/>
              <w:ind w:left="567" w:hanging="567"/>
              <w:jc w:val="center"/>
              <w:rPr>
                <w:rFonts w:ascii="Arial Narrow" w:eastAsia="Times New Roman" w:hAnsi="Arial Narrow" w:cs="Calibri"/>
                <w:b/>
                <w:bCs/>
                <w:color w:val="000000" w:themeColor="text1"/>
                <w:sz w:val="20"/>
                <w:szCs w:val="20"/>
                <w:lang w:val="es-CO" w:eastAsia="es-CO"/>
              </w:rPr>
            </w:pPr>
            <w:r w:rsidRPr="003C5DE8">
              <w:rPr>
                <w:rFonts w:ascii="Arial Narrow" w:eastAsia="Times New Roman" w:hAnsi="Arial Narrow" w:cs="Calibri"/>
                <w:b/>
                <w:bCs/>
                <w:color w:val="000000" w:themeColor="text1"/>
                <w:sz w:val="20"/>
                <w:szCs w:val="20"/>
                <w:lang w:val="es-CO" w:eastAsia="es-CO"/>
              </w:rPr>
              <w:t xml:space="preserve"># </w:t>
            </w:r>
            <w:proofErr w:type="spellStart"/>
            <w:r w:rsidRPr="003C5DE8">
              <w:rPr>
                <w:rFonts w:ascii="Arial Narrow" w:eastAsia="Times New Roman" w:hAnsi="Arial Narrow" w:cs="Calibri"/>
                <w:b/>
                <w:bCs/>
                <w:color w:val="000000" w:themeColor="text1"/>
                <w:sz w:val="20"/>
                <w:szCs w:val="20"/>
                <w:lang w:val="es-CO" w:eastAsia="es-CO"/>
              </w:rPr>
              <w:t>modi</w:t>
            </w:r>
            <w:proofErr w:type="spellEnd"/>
          </w:p>
        </w:tc>
        <w:tc>
          <w:tcPr>
            <w:tcW w:w="580"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27E6AECB" w14:textId="77777777" w:rsidR="00176A15" w:rsidRPr="003C5DE8" w:rsidRDefault="00176A15" w:rsidP="003C5DE8">
            <w:pPr>
              <w:widowControl/>
              <w:autoSpaceDE/>
              <w:autoSpaceDN/>
              <w:ind w:left="567" w:hanging="567"/>
              <w:jc w:val="center"/>
              <w:rPr>
                <w:rFonts w:ascii="Arial Narrow" w:eastAsia="Times New Roman" w:hAnsi="Arial Narrow" w:cs="Calibri"/>
                <w:b/>
                <w:bCs/>
                <w:color w:val="000000" w:themeColor="text1"/>
                <w:sz w:val="20"/>
                <w:szCs w:val="20"/>
                <w:lang w:val="es-CO" w:eastAsia="es-CO"/>
              </w:rPr>
            </w:pPr>
            <w:r w:rsidRPr="003C5DE8">
              <w:rPr>
                <w:rFonts w:ascii="Arial Narrow" w:eastAsia="Times New Roman" w:hAnsi="Arial Narrow" w:cs="Calibri"/>
                <w:b/>
                <w:bCs/>
                <w:color w:val="000000" w:themeColor="text1"/>
                <w:sz w:val="20"/>
                <w:szCs w:val="20"/>
                <w:lang w:val="es-CO" w:eastAsia="es-CO"/>
              </w:rPr>
              <w:t xml:space="preserve"> </w:t>
            </w:r>
            <w:proofErr w:type="spellStart"/>
            <w:r w:rsidRPr="003C5DE8">
              <w:rPr>
                <w:rFonts w:ascii="Arial Narrow" w:eastAsia="Times New Roman" w:hAnsi="Arial Narrow" w:cs="Calibri"/>
                <w:b/>
                <w:bCs/>
                <w:color w:val="000000" w:themeColor="text1"/>
                <w:sz w:val="20"/>
                <w:szCs w:val="20"/>
                <w:lang w:val="es-CO" w:eastAsia="es-CO"/>
              </w:rPr>
              <w:t>Ant</w:t>
            </w:r>
            <w:proofErr w:type="spellEnd"/>
            <w:r w:rsidRPr="003C5DE8">
              <w:rPr>
                <w:rFonts w:ascii="Arial Narrow" w:eastAsia="Times New Roman" w:hAnsi="Arial Narrow" w:cs="Calibri"/>
                <w:b/>
                <w:bCs/>
                <w:color w:val="000000" w:themeColor="text1"/>
                <w:sz w:val="20"/>
                <w:szCs w:val="20"/>
                <w:lang w:val="es-CO" w:eastAsia="es-CO"/>
              </w:rPr>
              <w:t xml:space="preserve"> </w:t>
            </w:r>
          </w:p>
        </w:tc>
        <w:tc>
          <w:tcPr>
            <w:tcW w:w="580"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57CC71EB" w14:textId="77777777" w:rsidR="00176A15" w:rsidRPr="003C5DE8" w:rsidRDefault="00176A15" w:rsidP="003C5DE8">
            <w:pPr>
              <w:widowControl/>
              <w:autoSpaceDE/>
              <w:autoSpaceDN/>
              <w:ind w:left="567" w:hanging="567"/>
              <w:jc w:val="center"/>
              <w:rPr>
                <w:rFonts w:ascii="Arial Narrow" w:eastAsia="Times New Roman" w:hAnsi="Arial Narrow" w:cs="Calibri"/>
                <w:b/>
                <w:bCs/>
                <w:color w:val="000000" w:themeColor="text1"/>
                <w:sz w:val="20"/>
                <w:szCs w:val="20"/>
                <w:lang w:val="es-CO" w:eastAsia="es-CO"/>
              </w:rPr>
            </w:pPr>
            <w:r w:rsidRPr="003C5DE8">
              <w:rPr>
                <w:rFonts w:ascii="Arial Narrow" w:eastAsia="Times New Roman" w:hAnsi="Arial Narrow" w:cs="Calibri"/>
                <w:b/>
                <w:bCs/>
                <w:color w:val="000000" w:themeColor="text1"/>
                <w:sz w:val="20"/>
                <w:szCs w:val="20"/>
                <w:lang w:val="es-CO" w:eastAsia="es-CO"/>
              </w:rPr>
              <w:t xml:space="preserve"> Edad </w:t>
            </w:r>
          </w:p>
        </w:tc>
        <w:tc>
          <w:tcPr>
            <w:tcW w:w="400"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593B2BD9" w14:textId="77777777" w:rsidR="00176A15" w:rsidRPr="003C5DE8" w:rsidRDefault="00176A15" w:rsidP="003C5DE8">
            <w:pPr>
              <w:widowControl/>
              <w:autoSpaceDE/>
              <w:autoSpaceDN/>
              <w:ind w:left="567" w:hanging="567"/>
              <w:jc w:val="center"/>
              <w:rPr>
                <w:rFonts w:ascii="Arial Narrow" w:eastAsia="Times New Roman" w:hAnsi="Arial Narrow" w:cs="Calibri"/>
                <w:b/>
                <w:bCs/>
                <w:color w:val="000000" w:themeColor="text1"/>
                <w:sz w:val="20"/>
                <w:szCs w:val="20"/>
                <w:lang w:val="es-CO" w:eastAsia="es-CO"/>
              </w:rPr>
            </w:pPr>
            <w:r w:rsidRPr="003C5DE8">
              <w:rPr>
                <w:rFonts w:ascii="Arial Narrow" w:eastAsia="Times New Roman" w:hAnsi="Arial Narrow" w:cs="Calibri"/>
                <w:b/>
                <w:bCs/>
                <w:color w:val="000000" w:themeColor="text1"/>
                <w:sz w:val="20"/>
                <w:szCs w:val="20"/>
                <w:lang w:val="es-CO" w:eastAsia="es-CO"/>
              </w:rPr>
              <w:t xml:space="preserve">Gen </w:t>
            </w:r>
          </w:p>
        </w:tc>
        <w:tc>
          <w:tcPr>
            <w:tcW w:w="580"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4E0DF7C0" w14:textId="77777777" w:rsidR="00176A15" w:rsidRPr="003C5DE8" w:rsidRDefault="00176A15" w:rsidP="003C5DE8">
            <w:pPr>
              <w:widowControl/>
              <w:autoSpaceDE/>
              <w:autoSpaceDN/>
              <w:ind w:left="567" w:hanging="567"/>
              <w:jc w:val="center"/>
              <w:rPr>
                <w:rFonts w:ascii="Arial Narrow" w:eastAsia="Times New Roman" w:hAnsi="Arial Narrow" w:cs="Calibri"/>
                <w:b/>
                <w:bCs/>
                <w:color w:val="000000" w:themeColor="text1"/>
                <w:sz w:val="20"/>
                <w:szCs w:val="20"/>
                <w:lang w:val="es-CO" w:eastAsia="es-CO"/>
              </w:rPr>
            </w:pPr>
            <w:proofErr w:type="spellStart"/>
            <w:r w:rsidRPr="003C5DE8">
              <w:rPr>
                <w:rFonts w:ascii="Arial Narrow" w:eastAsia="Times New Roman" w:hAnsi="Arial Narrow" w:cs="Calibri"/>
                <w:b/>
                <w:bCs/>
                <w:color w:val="000000" w:themeColor="text1"/>
                <w:sz w:val="20"/>
                <w:szCs w:val="20"/>
                <w:lang w:val="es-CO" w:eastAsia="es-CO"/>
              </w:rPr>
              <w:t>Esc</w:t>
            </w:r>
            <w:proofErr w:type="spellEnd"/>
          </w:p>
        </w:tc>
        <w:tc>
          <w:tcPr>
            <w:tcW w:w="400"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08E66B60" w14:textId="77777777" w:rsidR="00176A15" w:rsidRPr="003C5DE8" w:rsidRDefault="00176A15" w:rsidP="003C5DE8">
            <w:pPr>
              <w:widowControl/>
              <w:autoSpaceDE/>
              <w:autoSpaceDN/>
              <w:ind w:left="567" w:hanging="567"/>
              <w:jc w:val="center"/>
              <w:rPr>
                <w:rFonts w:ascii="Arial Narrow" w:eastAsia="Times New Roman" w:hAnsi="Arial Narrow" w:cs="Calibri"/>
                <w:b/>
                <w:bCs/>
                <w:color w:val="000000" w:themeColor="text1"/>
                <w:sz w:val="20"/>
                <w:szCs w:val="20"/>
                <w:lang w:val="es-CO" w:eastAsia="es-CO"/>
              </w:rPr>
            </w:pPr>
            <w:proofErr w:type="spellStart"/>
            <w:r w:rsidRPr="003C5DE8">
              <w:rPr>
                <w:rFonts w:ascii="Arial Narrow" w:eastAsia="Times New Roman" w:hAnsi="Arial Narrow" w:cs="Calibri"/>
                <w:b/>
                <w:bCs/>
                <w:color w:val="000000" w:themeColor="text1"/>
                <w:sz w:val="20"/>
                <w:szCs w:val="20"/>
                <w:lang w:val="es-CO" w:eastAsia="es-CO"/>
              </w:rPr>
              <w:t>Estr</w:t>
            </w:r>
            <w:proofErr w:type="spellEnd"/>
          </w:p>
        </w:tc>
      </w:tr>
      <w:tr w:rsidR="00C95FDD" w:rsidRPr="003C5DE8" w14:paraId="7C5E1FB6" w14:textId="77777777" w:rsidTr="00176A15">
        <w:trPr>
          <w:trHeight w:val="113"/>
        </w:trPr>
        <w:tc>
          <w:tcPr>
            <w:tcW w:w="519" w:type="dxa"/>
            <w:tcBorders>
              <w:top w:val="nil"/>
              <w:left w:val="single" w:sz="4" w:space="0" w:color="auto"/>
              <w:bottom w:val="single" w:sz="4" w:space="0" w:color="auto"/>
              <w:right w:val="single" w:sz="4" w:space="0" w:color="auto"/>
            </w:tcBorders>
            <w:shd w:val="clear" w:color="auto" w:fill="auto"/>
            <w:noWrap/>
            <w:vAlign w:val="bottom"/>
            <w:hideMark/>
          </w:tcPr>
          <w:p w14:paraId="6AD8CFF0"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0</w:t>
            </w:r>
          </w:p>
        </w:tc>
        <w:tc>
          <w:tcPr>
            <w:tcW w:w="141" w:type="dxa"/>
            <w:tcBorders>
              <w:top w:val="nil"/>
              <w:left w:val="nil"/>
              <w:bottom w:val="single" w:sz="4" w:space="0" w:color="auto"/>
              <w:right w:val="single" w:sz="4" w:space="0" w:color="auto"/>
            </w:tcBorders>
            <w:shd w:val="clear" w:color="auto" w:fill="auto"/>
            <w:noWrap/>
            <w:vAlign w:val="bottom"/>
            <w:hideMark/>
          </w:tcPr>
          <w:p w14:paraId="1AAE25F9"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0</w:t>
            </w:r>
          </w:p>
        </w:tc>
        <w:tc>
          <w:tcPr>
            <w:tcW w:w="519" w:type="dxa"/>
            <w:tcBorders>
              <w:top w:val="nil"/>
              <w:left w:val="nil"/>
              <w:bottom w:val="single" w:sz="4" w:space="0" w:color="auto"/>
              <w:right w:val="single" w:sz="4" w:space="0" w:color="auto"/>
            </w:tcBorders>
            <w:shd w:val="clear" w:color="000000" w:fill="FCE4D6"/>
            <w:noWrap/>
            <w:vAlign w:val="bottom"/>
            <w:hideMark/>
          </w:tcPr>
          <w:p w14:paraId="25F377A2"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0</w:t>
            </w:r>
          </w:p>
        </w:tc>
        <w:tc>
          <w:tcPr>
            <w:tcW w:w="141" w:type="dxa"/>
            <w:tcBorders>
              <w:top w:val="nil"/>
              <w:left w:val="nil"/>
              <w:bottom w:val="single" w:sz="4" w:space="0" w:color="auto"/>
              <w:right w:val="single" w:sz="4" w:space="0" w:color="auto"/>
            </w:tcBorders>
            <w:shd w:val="clear" w:color="000000" w:fill="FCE4D6"/>
            <w:noWrap/>
            <w:vAlign w:val="bottom"/>
            <w:hideMark/>
          </w:tcPr>
          <w:p w14:paraId="084141D8"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0</w:t>
            </w:r>
          </w:p>
        </w:tc>
        <w:tc>
          <w:tcPr>
            <w:tcW w:w="427" w:type="dxa"/>
            <w:tcBorders>
              <w:top w:val="nil"/>
              <w:left w:val="nil"/>
              <w:bottom w:val="single" w:sz="4" w:space="0" w:color="auto"/>
              <w:right w:val="single" w:sz="4" w:space="0" w:color="auto"/>
            </w:tcBorders>
            <w:shd w:val="clear" w:color="auto" w:fill="auto"/>
            <w:noWrap/>
            <w:vAlign w:val="bottom"/>
            <w:hideMark/>
          </w:tcPr>
          <w:p w14:paraId="4A87B397"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A</w:t>
            </w:r>
          </w:p>
        </w:tc>
        <w:tc>
          <w:tcPr>
            <w:tcW w:w="153" w:type="dxa"/>
            <w:tcBorders>
              <w:top w:val="nil"/>
              <w:left w:val="nil"/>
              <w:bottom w:val="single" w:sz="4" w:space="0" w:color="auto"/>
              <w:right w:val="single" w:sz="4" w:space="0" w:color="auto"/>
            </w:tcBorders>
            <w:shd w:val="clear" w:color="auto" w:fill="auto"/>
            <w:noWrap/>
            <w:vAlign w:val="bottom"/>
            <w:hideMark/>
          </w:tcPr>
          <w:p w14:paraId="53018391"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0</w:t>
            </w:r>
          </w:p>
        </w:tc>
        <w:tc>
          <w:tcPr>
            <w:tcW w:w="624" w:type="dxa"/>
            <w:tcBorders>
              <w:top w:val="nil"/>
              <w:left w:val="nil"/>
              <w:bottom w:val="single" w:sz="4" w:space="0" w:color="auto"/>
              <w:right w:val="single" w:sz="4" w:space="0" w:color="auto"/>
            </w:tcBorders>
            <w:shd w:val="clear" w:color="000000" w:fill="FCE4D6"/>
            <w:noWrap/>
            <w:vAlign w:val="bottom"/>
            <w:hideMark/>
          </w:tcPr>
          <w:p w14:paraId="7C213819"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OTRA</w:t>
            </w:r>
          </w:p>
        </w:tc>
        <w:tc>
          <w:tcPr>
            <w:tcW w:w="136" w:type="dxa"/>
            <w:tcBorders>
              <w:top w:val="nil"/>
              <w:left w:val="nil"/>
              <w:bottom w:val="single" w:sz="4" w:space="0" w:color="auto"/>
              <w:right w:val="single" w:sz="4" w:space="0" w:color="auto"/>
            </w:tcBorders>
            <w:shd w:val="clear" w:color="000000" w:fill="FCE4D6"/>
            <w:noWrap/>
            <w:vAlign w:val="bottom"/>
            <w:hideMark/>
          </w:tcPr>
          <w:p w14:paraId="217222E7"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w:t>
            </w:r>
          </w:p>
        </w:tc>
        <w:tc>
          <w:tcPr>
            <w:tcW w:w="644" w:type="dxa"/>
            <w:tcBorders>
              <w:top w:val="nil"/>
              <w:left w:val="nil"/>
              <w:bottom w:val="single" w:sz="4" w:space="0" w:color="auto"/>
              <w:right w:val="single" w:sz="4" w:space="0" w:color="auto"/>
            </w:tcBorders>
            <w:shd w:val="clear" w:color="auto" w:fill="auto"/>
            <w:noWrap/>
            <w:vAlign w:val="bottom"/>
            <w:hideMark/>
          </w:tcPr>
          <w:p w14:paraId="32B1A94C"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LBZ</w:t>
            </w:r>
          </w:p>
        </w:tc>
        <w:tc>
          <w:tcPr>
            <w:tcW w:w="136" w:type="dxa"/>
            <w:tcBorders>
              <w:top w:val="nil"/>
              <w:left w:val="nil"/>
              <w:bottom w:val="single" w:sz="4" w:space="0" w:color="auto"/>
              <w:right w:val="single" w:sz="4" w:space="0" w:color="auto"/>
            </w:tcBorders>
            <w:shd w:val="clear" w:color="auto" w:fill="auto"/>
            <w:noWrap/>
            <w:vAlign w:val="bottom"/>
            <w:hideMark/>
          </w:tcPr>
          <w:p w14:paraId="64B896FC"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0</w:t>
            </w:r>
          </w:p>
        </w:tc>
        <w:tc>
          <w:tcPr>
            <w:tcW w:w="200" w:type="dxa"/>
            <w:tcBorders>
              <w:top w:val="nil"/>
              <w:left w:val="nil"/>
              <w:bottom w:val="single" w:sz="4" w:space="0" w:color="auto"/>
              <w:right w:val="single" w:sz="4" w:space="0" w:color="auto"/>
            </w:tcBorders>
            <w:shd w:val="clear" w:color="000000" w:fill="FCE4D6"/>
            <w:noWrap/>
            <w:vAlign w:val="bottom"/>
            <w:hideMark/>
          </w:tcPr>
          <w:p w14:paraId="18851B3D"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2</w:t>
            </w:r>
          </w:p>
        </w:tc>
        <w:tc>
          <w:tcPr>
            <w:tcW w:w="200" w:type="dxa"/>
            <w:tcBorders>
              <w:top w:val="nil"/>
              <w:left w:val="nil"/>
              <w:bottom w:val="single" w:sz="4" w:space="0" w:color="auto"/>
              <w:right w:val="single" w:sz="4" w:space="0" w:color="auto"/>
            </w:tcBorders>
            <w:shd w:val="clear" w:color="000000" w:fill="FCE4D6"/>
            <w:noWrap/>
            <w:vAlign w:val="bottom"/>
            <w:hideMark/>
          </w:tcPr>
          <w:p w14:paraId="4572B6E5"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w:t>
            </w:r>
          </w:p>
        </w:tc>
        <w:tc>
          <w:tcPr>
            <w:tcW w:w="200" w:type="dxa"/>
            <w:tcBorders>
              <w:top w:val="nil"/>
              <w:left w:val="nil"/>
              <w:bottom w:val="single" w:sz="4" w:space="0" w:color="auto"/>
              <w:right w:val="single" w:sz="4" w:space="0" w:color="auto"/>
            </w:tcBorders>
            <w:shd w:val="clear" w:color="auto" w:fill="auto"/>
            <w:noWrap/>
            <w:vAlign w:val="bottom"/>
            <w:hideMark/>
          </w:tcPr>
          <w:p w14:paraId="5CDF50D2"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0</w:t>
            </w:r>
          </w:p>
        </w:tc>
        <w:tc>
          <w:tcPr>
            <w:tcW w:w="200" w:type="dxa"/>
            <w:tcBorders>
              <w:top w:val="nil"/>
              <w:left w:val="nil"/>
              <w:bottom w:val="single" w:sz="4" w:space="0" w:color="auto"/>
              <w:right w:val="single" w:sz="4" w:space="0" w:color="auto"/>
            </w:tcBorders>
            <w:shd w:val="clear" w:color="auto" w:fill="auto"/>
            <w:noWrap/>
            <w:vAlign w:val="bottom"/>
            <w:hideMark/>
          </w:tcPr>
          <w:p w14:paraId="7E2C7C20"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0</w:t>
            </w:r>
          </w:p>
        </w:tc>
        <w:tc>
          <w:tcPr>
            <w:tcW w:w="427" w:type="dxa"/>
            <w:tcBorders>
              <w:top w:val="nil"/>
              <w:left w:val="nil"/>
              <w:bottom w:val="single" w:sz="4" w:space="0" w:color="auto"/>
              <w:right w:val="single" w:sz="4" w:space="0" w:color="auto"/>
            </w:tcBorders>
            <w:shd w:val="clear" w:color="000000" w:fill="FCE4D6"/>
            <w:noWrap/>
            <w:vAlign w:val="bottom"/>
            <w:hideMark/>
          </w:tcPr>
          <w:p w14:paraId="0BA2D0CA"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0</w:t>
            </w:r>
          </w:p>
        </w:tc>
        <w:tc>
          <w:tcPr>
            <w:tcW w:w="153" w:type="dxa"/>
            <w:tcBorders>
              <w:top w:val="nil"/>
              <w:left w:val="nil"/>
              <w:bottom w:val="single" w:sz="4" w:space="0" w:color="auto"/>
              <w:right w:val="single" w:sz="4" w:space="0" w:color="auto"/>
            </w:tcBorders>
            <w:shd w:val="clear" w:color="000000" w:fill="FCE4D6"/>
            <w:noWrap/>
            <w:vAlign w:val="bottom"/>
            <w:hideMark/>
          </w:tcPr>
          <w:p w14:paraId="00307DEC"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w:t>
            </w:r>
          </w:p>
        </w:tc>
        <w:tc>
          <w:tcPr>
            <w:tcW w:w="427" w:type="dxa"/>
            <w:tcBorders>
              <w:top w:val="nil"/>
              <w:left w:val="nil"/>
              <w:bottom w:val="single" w:sz="4" w:space="0" w:color="auto"/>
              <w:right w:val="single" w:sz="4" w:space="0" w:color="auto"/>
            </w:tcBorders>
            <w:shd w:val="clear" w:color="auto" w:fill="auto"/>
            <w:noWrap/>
            <w:vAlign w:val="bottom"/>
            <w:hideMark/>
          </w:tcPr>
          <w:p w14:paraId="5F5B8479"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0</w:t>
            </w:r>
          </w:p>
        </w:tc>
        <w:tc>
          <w:tcPr>
            <w:tcW w:w="153" w:type="dxa"/>
            <w:tcBorders>
              <w:top w:val="nil"/>
              <w:left w:val="nil"/>
              <w:bottom w:val="single" w:sz="4" w:space="0" w:color="auto"/>
              <w:right w:val="single" w:sz="4" w:space="0" w:color="auto"/>
            </w:tcBorders>
            <w:shd w:val="clear" w:color="auto" w:fill="auto"/>
            <w:noWrap/>
            <w:vAlign w:val="bottom"/>
            <w:hideMark/>
          </w:tcPr>
          <w:p w14:paraId="54F60992"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w:t>
            </w:r>
          </w:p>
        </w:tc>
        <w:tc>
          <w:tcPr>
            <w:tcW w:w="200" w:type="dxa"/>
            <w:tcBorders>
              <w:top w:val="nil"/>
              <w:left w:val="nil"/>
              <w:bottom w:val="single" w:sz="4" w:space="0" w:color="auto"/>
              <w:right w:val="single" w:sz="4" w:space="0" w:color="auto"/>
            </w:tcBorders>
            <w:shd w:val="clear" w:color="000000" w:fill="FCE4D6"/>
            <w:noWrap/>
            <w:vAlign w:val="bottom"/>
            <w:hideMark/>
          </w:tcPr>
          <w:p w14:paraId="7DDA18AD"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1</w:t>
            </w:r>
          </w:p>
        </w:tc>
        <w:tc>
          <w:tcPr>
            <w:tcW w:w="200" w:type="dxa"/>
            <w:tcBorders>
              <w:top w:val="nil"/>
              <w:left w:val="nil"/>
              <w:bottom w:val="single" w:sz="4" w:space="0" w:color="auto"/>
              <w:right w:val="single" w:sz="4" w:space="0" w:color="auto"/>
            </w:tcBorders>
            <w:shd w:val="clear" w:color="000000" w:fill="FCE4D6"/>
            <w:noWrap/>
            <w:vAlign w:val="bottom"/>
            <w:hideMark/>
          </w:tcPr>
          <w:p w14:paraId="32F1A19B"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w:t>
            </w:r>
          </w:p>
        </w:tc>
        <w:tc>
          <w:tcPr>
            <w:tcW w:w="427" w:type="dxa"/>
            <w:tcBorders>
              <w:top w:val="nil"/>
              <w:left w:val="nil"/>
              <w:bottom w:val="single" w:sz="4" w:space="0" w:color="auto"/>
              <w:right w:val="single" w:sz="4" w:space="0" w:color="auto"/>
            </w:tcBorders>
            <w:shd w:val="clear" w:color="auto" w:fill="auto"/>
            <w:noWrap/>
            <w:vAlign w:val="bottom"/>
            <w:hideMark/>
          </w:tcPr>
          <w:p w14:paraId="7AD17B6A"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0</w:t>
            </w:r>
          </w:p>
        </w:tc>
        <w:tc>
          <w:tcPr>
            <w:tcW w:w="153" w:type="dxa"/>
            <w:tcBorders>
              <w:top w:val="nil"/>
              <w:left w:val="nil"/>
              <w:bottom w:val="single" w:sz="4" w:space="0" w:color="auto"/>
              <w:right w:val="single" w:sz="4" w:space="0" w:color="auto"/>
            </w:tcBorders>
            <w:shd w:val="clear" w:color="auto" w:fill="auto"/>
            <w:noWrap/>
            <w:vAlign w:val="bottom"/>
            <w:hideMark/>
          </w:tcPr>
          <w:p w14:paraId="517895FB"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w:t>
            </w:r>
          </w:p>
        </w:tc>
        <w:tc>
          <w:tcPr>
            <w:tcW w:w="200" w:type="dxa"/>
            <w:tcBorders>
              <w:top w:val="nil"/>
              <w:left w:val="nil"/>
              <w:bottom w:val="single" w:sz="4" w:space="0" w:color="auto"/>
              <w:right w:val="single" w:sz="4" w:space="0" w:color="auto"/>
            </w:tcBorders>
            <w:shd w:val="clear" w:color="000000" w:fill="FCE4D6"/>
            <w:noWrap/>
            <w:vAlign w:val="bottom"/>
            <w:hideMark/>
          </w:tcPr>
          <w:p w14:paraId="1A1E9D6C"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1</w:t>
            </w:r>
          </w:p>
        </w:tc>
        <w:tc>
          <w:tcPr>
            <w:tcW w:w="200" w:type="dxa"/>
            <w:tcBorders>
              <w:top w:val="nil"/>
              <w:left w:val="nil"/>
              <w:bottom w:val="single" w:sz="4" w:space="0" w:color="auto"/>
              <w:right w:val="single" w:sz="4" w:space="0" w:color="auto"/>
            </w:tcBorders>
            <w:shd w:val="clear" w:color="000000" w:fill="FCE4D6"/>
            <w:noWrap/>
            <w:vAlign w:val="bottom"/>
            <w:hideMark/>
          </w:tcPr>
          <w:p w14:paraId="2389E68B"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w:t>
            </w:r>
          </w:p>
        </w:tc>
      </w:tr>
      <w:tr w:rsidR="00C95FDD" w:rsidRPr="003C5DE8" w14:paraId="7676B930" w14:textId="77777777" w:rsidTr="00176A15">
        <w:trPr>
          <w:trHeight w:val="113"/>
        </w:trPr>
        <w:tc>
          <w:tcPr>
            <w:tcW w:w="519" w:type="dxa"/>
            <w:tcBorders>
              <w:top w:val="nil"/>
              <w:left w:val="single" w:sz="4" w:space="0" w:color="auto"/>
              <w:bottom w:val="single" w:sz="4" w:space="0" w:color="auto"/>
              <w:right w:val="single" w:sz="4" w:space="0" w:color="auto"/>
            </w:tcBorders>
            <w:shd w:val="clear" w:color="auto" w:fill="auto"/>
            <w:noWrap/>
            <w:vAlign w:val="bottom"/>
            <w:hideMark/>
          </w:tcPr>
          <w:p w14:paraId="41F37251"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30</w:t>
            </w:r>
          </w:p>
        </w:tc>
        <w:tc>
          <w:tcPr>
            <w:tcW w:w="141" w:type="dxa"/>
            <w:tcBorders>
              <w:top w:val="nil"/>
              <w:left w:val="nil"/>
              <w:bottom w:val="single" w:sz="4" w:space="0" w:color="auto"/>
              <w:right w:val="single" w:sz="4" w:space="0" w:color="auto"/>
            </w:tcBorders>
            <w:shd w:val="clear" w:color="auto" w:fill="auto"/>
            <w:noWrap/>
            <w:vAlign w:val="bottom"/>
            <w:hideMark/>
          </w:tcPr>
          <w:p w14:paraId="3375682A"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1</w:t>
            </w:r>
          </w:p>
        </w:tc>
        <w:tc>
          <w:tcPr>
            <w:tcW w:w="519" w:type="dxa"/>
            <w:tcBorders>
              <w:top w:val="nil"/>
              <w:left w:val="nil"/>
              <w:bottom w:val="single" w:sz="4" w:space="0" w:color="auto"/>
              <w:right w:val="single" w:sz="4" w:space="0" w:color="auto"/>
            </w:tcBorders>
            <w:shd w:val="clear" w:color="000000" w:fill="FCE4D6"/>
            <w:noWrap/>
            <w:vAlign w:val="bottom"/>
            <w:hideMark/>
          </w:tcPr>
          <w:p w14:paraId="3A29EBD3"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30</w:t>
            </w:r>
          </w:p>
        </w:tc>
        <w:tc>
          <w:tcPr>
            <w:tcW w:w="141" w:type="dxa"/>
            <w:tcBorders>
              <w:top w:val="nil"/>
              <w:left w:val="nil"/>
              <w:bottom w:val="single" w:sz="4" w:space="0" w:color="auto"/>
              <w:right w:val="single" w:sz="4" w:space="0" w:color="auto"/>
            </w:tcBorders>
            <w:shd w:val="clear" w:color="000000" w:fill="FCE4D6"/>
            <w:noWrap/>
            <w:vAlign w:val="bottom"/>
            <w:hideMark/>
          </w:tcPr>
          <w:p w14:paraId="7548CBF3"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1</w:t>
            </w:r>
          </w:p>
        </w:tc>
        <w:tc>
          <w:tcPr>
            <w:tcW w:w="427" w:type="dxa"/>
            <w:tcBorders>
              <w:top w:val="nil"/>
              <w:left w:val="nil"/>
              <w:bottom w:val="single" w:sz="4" w:space="0" w:color="auto"/>
              <w:right w:val="single" w:sz="4" w:space="0" w:color="auto"/>
            </w:tcBorders>
            <w:shd w:val="clear" w:color="auto" w:fill="auto"/>
            <w:noWrap/>
            <w:vAlign w:val="bottom"/>
            <w:hideMark/>
          </w:tcPr>
          <w:p w14:paraId="04C5225E"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B</w:t>
            </w:r>
          </w:p>
        </w:tc>
        <w:tc>
          <w:tcPr>
            <w:tcW w:w="153" w:type="dxa"/>
            <w:tcBorders>
              <w:top w:val="nil"/>
              <w:left w:val="nil"/>
              <w:bottom w:val="single" w:sz="4" w:space="0" w:color="auto"/>
              <w:right w:val="single" w:sz="4" w:space="0" w:color="auto"/>
            </w:tcBorders>
            <w:shd w:val="clear" w:color="auto" w:fill="auto"/>
            <w:noWrap/>
            <w:vAlign w:val="bottom"/>
            <w:hideMark/>
          </w:tcPr>
          <w:p w14:paraId="19C411A5"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3</w:t>
            </w:r>
          </w:p>
        </w:tc>
        <w:tc>
          <w:tcPr>
            <w:tcW w:w="624" w:type="dxa"/>
            <w:tcBorders>
              <w:top w:val="nil"/>
              <w:left w:val="nil"/>
              <w:bottom w:val="single" w:sz="4" w:space="0" w:color="auto"/>
              <w:right w:val="single" w:sz="4" w:space="0" w:color="auto"/>
            </w:tcBorders>
            <w:shd w:val="clear" w:color="000000" w:fill="FCE4D6"/>
            <w:noWrap/>
            <w:vAlign w:val="bottom"/>
            <w:hideMark/>
          </w:tcPr>
          <w:p w14:paraId="11E5A1D7"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ADM</w:t>
            </w:r>
          </w:p>
        </w:tc>
        <w:tc>
          <w:tcPr>
            <w:tcW w:w="136" w:type="dxa"/>
            <w:tcBorders>
              <w:top w:val="nil"/>
              <w:left w:val="nil"/>
              <w:bottom w:val="single" w:sz="4" w:space="0" w:color="auto"/>
              <w:right w:val="single" w:sz="4" w:space="0" w:color="auto"/>
            </w:tcBorders>
            <w:shd w:val="clear" w:color="000000" w:fill="FCE4D6"/>
            <w:noWrap/>
            <w:vAlign w:val="bottom"/>
            <w:hideMark/>
          </w:tcPr>
          <w:p w14:paraId="317E5FBE"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0</w:t>
            </w:r>
          </w:p>
        </w:tc>
        <w:tc>
          <w:tcPr>
            <w:tcW w:w="644" w:type="dxa"/>
            <w:tcBorders>
              <w:top w:val="nil"/>
              <w:left w:val="nil"/>
              <w:bottom w:val="single" w:sz="4" w:space="0" w:color="auto"/>
              <w:right w:val="single" w:sz="4" w:space="0" w:color="auto"/>
            </w:tcBorders>
            <w:shd w:val="clear" w:color="auto" w:fill="auto"/>
            <w:noWrap/>
            <w:vAlign w:val="bottom"/>
            <w:hideMark/>
          </w:tcPr>
          <w:p w14:paraId="582BBD0F"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OTRO</w:t>
            </w:r>
          </w:p>
        </w:tc>
        <w:tc>
          <w:tcPr>
            <w:tcW w:w="136" w:type="dxa"/>
            <w:tcBorders>
              <w:top w:val="nil"/>
              <w:left w:val="nil"/>
              <w:bottom w:val="single" w:sz="4" w:space="0" w:color="auto"/>
              <w:right w:val="single" w:sz="4" w:space="0" w:color="auto"/>
            </w:tcBorders>
            <w:shd w:val="clear" w:color="auto" w:fill="auto"/>
            <w:noWrap/>
            <w:vAlign w:val="bottom"/>
            <w:hideMark/>
          </w:tcPr>
          <w:p w14:paraId="2100DBC4"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w:t>
            </w:r>
          </w:p>
        </w:tc>
        <w:tc>
          <w:tcPr>
            <w:tcW w:w="200" w:type="dxa"/>
            <w:tcBorders>
              <w:top w:val="nil"/>
              <w:left w:val="nil"/>
              <w:bottom w:val="single" w:sz="4" w:space="0" w:color="auto"/>
              <w:right w:val="single" w:sz="4" w:space="0" w:color="auto"/>
            </w:tcBorders>
            <w:shd w:val="clear" w:color="000000" w:fill="FCE4D6"/>
            <w:noWrap/>
            <w:vAlign w:val="bottom"/>
            <w:hideMark/>
          </w:tcPr>
          <w:p w14:paraId="38FBB696"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3</w:t>
            </w:r>
          </w:p>
        </w:tc>
        <w:tc>
          <w:tcPr>
            <w:tcW w:w="200" w:type="dxa"/>
            <w:tcBorders>
              <w:top w:val="nil"/>
              <w:left w:val="nil"/>
              <w:bottom w:val="single" w:sz="4" w:space="0" w:color="auto"/>
              <w:right w:val="single" w:sz="4" w:space="0" w:color="auto"/>
            </w:tcBorders>
            <w:shd w:val="clear" w:color="000000" w:fill="FCE4D6"/>
            <w:noWrap/>
            <w:vAlign w:val="bottom"/>
            <w:hideMark/>
          </w:tcPr>
          <w:p w14:paraId="2B985DCD"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1</w:t>
            </w:r>
          </w:p>
        </w:tc>
        <w:tc>
          <w:tcPr>
            <w:tcW w:w="200" w:type="dxa"/>
            <w:tcBorders>
              <w:top w:val="nil"/>
              <w:left w:val="nil"/>
              <w:bottom w:val="single" w:sz="4" w:space="0" w:color="auto"/>
              <w:right w:val="single" w:sz="4" w:space="0" w:color="auto"/>
            </w:tcBorders>
            <w:shd w:val="clear" w:color="auto" w:fill="auto"/>
            <w:noWrap/>
            <w:vAlign w:val="bottom"/>
            <w:hideMark/>
          </w:tcPr>
          <w:p w14:paraId="0F535BFD"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1</w:t>
            </w:r>
          </w:p>
        </w:tc>
        <w:tc>
          <w:tcPr>
            <w:tcW w:w="200" w:type="dxa"/>
            <w:tcBorders>
              <w:top w:val="nil"/>
              <w:left w:val="nil"/>
              <w:bottom w:val="single" w:sz="4" w:space="0" w:color="auto"/>
              <w:right w:val="single" w:sz="4" w:space="0" w:color="auto"/>
            </w:tcBorders>
            <w:shd w:val="clear" w:color="auto" w:fill="auto"/>
            <w:noWrap/>
            <w:vAlign w:val="bottom"/>
            <w:hideMark/>
          </w:tcPr>
          <w:p w14:paraId="0BFCBC93"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3</w:t>
            </w:r>
          </w:p>
        </w:tc>
        <w:tc>
          <w:tcPr>
            <w:tcW w:w="427" w:type="dxa"/>
            <w:tcBorders>
              <w:top w:val="nil"/>
              <w:left w:val="nil"/>
              <w:bottom w:val="single" w:sz="4" w:space="0" w:color="auto"/>
              <w:right w:val="single" w:sz="4" w:space="0" w:color="auto"/>
            </w:tcBorders>
            <w:shd w:val="clear" w:color="000000" w:fill="FCE4D6"/>
            <w:noWrap/>
            <w:vAlign w:val="bottom"/>
            <w:hideMark/>
          </w:tcPr>
          <w:p w14:paraId="79DB07B3"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1</w:t>
            </w:r>
          </w:p>
        </w:tc>
        <w:tc>
          <w:tcPr>
            <w:tcW w:w="153" w:type="dxa"/>
            <w:tcBorders>
              <w:top w:val="nil"/>
              <w:left w:val="nil"/>
              <w:bottom w:val="single" w:sz="4" w:space="0" w:color="auto"/>
              <w:right w:val="single" w:sz="4" w:space="0" w:color="auto"/>
            </w:tcBorders>
            <w:shd w:val="clear" w:color="000000" w:fill="FCE4D6"/>
            <w:noWrap/>
            <w:vAlign w:val="bottom"/>
            <w:hideMark/>
          </w:tcPr>
          <w:p w14:paraId="62C355FC"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4</w:t>
            </w:r>
          </w:p>
        </w:tc>
        <w:tc>
          <w:tcPr>
            <w:tcW w:w="427" w:type="dxa"/>
            <w:tcBorders>
              <w:top w:val="nil"/>
              <w:left w:val="nil"/>
              <w:bottom w:val="single" w:sz="4" w:space="0" w:color="auto"/>
              <w:right w:val="single" w:sz="4" w:space="0" w:color="auto"/>
            </w:tcBorders>
            <w:shd w:val="clear" w:color="auto" w:fill="auto"/>
            <w:noWrap/>
            <w:vAlign w:val="bottom"/>
            <w:hideMark/>
          </w:tcPr>
          <w:p w14:paraId="7AC69D67"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25</w:t>
            </w:r>
          </w:p>
        </w:tc>
        <w:tc>
          <w:tcPr>
            <w:tcW w:w="153" w:type="dxa"/>
            <w:tcBorders>
              <w:top w:val="nil"/>
              <w:left w:val="nil"/>
              <w:bottom w:val="single" w:sz="4" w:space="0" w:color="auto"/>
              <w:right w:val="single" w:sz="4" w:space="0" w:color="auto"/>
            </w:tcBorders>
            <w:shd w:val="clear" w:color="auto" w:fill="auto"/>
            <w:noWrap/>
            <w:vAlign w:val="bottom"/>
            <w:hideMark/>
          </w:tcPr>
          <w:p w14:paraId="30917819"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4</w:t>
            </w:r>
          </w:p>
        </w:tc>
        <w:tc>
          <w:tcPr>
            <w:tcW w:w="200" w:type="dxa"/>
            <w:tcBorders>
              <w:top w:val="nil"/>
              <w:left w:val="nil"/>
              <w:bottom w:val="single" w:sz="4" w:space="0" w:color="auto"/>
              <w:right w:val="single" w:sz="4" w:space="0" w:color="auto"/>
            </w:tcBorders>
            <w:shd w:val="clear" w:color="000000" w:fill="FCE4D6"/>
            <w:noWrap/>
            <w:vAlign w:val="bottom"/>
            <w:hideMark/>
          </w:tcPr>
          <w:p w14:paraId="57B91E56"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2</w:t>
            </w:r>
          </w:p>
        </w:tc>
        <w:tc>
          <w:tcPr>
            <w:tcW w:w="200" w:type="dxa"/>
            <w:tcBorders>
              <w:top w:val="nil"/>
              <w:left w:val="nil"/>
              <w:bottom w:val="single" w:sz="4" w:space="0" w:color="auto"/>
              <w:right w:val="single" w:sz="4" w:space="0" w:color="auto"/>
            </w:tcBorders>
            <w:shd w:val="clear" w:color="000000" w:fill="FCE4D6"/>
            <w:noWrap/>
            <w:vAlign w:val="bottom"/>
            <w:hideMark/>
          </w:tcPr>
          <w:p w14:paraId="73CDBF7A"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0</w:t>
            </w:r>
          </w:p>
        </w:tc>
        <w:tc>
          <w:tcPr>
            <w:tcW w:w="427" w:type="dxa"/>
            <w:tcBorders>
              <w:top w:val="nil"/>
              <w:left w:val="nil"/>
              <w:bottom w:val="single" w:sz="4" w:space="0" w:color="auto"/>
              <w:right w:val="single" w:sz="4" w:space="0" w:color="auto"/>
            </w:tcBorders>
            <w:shd w:val="clear" w:color="auto" w:fill="auto"/>
            <w:noWrap/>
            <w:vAlign w:val="bottom"/>
            <w:hideMark/>
          </w:tcPr>
          <w:p w14:paraId="37379D4A"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1</w:t>
            </w:r>
          </w:p>
        </w:tc>
        <w:tc>
          <w:tcPr>
            <w:tcW w:w="153" w:type="dxa"/>
            <w:tcBorders>
              <w:top w:val="nil"/>
              <w:left w:val="nil"/>
              <w:bottom w:val="single" w:sz="4" w:space="0" w:color="auto"/>
              <w:right w:val="single" w:sz="4" w:space="0" w:color="auto"/>
            </w:tcBorders>
            <w:shd w:val="clear" w:color="auto" w:fill="auto"/>
            <w:noWrap/>
            <w:vAlign w:val="bottom"/>
            <w:hideMark/>
          </w:tcPr>
          <w:p w14:paraId="6B99DDFF"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4</w:t>
            </w:r>
          </w:p>
        </w:tc>
        <w:tc>
          <w:tcPr>
            <w:tcW w:w="200" w:type="dxa"/>
            <w:tcBorders>
              <w:top w:val="nil"/>
              <w:left w:val="nil"/>
              <w:bottom w:val="single" w:sz="4" w:space="0" w:color="auto"/>
              <w:right w:val="single" w:sz="4" w:space="0" w:color="auto"/>
            </w:tcBorders>
            <w:shd w:val="clear" w:color="000000" w:fill="FCE4D6"/>
            <w:noWrap/>
            <w:vAlign w:val="bottom"/>
            <w:hideMark/>
          </w:tcPr>
          <w:p w14:paraId="08E66FBC"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2</w:t>
            </w:r>
          </w:p>
        </w:tc>
        <w:tc>
          <w:tcPr>
            <w:tcW w:w="200" w:type="dxa"/>
            <w:tcBorders>
              <w:top w:val="nil"/>
              <w:left w:val="nil"/>
              <w:bottom w:val="single" w:sz="4" w:space="0" w:color="auto"/>
              <w:right w:val="single" w:sz="4" w:space="0" w:color="auto"/>
            </w:tcBorders>
            <w:shd w:val="clear" w:color="000000" w:fill="FCE4D6"/>
            <w:noWrap/>
            <w:vAlign w:val="bottom"/>
            <w:hideMark/>
          </w:tcPr>
          <w:p w14:paraId="0B592896"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4</w:t>
            </w:r>
          </w:p>
        </w:tc>
      </w:tr>
      <w:tr w:rsidR="00C95FDD" w:rsidRPr="003C5DE8" w14:paraId="6C744297" w14:textId="77777777" w:rsidTr="00176A15">
        <w:trPr>
          <w:trHeight w:val="113"/>
        </w:trPr>
        <w:tc>
          <w:tcPr>
            <w:tcW w:w="519" w:type="dxa"/>
            <w:tcBorders>
              <w:top w:val="nil"/>
              <w:left w:val="single" w:sz="4" w:space="0" w:color="auto"/>
              <w:bottom w:val="single" w:sz="4" w:space="0" w:color="auto"/>
              <w:right w:val="single" w:sz="4" w:space="0" w:color="auto"/>
            </w:tcBorders>
            <w:shd w:val="clear" w:color="auto" w:fill="auto"/>
            <w:noWrap/>
            <w:vAlign w:val="bottom"/>
            <w:hideMark/>
          </w:tcPr>
          <w:p w14:paraId="43AB5734"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60</w:t>
            </w:r>
          </w:p>
        </w:tc>
        <w:tc>
          <w:tcPr>
            <w:tcW w:w="141" w:type="dxa"/>
            <w:tcBorders>
              <w:top w:val="nil"/>
              <w:left w:val="nil"/>
              <w:bottom w:val="single" w:sz="4" w:space="0" w:color="auto"/>
              <w:right w:val="single" w:sz="4" w:space="0" w:color="auto"/>
            </w:tcBorders>
            <w:shd w:val="clear" w:color="auto" w:fill="auto"/>
            <w:noWrap/>
            <w:vAlign w:val="bottom"/>
            <w:hideMark/>
          </w:tcPr>
          <w:p w14:paraId="1F3D4DF8"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2</w:t>
            </w:r>
          </w:p>
        </w:tc>
        <w:tc>
          <w:tcPr>
            <w:tcW w:w="519" w:type="dxa"/>
            <w:tcBorders>
              <w:top w:val="nil"/>
              <w:left w:val="nil"/>
              <w:bottom w:val="single" w:sz="4" w:space="0" w:color="auto"/>
              <w:right w:val="single" w:sz="4" w:space="0" w:color="auto"/>
            </w:tcBorders>
            <w:shd w:val="clear" w:color="000000" w:fill="FCE4D6"/>
            <w:noWrap/>
            <w:vAlign w:val="bottom"/>
            <w:hideMark/>
          </w:tcPr>
          <w:p w14:paraId="0DE4E209"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60</w:t>
            </w:r>
          </w:p>
        </w:tc>
        <w:tc>
          <w:tcPr>
            <w:tcW w:w="141" w:type="dxa"/>
            <w:tcBorders>
              <w:top w:val="nil"/>
              <w:left w:val="nil"/>
              <w:bottom w:val="single" w:sz="4" w:space="0" w:color="auto"/>
              <w:right w:val="single" w:sz="4" w:space="0" w:color="auto"/>
            </w:tcBorders>
            <w:shd w:val="clear" w:color="000000" w:fill="FCE4D6"/>
            <w:noWrap/>
            <w:vAlign w:val="bottom"/>
            <w:hideMark/>
          </w:tcPr>
          <w:p w14:paraId="20C03CED"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2</w:t>
            </w:r>
          </w:p>
        </w:tc>
        <w:tc>
          <w:tcPr>
            <w:tcW w:w="427" w:type="dxa"/>
            <w:tcBorders>
              <w:top w:val="nil"/>
              <w:left w:val="nil"/>
              <w:bottom w:val="single" w:sz="4" w:space="0" w:color="auto"/>
              <w:right w:val="single" w:sz="4" w:space="0" w:color="auto"/>
            </w:tcBorders>
            <w:shd w:val="clear" w:color="auto" w:fill="auto"/>
            <w:noWrap/>
            <w:vAlign w:val="bottom"/>
            <w:hideMark/>
          </w:tcPr>
          <w:p w14:paraId="09EE18C8"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C</w:t>
            </w:r>
          </w:p>
        </w:tc>
        <w:tc>
          <w:tcPr>
            <w:tcW w:w="153" w:type="dxa"/>
            <w:tcBorders>
              <w:top w:val="nil"/>
              <w:left w:val="nil"/>
              <w:bottom w:val="single" w:sz="4" w:space="0" w:color="auto"/>
              <w:right w:val="single" w:sz="4" w:space="0" w:color="auto"/>
            </w:tcBorders>
            <w:shd w:val="clear" w:color="auto" w:fill="auto"/>
            <w:noWrap/>
            <w:vAlign w:val="bottom"/>
            <w:hideMark/>
          </w:tcPr>
          <w:p w14:paraId="0E396B7A"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w:t>
            </w:r>
          </w:p>
        </w:tc>
        <w:tc>
          <w:tcPr>
            <w:tcW w:w="624" w:type="dxa"/>
            <w:tcBorders>
              <w:top w:val="nil"/>
              <w:left w:val="nil"/>
              <w:bottom w:val="single" w:sz="4" w:space="0" w:color="auto"/>
              <w:right w:val="single" w:sz="4" w:space="0" w:color="auto"/>
            </w:tcBorders>
            <w:shd w:val="clear" w:color="000000" w:fill="FCE4D6"/>
            <w:noWrap/>
            <w:vAlign w:val="bottom"/>
            <w:hideMark/>
          </w:tcPr>
          <w:p w14:paraId="4BDCF159"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136" w:type="dxa"/>
            <w:tcBorders>
              <w:top w:val="nil"/>
              <w:left w:val="nil"/>
              <w:bottom w:val="single" w:sz="4" w:space="0" w:color="auto"/>
              <w:right w:val="single" w:sz="4" w:space="0" w:color="auto"/>
            </w:tcBorders>
            <w:shd w:val="clear" w:color="000000" w:fill="FCE4D6"/>
            <w:noWrap/>
            <w:vAlign w:val="bottom"/>
            <w:hideMark/>
          </w:tcPr>
          <w:p w14:paraId="7623CEDA"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644" w:type="dxa"/>
            <w:tcBorders>
              <w:top w:val="nil"/>
              <w:left w:val="nil"/>
              <w:bottom w:val="single" w:sz="4" w:space="0" w:color="auto"/>
              <w:right w:val="single" w:sz="4" w:space="0" w:color="auto"/>
            </w:tcBorders>
            <w:shd w:val="clear" w:color="auto" w:fill="auto"/>
            <w:noWrap/>
            <w:vAlign w:val="bottom"/>
            <w:hideMark/>
          </w:tcPr>
          <w:p w14:paraId="56C37422"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136" w:type="dxa"/>
            <w:tcBorders>
              <w:top w:val="nil"/>
              <w:left w:val="nil"/>
              <w:bottom w:val="single" w:sz="4" w:space="0" w:color="auto"/>
              <w:right w:val="single" w:sz="4" w:space="0" w:color="auto"/>
            </w:tcBorders>
            <w:shd w:val="clear" w:color="auto" w:fill="auto"/>
            <w:noWrap/>
            <w:vAlign w:val="bottom"/>
            <w:hideMark/>
          </w:tcPr>
          <w:p w14:paraId="234B2EC5"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164DFD0E"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4</w:t>
            </w:r>
          </w:p>
        </w:tc>
        <w:tc>
          <w:tcPr>
            <w:tcW w:w="200" w:type="dxa"/>
            <w:tcBorders>
              <w:top w:val="nil"/>
              <w:left w:val="nil"/>
              <w:bottom w:val="single" w:sz="4" w:space="0" w:color="auto"/>
              <w:right w:val="single" w:sz="4" w:space="0" w:color="auto"/>
            </w:tcBorders>
            <w:shd w:val="clear" w:color="000000" w:fill="FCE4D6"/>
            <w:noWrap/>
            <w:vAlign w:val="bottom"/>
            <w:hideMark/>
          </w:tcPr>
          <w:p w14:paraId="48F1D27C"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0</w:t>
            </w:r>
          </w:p>
        </w:tc>
        <w:tc>
          <w:tcPr>
            <w:tcW w:w="200" w:type="dxa"/>
            <w:tcBorders>
              <w:top w:val="nil"/>
              <w:left w:val="nil"/>
              <w:bottom w:val="single" w:sz="4" w:space="0" w:color="auto"/>
              <w:right w:val="single" w:sz="4" w:space="0" w:color="auto"/>
            </w:tcBorders>
            <w:shd w:val="clear" w:color="auto" w:fill="auto"/>
            <w:noWrap/>
            <w:vAlign w:val="bottom"/>
            <w:hideMark/>
          </w:tcPr>
          <w:p w14:paraId="0024B512"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2</w:t>
            </w:r>
          </w:p>
        </w:tc>
        <w:tc>
          <w:tcPr>
            <w:tcW w:w="200" w:type="dxa"/>
            <w:tcBorders>
              <w:top w:val="nil"/>
              <w:left w:val="nil"/>
              <w:bottom w:val="single" w:sz="4" w:space="0" w:color="auto"/>
              <w:right w:val="single" w:sz="4" w:space="0" w:color="auto"/>
            </w:tcBorders>
            <w:shd w:val="clear" w:color="auto" w:fill="auto"/>
            <w:noWrap/>
            <w:vAlign w:val="bottom"/>
            <w:hideMark/>
          </w:tcPr>
          <w:p w14:paraId="1B4314BC"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w:t>
            </w:r>
          </w:p>
        </w:tc>
        <w:tc>
          <w:tcPr>
            <w:tcW w:w="427" w:type="dxa"/>
            <w:tcBorders>
              <w:top w:val="nil"/>
              <w:left w:val="nil"/>
              <w:bottom w:val="single" w:sz="4" w:space="0" w:color="auto"/>
              <w:right w:val="single" w:sz="4" w:space="0" w:color="auto"/>
            </w:tcBorders>
            <w:shd w:val="clear" w:color="000000" w:fill="FCE4D6"/>
            <w:noWrap/>
            <w:vAlign w:val="bottom"/>
            <w:hideMark/>
          </w:tcPr>
          <w:p w14:paraId="777F35AE"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2</w:t>
            </w:r>
          </w:p>
        </w:tc>
        <w:tc>
          <w:tcPr>
            <w:tcW w:w="153" w:type="dxa"/>
            <w:tcBorders>
              <w:top w:val="nil"/>
              <w:left w:val="nil"/>
              <w:bottom w:val="single" w:sz="4" w:space="0" w:color="auto"/>
              <w:right w:val="single" w:sz="4" w:space="0" w:color="auto"/>
            </w:tcBorders>
            <w:shd w:val="clear" w:color="000000" w:fill="FCE4D6"/>
            <w:noWrap/>
            <w:vAlign w:val="bottom"/>
            <w:hideMark/>
          </w:tcPr>
          <w:p w14:paraId="663B4414"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3</w:t>
            </w:r>
          </w:p>
        </w:tc>
        <w:tc>
          <w:tcPr>
            <w:tcW w:w="427" w:type="dxa"/>
            <w:tcBorders>
              <w:top w:val="nil"/>
              <w:left w:val="nil"/>
              <w:bottom w:val="single" w:sz="4" w:space="0" w:color="auto"/>
              <w:right w:val="single" w:sz="4" w:space="0" w:color="auto"/>
            </w:tcBorders>
            <w:shd w:val="clear" w:color="auto" w:fill="auto"/>
            <w:noWrap/>
            <w:vAlign w:val="bottom"/>
            <w:hideMark/>
          </w:tcPr>
          <w:p w14:paraId="0AAF9474"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35</w:t>
            </w:r>
          </w:p>
        </w:tc>
        <w:tc>
          <w:tcPr>
            <w:tcW w:w="153" w:type="dxa"/>
            <w:tcBorders>
              <w:top w:val="nil"/>
              <w:left w:val="nil"/>
              <w:bottom w:val="single" w:sz="4" w:space="0" w:color="auto"/>
              <w:right w:val="single" w:sz="4" w:space="0" w:color="auto"/>
            </w:tcBorders>
            <w:shd w:val="clear" w:color="auto" w:fill="auto"/>
            <w:noWrap/>
            <w:vAlign w:val="bottom"/>
            <w:hideMark/>
          </w:tcPr>
          <w:p w14:paraId="0CDEC9CF"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3</w:t>
            </w:r>
          </w:p>
        </w:tc>
        <w:tc>
          <w:tcPr>
            <w:tcW w:w="200" w:type="dxa"/>
            <w:tcBorders>
              <w:top w:val="nil"/>
              <w:left w:val="nil"/>
              <w:bottom w:val="single" w:sz="4" w:space="0" w:color="auto"/>
              <w:right w:val="single" w:sz="4" w:space="0" w:color="auto"/>
            </w:tcBorders>
            <w:shd w:val="clear" w:color="000000" w:fill="FCE4D6"/>
            <w:noWrap/>
            <w:vAlign w:val="bottom"/>
            <w:hideMark/>
          </w:tcPr>
          <w:p w14:paraId="59F0CF5B"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064FC901"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427" w:type="dxa"/>
            <w:tcBorders>
              <w:top w:val="nil"/>
              <w:left w:val="nil"/>
              <w:bottom w:val="single" w:sz="4" w:space="0" w:color="auto"/>
              <w:right w:val="single" w:sz="4" w:space="0" w:color="auto"/>
            </w:tcBorders>
            <w:shd w:val="clear" w:color="auto" w:fill="auto"/>
            <w:noWrap/>
            <w:vAlign w:val="bottom"/>
            <w:hideMark/>
          </w:tcPr>
          <w:p w14:paraId="3DDED0E7"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2</w:t>
            </w:r>
          </w:p>
        </w:tc>
        <w:tc>
          <w:tcPr>
            <w:tcW w:w="153" w:type="dxa"/>
            <w:tcBorders>
              <w:top w:val="nil"/>
              <w:left w:val="nil"/>
              <w:bottom w:val="single" w:sz="4" w:space="0" w:color="auto"/>
              <w:right w:val="single" w:sz="4" w:space="0" w:color="auto"/>
            </w:tcBorders>
            <w:shd w:val="clear" w:color="auto" w:fill="auto"/>
            <w:noWrap/>
            <w:vAlign w:val="bottom"/>
            <w:hideMark/>
          </w:tcPr>
          <w:p w14:paraId="280107D5"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3</w:t>
            </w:r>
          </w:p>
        </w:tc>
        <w:tc>
          <w:tcPr>
            <w:tcW w:w="200" w:type="dxa"/>
            <w:tcBorders>
              <w:top w:val="nil"/>
              <w:left w:val="nil"/>
              <w:bottom w:val="single" w:sz="4" w:space="0" w:color="auto"/>
              <w:right w:val="single" w:sz="4" w:space="0" w:color="auto"/>
            </w:tcBorders>
            <w:shd w:val="clear" w:color="000000" w:fill="FCE4D6"/>
            <w:noWrap/>
            <w:vAlign w:val="bottom"/>
            <w:hideMark/>
          </w:tcPr>
          <w:p w14:paraId="4A964F05"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3</w:t>
            </w:r>
          </w:p>
        </w:tc>
        <w:tc>
          <w:tcPr>
            <w:tcW w:w="200" w:type="dxa"/>
            <w:tcBorders>
              <w:top w:val="nil"/>
              <w:left w:val="nil"/>
              <w:bottom w:val="single" w:sz="4" w:space="0" w:color="auto"/>
              <w:right w:val="single" w:sz="4" w:space="0" w:color="auto"/>
            </w:tcBorders>
            <w:shd w:val="clear" w:color="000000" w:fill="FCE4D6"/>
            <w:noWrap/>
            <w:vAlign w:val="bottom"/>
            <w:hideMark/>
          </w:tcPr>
          <w:p w14:paraId="03624817"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3</w:t>
            </w:r>
          </w:p>
        </w:tc>
      </w:tr>
      <w:tr w:rsidR="00C95FDD" w:rsidRPr="003C5DE8" w14:paraId="484652CE" w14:textId="77777777" w:rsidTr="00176A15">
        <w:trPr>
          <w:trHeight w:val="113"/>
        </w:trPr>
        <w:tc>
          <w:tcPr>
            <w:tcW w:w="519" w:type="dxa"/>
            <w:tcBorders>
              <w:top w:val="nil"/>
              <w:left w:val="single" w:sz="4" w:space="0" w:color="auto"/>
              <w:bottom w:val="single" w:sz="4" w:space="0" w:color="auto"/>
              <w:right w:val="single" w:sz="4" w:space="0" w:color="auto"/>
            </w:tcBorders>
            <w:shd w:val="clear" w:color="auto" w:fill="auto"/>
            <w:noWrap/>
            <w:vAlign w:val="bottom"/>
            <w:hideMark/>
          </w:tcPr>
          <w:p w14:paraId="432B8973"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90</w:t>
            </w:r>
          </w:p>
        </w:tc>
        <w:tc>
          <w:tcPr>
            <w:tcW w:w="141" w:type="dxa"/>
            <w:tcBorders>
              <w:top w:val="nil"/>
              <w:left w:val="nil"/>
              <w:bottom w:val="single" w:sz="4" w:space="0" w:color="auto"/>
              <w:right w:val="single" w:sz="4" w:space="0" w:color="auto"/>
            </w:tcBorders>
            <w:shd w:val="clear" w:color="auto" w:fill="auto"/>
            <w:noWrap/>
            <w:vAlign w:val="bottom"/>
            <w:hideMark/>
          </w:tcPr>
          <w:p w14:paraId="7844DE82"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3</w:t>
            </w:r>
          </w:p>
        </w:tc>
        <w:tc>
          <w:tcPr>
            <w:tcW w:w="519" w:type="dxa"/>
            <w:tcBorders>
              <w:top w:val="nil"/>
              <w:left w:val="nil"/>
              <w:bottom w:val="single" w:sz="4" w:space="0" w:color="auto"/>
              <w:right w:val="single" w:sz="4" w:space="0" w:color="auto"/>
            </w:tcBorders>
            <w:shd w:val="clear" w:color="000000" w:fill="FCE4D6"/>
            <w:noWrap/>
            <w:vAlign w:val="bottom"/>
            <w:hideMark/>
          </w:tcPr>
          <w:p w14:paraId="05192A59"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90</w:t>
            </w:r>
          </w:p>
        </w:tc>
        <w:tc>
          <w:tcPr>
            <w:tcW w:w="141" w:type="dxa"/>
            <w:tcBorders>
              <w:top w:val="nil"/>
              <w:left w:val="nil"/>
              <w:bottom w:val="single" w:sz="4" w:space="0" w:color="auto"/>
              <w:right w:val="single" w:sz="4" w:space="0" w:color="auto"/>
            </w:tcBorders>
            <w:shd w:val="clear" w:color="000000" w:fill="FCE4D6"/>
            <w:noWrap/>
            <w:vAlign w:val="bottom"/>
            <w:hideMark/>
          </w:tcPr>
          <w:p w14:paraId="317A5B65"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3</w:t>
            </w:r>
          </w:p>
        </w:tc>
        <w:tc>
          <w:tcPr>
            <w:tcW w:w="427" w:type="dxa"/>
            <w:tcBorders>
              <w:top w:val="nil"/>
              <w:left w:val="nil"/>
              <w:bottom w:val="single" w:sz="4" w:space="0" w:color="auto"/>
              <w:right w:val="single" w:sz="4" w:space="0" w:color="auto"/>
            </w:tcBorders>
            <w:shd w:val="clear" w:color="auto" w:fill="auto"/>
            <w:noWrap/>
            <w:vAlign w:val="bottom"/>
            <w:hideMark/>
          </w:tcPr>
          <w:p w14:paraId="3E10FAF9"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D</w:t>
            </w:r>
          </w:p>
        </w:tc>
        <w:tc>
          <w:tcPr>
            <w:tcW w:w="153" w:type="dxa"/>
            <w:tcBorders>
              <w:top w:val="nil"/>
              <w:left w:val="nil"/>
              <w:bottom w:val="single" w:sz="4" w:space="0" w:color="auto"/>
              <w:right w:val="single" w:sz="4" w:space="0" w:color="auto"/>
            </w:tcBorders>
            <w:shd w:val="clear" w:color="auto" w:fill="auto"/>
            <w:noWrap/>
            <w:vAlign w:val="bottom"/>
            <w:hideMark/>
          </w:tcPr>
          <w:p w14:paraId="2C78EEA9"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w:t>
            </w:r>
          </w:p>
        </w:tc>
        <w:tc>
          <w:tcPr>
            <w:tcW w:w="624" w:type="dxa"/>
            <w:tcBorders>
              <w:top w:val="nil"/>
              <w:left w:val="nil"/>
              <w:bottom w:val="single" w:sz="4" w:space="0" w:color="auto"/>
              <w:right w:val="single" w:sz="4" w:space="0" w:color="auto"/>
            </w:tcBorders>
            <w:shd w:val="clear" w:color="000000" w:fill="FCE4D6"/>
            <w:noWrap/>
            <w:vAlign w:val="bottom"/>
            <w:hideMark/>
          </w:tcPr>
          <w:p w14:paraId="366898D2"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136" w:type="dxa"/>
            <w:tcBorders>
              <w:top w:val="nil"/>
              <w:left w:val="nil"/>
              <w:bottom w:val="single" w:sz="4" w:space="0" w:color="auto"/>
              <w:right w:val="single" w:sz="4" w:space="0" w:color="auto"/>
            </w:tcBorders>
            <w:shd w:val="clear" w:color="000000" w:fill="FCE4D6"/>
            <w:noWrap/>
            <w:vAlign w:val="bottom"/>
            <w:hideMark/>
          </w:tcPr>
          <w:p w14:paraId="65BB7871"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644" w:type="dxa"/>
            <w:tcBorders>
              <w:top w:val="nil"/>
              <w:left w:val="nil"/>
              <w:bottom w:val="single" w:sz="4" w:space="0" w:color="auto"/>
              <w:right w:val="single" w:sz="4" w:space="0" w:color="auto"/>
            </w:tcBorders>
            <w:shd w:val="clear" w:color="auto" w:fill="auto"/>
            <w:noWrap/>
            <w:vAlign w:val="bottom"/>
            <w:hideMark/>
          </w:tcPr>
          <w:p w14:paraId="6408842E"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136" w:type="dxa"/>
            <w:tcBorders>
              <w:top w:val="nil"/>
              <w:left w:val="nil"/>
              <w:bottom w:val="single" w:sz="4" w:space="0" w:color="auto"/>
              <w:right w:val="single" w:sz="4" w:space="0" w:color="auto"/>
            </w:tcBorders>
            <w:shd w:val="clear" w:color="auto" w:fill="auto"/>
            <w:noWrap/>
            <w:vAlign w:val="bottom"/>
            <w:hideMark/>
          </w:tcPr>
          <w:p w14:paraId="35C3BF97"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3199C665"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w:t>
            </w:r>
          </w:p>
        </w:tc>
        <w:tc>
          <w:tcPr>
            <w:tcW w:w="200" w:type="dxa"/>
            <w:tcBorders>
              <w:top w:val="nil"/>
              <w:left w:val="nil"/>
              <w:bottom w:val="single" w:sz="4" w:space="0" w:color="auto"/>
              <w:right w:val="single" w:sz="4" w:space="0" w:color="auto"/>
            </w:tcBorders>
            <w:shd w:val="clear" w:color="000000" w:fill="FCE4D6"/>
            <w:noWrap/>
            <w:vAlign w:val="bottom"/>
            <w:hideMark/>
          </w:tcPr>
          <w:p w14:paraId="735CCF8E"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2</w:t>
            </w:r>
          </w:p>
        </w:tc>
        <w:tc>
          <w:tcPr>
            <w:tcW w:w="200" w:type="dxa"/>
            <w:tcBorders>
              <w:top w:val="nil"/>
              <w:left w:val="nil"/>
              <w:bottom w:val="single" w:sz="4" w:space="0" w:color="auto"/>
              <w:right w:val="single" w:sz="4" w:space="0" w:color="auto"/>
            </w:tcBorders>
            <w:shd w:val="clear" w:color="auto" w:fill="auto"/>
            <w:noWrap/>
            <w:vAlign w:val="bottom"/>
            <w:hideMark/>
          </w:tcPr>
          <w:p w14:paraId="4A9363A3"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3</w:t>
            </w:r>
          </w:p>
        </w:tc>
        <w:tc>
          <w:tcPr>
            <w:tcW w:w="200" w:type="dxa"/>
            <w:tcBorders>
              <w:top w:val="nil"/>
              <w:left w:val="nil"/>
              <w:bottom w:val="single" w:sz="4" w:space="0" w:color="auto"/>
              <w:right w:val="single" w:sz="4" w:space="0" w:color="auto"/>
            </w:tcBorders>
            <w:shd w:val="clear" w:color="auto" w:fill="auto"/>
            <w:noWrap/>
            <w:vAlign w:val="bottom"/>
            <w:hideMark/>
          </w:tcPr>
          <w:p w14:paraId="1362312B"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w:t>
            </w:r>
          </w:p>
        </w:tc>
        <w:tc>
          <w:tcPr>
            <w:tcW w:w="427" w:type="dxa"/>
            <w:tcBorders>
              <w:top w:val="nil"/>
              <w:left w:val="nil"/>
              <w:bottom w:val="single" w:sz="4" w:space="0" w:color="auto"/>
              <w:right w:val="single" w:sz="4" w:space="0" w:color="auto"/>
            </w:tcBorders>
            <w:shd w:val="clear" w:color="000000" w:fill="FCE4D6"/>
            <w:noWrap/>
            <w:vAlign w:val="bottom"/>
            <w:hideMark/>
          </w:tcPr>
          <w:p w14:paraId="39050701"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3</w:t>
            </w:r>
          </w:p>
        </w:tc>
        <w:tc>
          <w:tcPr>
            <w:tcW w:w="153" w:type="dxa"/>
            <w:tcBorders>
              <w:top w:val="nil"/>
              <w:left w:val="nil"/>
              <w:bottom w:val="single" w:sz="4" w:space="0" w:color="auto"/>
              <w:right w:val="single" w:sz="4" w:space="0" w:color="auto"/>
            </w:tcBorders>
            <w:shd w:val="clear" w:color="000000" w:fill="FCE4D6"/>
            <w:noWrap/>
            <w:vAlign w:val="bottom"/>
            <w:hideMark/>
          </w:tcPr>
          <w:p w14:paraId="10EA76AD"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2</w:t>
            </w:r>
          </w:p>
        </w:tc>
        <w:tc>
          <w:tcPr>
            <w:tcW w:w="427" w:type="dxa"/>
            <w:tcBorders>
              <w:top w:val="nil"/>
              <w:left w:val="nil"/>
              <w:bottom w:val="single" w:sz="4" w:space="0" w:color="auto"/>
              <w:right w:val="single" w:sz="4" w:space="0" w:color="auto"/>
            </w:tcBorders>
            <w:shd w:val="clear" w:color="auto" w:fill="auto"/>
            <w:noWrap/>
            <w:vAlign w:val="bottom"/>
            <w:hideMark/>
          </w:tcPr>
          <w:p w14:paraId="0DD77F00"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45</w:t>
            </w:r>
          </w:p>
        </w:tc>
        <w:tc>
          <w:tcPr>
            <w:tcW w:w="153" w:type="dxa"/>
            <w:tcBorders>
              <w:top w:val="nil"/>
              <w:left w:val="nil"/>
              <w:bottom w:val="single" w:sz="4" w:space="0" w:color="auto"/>
              <w:right w:val="single" w:sz="4" w:space="0" w:color="auto"/>
            </w:tcBorders>
            <w:shd w:val="clear" w:color="auto" w:fill="auto"/>
            <w:noWrap/>
            <w:vAlign w:val="bottom"/>
            <w:hideMark/>
          </w:tcPr>
          <w:p w14:paraId="1F2FE6AA"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2</w:t>
            </w:r>
          </w:p>
        </w:tc>
        <w:tc>
          <w:tcPr>
            <w:tcW w:w="200" w:type="dxa"/>
            <w:tcBorders>
              <w:top w:val="nil"/>
              <w:left w:val="nil"/>
              <w:bottom w:val="single" w:sz="4" w:space="0" w:color="auto"/>
              <w:right w:val="single" w:sz="4" w:space="0" w:color="auto"/>
            </w:tcBorders>
            <w:shd w:val="clear" w:color="000000" w:fill="FCE4D6"/>
            <w:noWrap/>
            <w:vAlign w:val="bottom"/>
            <w:hideMark/>
          </w:tcPr>
          <w:p w14:paraId="0BB0BC10"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162B5D0D"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427" w:type="dxa"/>
            <w:tcBorders>
              <w:top w:val="nil"/>
              <w:left w:val="nil"/>
              <w:bottom w:val="single" w:sz="4" w:space="0" w:color="auto"/>
              <w:right w:val="single" w:sz="4" w:space="0" w:color="auto"/>
            </w:tcBorders>
            <w:shd w:val="clear" w:color="auto" w:fill="auto"/>
            <w:noWrap/>
            <w:vAlign w:val="bottom"/>
            <w:hideMark/>
          </w:tcPr>
          <w:p w14:paraId="189D67C9"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3</w:t>
            </w:r>
          </w:p>
        </w:tc>
        <w:tc>
          <w:tcPr>
            <w:tcW w:w="153" w:type="dxa"/>
            <w:tcBorders>
              <w:top w:val="nil"/>
              <w:left w:val="nil"/>
              <w:bottom w:val="single" w:sz="4" w:space="0" w:color="auto"/>
              <w:right w:val="single" w:sz="4" w:space="0" w:color="auto"/>
            </w:tcBorders>
            <w:shd w:val="clear" w:color="auto" w:fill="auto"/>
            <w:noWrap/>
            <w:vAlign w:val="bottom"/>
            <w:hideMark/>
          </w:tcPr>
          <w:p w14:paraId="69A33600"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2</w:t>
            </w:r>
          </w:p>
        </w:tc>
        <w:tc>
          <w:tcPr>
            <w:tcW w:w="200" w:type="dxa"/>
            <w:tcBorders>
              <w:top w:val="nil"/>
              <w:left w:val="nil"/>
              <w:bottom w:val="single" w:sz="4" w:space="0" w:color="auto"/>
              <w:right w:val="single" w:sz="4" w:space="0" w:color="auto"/>
            </w:tcBorders>
            <w:shd w:val="clear" w:color="000000" w:fill="FCE4D6"/>
            <w:noWrap/>
            <w:vAlign w:val="bottom"/>
            <w:hideMark/>
          </w:tcPr>
          <w:p w14:paraId="355B8FBE"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4</w:t>
            </w:r>
          </w:p>
        </w:tc>
        <w:tc>
          <w:tcPr>
            <w:tcW w:w="200" w:type="dxa"/>
            <w:tcBorders>
              <w:top w:val="nil"/>
              <w:left w:val="nil"/>
              <w:bottom w:val="single" w:sz="4" w:space="0" w:color="auto"/>
              <w:right w:val="single" w:sz="4" w:space="0" w:color="auto"/>
            </w:tcBorders>
            <w:shd w:val="clear" w:color="000000" w:fill="FCE4D6"/>
            <w:noWrap/>
            <w:vAlign w:val="bottom"/>
            <w:hideMark/>
          </w:tcPr>
          <w:p w14:paraId="14A63B86"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2</w:t>
            </w:r>
          </w:p>
        </w:tc>
      </w:tr>
      <w:tr w:rsidR="00C95FDD" w:rsidRPr="003C5DE8" w14:paraId="30228595" w14:textId="77777777" w:rsidTr="00176A15">
        <w:trPr>
          <w:trHeight w:val="113"/>
        </w:trPr>
        <w:tc>
          <w:tcPr>
            <w:tcW w:w="519" w:type="dxa"/>
            <w:tcBorders>
              <w:top w:val="nil"/>
              <w:left w:val="single" w:sz="4" w:space="0" w:color="auto"/>
              <w:bottom w:val="single" w:sz="4" w:space="0" w:color="auto"/>
              <w:right w:val="single" w:sz="4" w:space="0" w:color="auto"/>
            </w:tcBorders>
            <w:shd w:val="clear" w:color="auto" w:fill="auto"/>
            <w:noWrap/>
            <w:vAlign w:val="bottom"/>
            <w:hideMark/>
          </w:tcPr>
          <w:p w14:paraId="4CE37B7B"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120</w:t>
            </w:r>
          </w:p>
        </w:tc>
        <w:tc>
          <w:tcPr>
            <w:tcW w:w="141" w:type="dxa"/>
            <w:tcBorders>
              <w:top w:val="nil"/>
              <w:left w:val="nil"/>
              <w:bottom w:val="single" w:sz="4" w:space="0" w:color="auto"/>
              <w:right w:val="single" w:sz="4" w:space="0" w:color="auto"/>
            </w:tcBorders>
            <w:shd w:val="clear" w:color="auto" w:fill="auto"/>
            <w:noWrap/>
            <w:vAlign w:val="bottom"/>
            <w:hideMark/>
          </w:tcPr>
          <w:p w14:paraId="4E0504EF"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4</w:t>
            </w:r>
          </w:p>
        </w:tc>
        <w:tc>
          <w:tcPr>
            <w:tcW w:w="519" w:type="dxa"/>
            <w:tcBorders>
              <w:top w:val="nil"/>
              <w:left w:val="nil"/>
              <w:bottom w:val="single" w:sz="4" w:space="0" w:color="auto"/>
              <w:right w:val="single" w:sz="4" w:space="0" w:color="auto"/>
            </w:tcBorders>
            <w:shd w:val="clear" w:color="000000" w:fill="FCE4D6"/>
            <w:noWrap/>
            <w:vAlign w:val="bottom"/>
            <w:hideMark/>
          </w:tcPr>
          <w:p w14:paraId="319B2A34"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120</w:t>
            </w:r>
          </w:p>
        </w:tc>
        <w:tc>
          <w:tcPr>
            <w:tcW w:w="141" w:type="dxa"/>
            <w:tcBorders>
              <w:top w:val="nil"/>
              <w:left w:val="nil"/>
              <w:bottom w:val="single" w:sz="4" w:space="0" w:color="auto"/>
              <w:right w:val="single" w:sz="4" w:space="0" w:color="auto"/>
            </w:tcBorders>
            <w:shd w:val="clear" w:color="000000" w:fill="FCE4D6"/>
            <w:noWrap/>
            <w:vAlign w:val="bottom"/>
            <w:hideMark/>
          </w:tcPr>
          <w:p w14:paraId="28AEDD84"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4</w:t>
            </w:r>
          </w:p>
        </w:tc>
        <w:tc>
          <w:tcPr>
            <w:tcW w:w="427" w:type="dxa"/>
            <w:tcBorders>
              <w:top w:val="nil"/>
              <w:left w:val="nil"/>
              <w:bottom w:val="single" w:sz="4" w:space="0" w:color="auto"/>
              <w:right w:val="single" w:sz="4" w:space="0" w:color="auto"/>
            </w:tcBorders>
            <w:shd w:val="clear" w:color="auto" w:fill="auto"/>
            <w:noWrap/>
            <w:vAlign w:val="bottom"/>
            <w:hideMark/>
          </w:tcPr>
          <w:p w14:paraId="5774D583"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E</w:t>
            </w:r>
          </w:p>
        </w:tc>
        <w:tc>
          <w:tcPr>
            <w:tcW w:w="153" w:type="dxa"/>
            <w:tcBorders>
              <w:top w:val="nil"/>
              <w:left w:val="nil"/>
              <w:bottom w:val="single" w:sz="4" w:space="0" w:color="auto"/>
              <w:right w:val="single" w:sz="4" w:space="0" w:color="auto"/>
            </w:tcBorders>
            <w:shd w:val="clear" w:color="auto" w:fill="auto"/>
            <w:noWrap/>
            <w:vAlign w:val="bottom"/>
            <w:hideMark/>
          </w:tcPr>
          <w:p w14:paraId="382FE426"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w:t>
            </w:r>
          </w:p>
        </w:tc>
        <w:tc>
          <w:tcPr>
            <w:tcW w:w="624" w:type="dxa"/>
            <w:tcBorders>
              <w:top w:val="nil"/>
              <w:left w:val="nil"/>
              <w:bottom w:val="single" w:sz="4" w:space="0" w:color="auto"/>
              <w:right w:val="single" w:sz="4" w:space="0" w:color="auto"/>
            </w:tcBorders>
            <w:shd w:val="clear" w:color="000000" w:fill="FCE4D6"/>
            <w:noWrap/>
            <w:vAlign w:val="bottom"/>
            <w:hideMark/>
          </w:tcPr>
          <w:p w14:paraId="20504C51"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136" w:type="dxa"/>
            <w:tcBorders>
              <w:top w:val="nil"/>
              <w:left w:val="nil"/>
              <w:bottom w:val="single" w:sz="4" w:space="0" w:color="auto"/>
              <w:right w:val="single" w:sz="4" w:space="0" w:color="auto"/>
            </w:tcBorders>
            <w:shd w:val="clear" w:color="000000" w:fill="FCE4D6"/>
            <w:noWrap/>
            <w:vAlign w:val="bottom"/>
            <w:hideMark/>
          </w:tcPr>
          <w:p w14:paraId="438C6FFB"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644" w:type="dxa"/>
            <w:tcBorders>
              <w:top w:val="nil"/>
              <w:left w:val="nil"/>
              <w:bottom w:val="single" w:sz="4" w:space="0" w:color="auto"/>
              <w:right w:val="single" w:sz="4" w:space="0" w:color="auto"/>
            </w:tcBorders>
            <w:shd w:val="clear" w:color="auto" w:fill="auto"/>
            <w:noWrap/>
            <w:vAlign w:val="bottom"/>
            <w:hideMark/>
          </w:tcPr>
          <w:p w14:paraId="7DB0BEA1"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136" w:type="dxa"/>
            <w:tcBorders>
              <w:top w:val="nil"/>
              <w:left w:val="nil"/>
              <w:bottom w:val="single" w:sz="4" w:space="0" w:color="auto"/>
              <w:right w:val="single" w:sz="4" w:space="0" w:color="auto"/>
            </w:tcBorders>
            <w:shd w:val="clear" w:color="auto" w:fill="auto"/>
            <w:noWrap/>
            <w:vAlign w:val="bottom"/>
            <w:hideMark/>
          </w:tcPr>
          <w:p w14:paraId="008E2D83"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6974BA5A"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6</w:t>
            </w:r>
          </w:p>
        </w:tc>
        <w:tc>
          <w:tcPr>
            <w:tcW w:w="200" w:type="dxa"/>
            <w:tcBorders>
              <w:top w:val="nil"/>
              <w:left w:val="nil"/>
              <w:bottom w:val="single" w:sz="4" w:space="0" w:color="auto"/>
              <w:right w:val="single" w:sz="4" w:space="0" w:color="auto"/>
            </w:tcBorders>
            <w:shd w:val="clear" w:color="000000" w:fill="FCE4D6"/>
            <w:noWrap/>
            <w:vAlign w:val="bottom"/>
            <w:hideMark/>
          </w:tcPr>
          <w:p w14:paraId="3E1DFEA4"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4</w:t>
            </w:r>
          </w:p>
        </w:tc>
        <w:tc>
          <w:tcPr>
            <w:tcW w:w="200" w:type="dxa"/>
            <w:tcBorders>
              <w:top w:val="nil"/>
              <w:left w:val="nil"/>
              <w:bottom w:val="single" w:sz="4" w:space="0" w:color="auto"/>
              <w:right w:val="single" w:sz="4" w:space="0" w:color="auto"/>
            </w:tcBorders>
            <w:shd w:val="clear" w:color="auto" w:fill="auto"/>
            <w:noWrap/>
            <w:vAlign w:val="bottom"/>
            <w:hideMark/>
          </w:tcPr>
          <w:p w14:paraId="1FBEA6C2"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4</w:t>
            </w:r>
          </w:p>
        </w:tc>
        <w:tc>
          <w:tcPr>
            <w:tcW w:w="200" w:type="dxa"/>
            <w:tcBorders>
              <w:top w:val="nil"/>
              <w:left w:val="nil"/>
              <w:bottom w:val="single" w:sz="4" w:space="0" w:color="auto"/>
              <w:right w:val="single" w:sz="4" w:space="0" w:color="auto"/>
            </w:tcBorders>
            <w:shd w:val="clear" w:color="auto" w:fill="auto"/>
            <w:noWrap/>
            <w:vAlign w:val="bottom"/>
            <w:hideMark/>
          </w:tcPr>
          <w:p w14:paraId="70101765"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w:t>
            </w:r>
          </w:p>
        </w:tc>
        <w:tc>
          <w:tcPr>
            <w:tcW w:w="427" w:type="dxa"/>
            <w:tcBorders>
              <w:top w:val="nil"/>
              <w:left w:val="nil"/>
              <w:bottom w:val="single" w:sz="4" w:space="0" w:color="auto"/>
              <w:right w:val="single" w:sz="4" w:space="0" w:color="auto"/>
            </w:tcBorders>
            <w:shd w:val="clear" w:color="000000" w:fill="FCE4D6"/>
            <w:noWrap/>
            <w:vAlign w:val="bottom"/>
            <w:hideMark/>
          </w:tcPr>
          <w:p w14:paraId="345E835D"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4</w:t>
            </w:r>
          </w:p>
        </w:tc>
        <w:tc>
          <w:tcPr>
            <w:tcW w:w="153" w:type="dxa"/>
            <w:tcBorders>
              <w:top w:val="nil"/>
              <w:left w:val="nil"/>
              <w:bottom w:val="single" w:sz="4" w:space="0" w:color="auto"/>
              <w:right w:val="single" w:sz="4" w:space="0" w:color="auto"/>
            </w:tcBorders>
            <w:shd w:val="clear" w:color="000000" w:fill="FCE4D6"/>
            <w:noWrap/>
            <w:vAlign w:val="bottom"/>
            <w:hideMark/>
          </w:tcPr>
          <w:p w14:paraId="28E2626D"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1</w:t>
            </w:r>
          </w:p>
        </w:tc>
        <w:tc>
          <w:tcPr>
            <w:tcW w:w="427" w:type="dxa"/>
            <w:tcBorders>
              <w:top w:val="nil"/>
              <w:left w:val="nil"/>
              <w:bottom w:val="single" w:sz="4" w:space="0" w:color="auto"/>
              <w:right w:val="single" w:sz="4" w:space="0" w:color="auto"/>
            </w:tcBorders>
            <w:shd w:val="clear" w:color="auto" w:fill="auto"/>
            <w:noWrap/>
            <w:vAlign w:val="bottom"/>
            <w:hideMark/>
          </w:tcPr>
          <w:p w14:paraId="0FE6A8B2"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55</w:t>
            </w:r>
          </w:p>
        </w:tc>
        <w:tc>
          <w:tcPr>
            <w:tcW w:w="153" w:type="dxa"/>
            <w:tcBorders>
              <w:top w:val="nil"/>
              <w:left w:val="nil"/>
              <w:bottom w:val="single" w:sz="4" w:space="0" w:color="auto"/>
              <w:right w:val="single" w:sz="4" w:space="0" w:color="auto"/>
            </w:tcBorders>
            <w:shd w:val="clear" w:color="auto" w:fill="auto"/>
            <w:noWrap/>
            <w:vAlign w:val="bottom"/>
            <w:hideMark/>
          </w:tcPr>
          <w:p w14:paraId="1EE277E1"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1</w:t>
            </w:r>
          </w:p>
        </w:tc>
        <w:tc>
          <w:tcPr>
            <w:tcW w:w="200" w:type="dxa"/>
            <w:tcBorders>
              <w:top w:val="nil"/>
              <w:left w:val="nil"/>
              <w:bottom w:val="single" w:sz="4" w:space="0" w:color="auto"/>
              <w:right w:val="single" w:sz="4" w:space="0" w:color="auto"/>
            </w:tcBorders>
            <w:shd w:val="clear" w:color="000000" w:fill="FCE4D6"/>
            <w:noWrap/>
            <w:vAlign w:val="bottom"/>
            <w:hideMark/>
          </w:tcPr>
          <w:p w14:paraId="711DA397"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1919C22E"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427" w:type="dxa"/>
            <w:tcBorders>
              <w:top w:val="nil"/>
              <w:left w:val="nil"/>
              <w:bottom w:val="single" w:sz="4" w:space="0" w:color="auto"/>
              <w:right w:val="single" w:sz="4" w:space="0" w:color="auto"/>
            </w:tcBorders>
            <w:shd w:val="clear" w:color="auto" w:fill="auto"/>
            <w:noWrap/>
            <w:vAlign w:val="bottom"/>
            <w:hideMark/>
          </w:tcPr>
          <w:p w14:paraId="0C3B2EF6"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4</w:t>
            </w:r>
          </w:p>
        </w:tc>
        <w:tc>
          <w:tcPr>
            <w:tcW w:w="153" w:type="dxa"/>
            <w:tcBorders>
              <w:top w:val="nil"/>
              <w:left w:val="nil"/>
              <w:bottom w:val="single" w:sz="4" w:space="0" w:color="auto"/>
              <w:right w:val="single" w:sz="4" w:space="0" w:color="auto"/>
            </w:tcBorders>
            <w:shd w:val="clear" w:color="auto" w:fill="auto"/>
            <w:noWrap/>
            <w:vAlign w:val="bottom"/>
            <w:hideMark/>
          </w:tcPr>
          <w:p w14:paraId="55855B72"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1</w:t>
            </w:r>
          </w:p>
        </w:tc>
        <w:tc>
          <w:tcPr>
            <w:tcW w:w="200" w:type="dxa"/>
            <w:tcBorders>
              <w:top w:val="nil"/>
              <w:left w:val="nil"/>
              <w:bottom w:val="single" w:sz="4" w:space="0" w:color="auto"/>
              <w:right w:val="single" w:sz="4" w:space="0" w:color="auto"/>
            </w:tcBorders>
            <w:shd w:val="clear" w:color="000000" w:fill="FCE4D6"/>
            <w:noWrap/>
            <w:vAlign w:val="bottom"/>
            <w:hideMark/>
          </w:tcPr>
          <w:p w14:paraId="78121A93"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w:t>
            </w:r>
          </w:p>
        </w:tc>
        <w:tc>
          <w:tcPr>
            <w:tcW w:w="200" w:type="dxa"/>
            <w:tcBorders>
              <w:top w:val="nil"/>
              <w:left w:val="nil"/>
              <w:bottom w:val="single" w:sz="4" w:space="0" w:color="auto"/>
              <w:right w:val="single" w:sz="4" w:space="0" w:color="auto"/>
            </w:tcBorders>
            <w:shd w:val="clear" w:color="000000" w:fill="FCE4D6"/>
            <w:noWrap/>
            <w:vAlign w:val="bottom"/>
            <w:hideMark/>
          </w:tcPr>
          <w:p w14:paraId="69926466"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1</w:t>
            </w:r>
          </w:p>
        </w:tc>
      </w:tr>
      <w:tr w:rsidR="00C95FDD" w:rsidRPr="003C5DE8" w14:paraId="3D20138F" w14:textId="77777777" w:rsidTr="00176A15">
        <w:trPr>
          <w:trHeight w:val="113"/>
        </w:trPr>
        <w:tc>
          <w:tcPr>
            <w:tcW w:w="519" w:type="dxa"/>
            <w:tcBorders>
              <w:top w:val="nil"/>
              <w:left w:val="single" w:sz="4" w:space="0" w:color="auto"/>
              <w:bottom w:val="single" w:sz="4" w:space="0" w:color="auto"/>
              <w:right w:val="single" w:sz="4" w:space="0" w:color="auto"/>
            </w:tcBorders>
            <w:shd w:val="clear" w:color="auto" w:fill="auto"/>
            <w:noWrap/>
            <w:vAlign w:val="bottom"/>
            <w:hideMark/>
          </w:tcPr>
          <w:p w14:paraId="376B6784"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150</w:t>
            </w:r>
          </w:p>
        </w:tc>
        <w:tc>
          <w:tcPr>
            <w:tcW w:w="141" w:type="dxa"/>
            <w:tcBorders>
              <w:top w:val="nil"/>
              <w:left w:val="nil"/>
              <w:bottom w:val="single" w:sz="4" w:space="0" w:color="auto"/>
              <w:right w:val="single" w:sz="4" w:space="0" w:color="auto"/>
            </w:tcBorders>
            <w:shd w:val="clear" w:color="auto" w:fill="auto"/>
            <w:noWrap/>
            <w:vAlign w:val="bottom"/>
            <w:hideMark/>
          </w:tcPr>
          <w:p w14:paraId="2E6F0A3F"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w:t>
            </w:r>
          </w:p>
        </w:tc>
        <w:tc>
          <w:tcPr>
            <w:tcW w:w="519" w:type="dxa"/>
            <w:tcBorders>
              <w:top w:val="nil"/>
              <w:left w:val="nil"/>
              <w:bottom w:val="single" w:sz="4" w:space="0" w:color="auto"/>
              <w:right w:val="single" w:sz="4" w:space="0" w:color="auto"/>
            </w:tcBorders>
            <w:shd w:val="clear" w:color="000000" w:fill="FCE4D6"/>
            <w:noWrap/>
            <w:vAlign w:val="bottom"/>
            <w:hideMark/>
          </w:tcPr>
          <w:p w14:paraId="74E8DDD0"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150</w:t>
            </w:r>
          </w:p>
        </w:tc>
        <w:tc>
          <w:tcPr>
            <w:tcW w:w="141" w:type="dxa"/>
            <w:tcBorders>
              <w:top w:val="nil"/>
              <w:left w:val="nil"/>
              <w:bottom w:val="single" w:sz="4" w:space="0" w:color="auto"/>
              <w:right w:val="single" w:sz="4" w:space="0" w:color="auto"/>
            </w:tcBorders>
            <w:shd w:val="clear" w:color="000000" w:fill="FCE4D6"/>
            <w:noWrap/>
            <w:vAlign w:val="bottom"/>
            <w:hideMark/>
          </w:tcPr>
          <w:p w14:paraId="249266FB"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w:t>
            </w:r>
          </w:p>
        </w:tc>
        <w:tc>
          <w:tcPr>
            <w:tcW w:w="427" w:type="dxa"/>
            <w:tcBorders>
              <w:top w:val="nil"/>
              <w:left w:val="nil"/>
              <w:bottom w:val="single" w:sz="4" w:space="0" w:color="auto"/>
              <w:right w:val="single" w:sz="4" w:space="0" w:color="auto"/>
            </w:tcBorders>
            <w:shd w:val="clear" w:color="auto" w:fill="auto"/>
            <w:noWrap/>
            <w:vAlign w:val="bottom"/>
            <w:hideMark/>
          </w:tcPr>
          <w:p w14:paraId="1F856CC0"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SIN</w:t>
            </w:r>
          </w:p>
        </w:tc>
        <w:tc>
          <w:tcPr>
            <w:tcW w:w="153" w:type="dxa"/>
            <w:tcBorders>
              <w:top w:val="nil"/>
              <w:left w:val="nil"/>
              <w:bottom w:val="single" w:sz="4" w:space="0" w:color="auto"/>
              <w:right w:val="single" w:sz="4" w:space="0" w:color="auto"/>
            </w:tcBorders>
            <w:shd w:val="clear" w:color="auto" w:fill="auto"/>
            <w:noWrap/>
            <w:vAlign w:val="bottom"/>
            <w:hideMark/>
          </w:tcPr>
          <w:p w14:paraId="5CA9B2C0"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2</w:t>
            </w:r>
          </w:p>
        </w:tc>
        <w:tc>
          <w:tcPr>
            <w:tcW w:w="624" w:type="dxa"/>
            <w:tcBorders>
              <w:top w:val="nil"/>
              <w:left w:val="nil"/>
              <w:bottom w:val="single" w:sz="4" w:space="0" w:color="auto"/>
              <w:right w:val="single" w:sz="4" w:space="0" w:color="auto"/>
            </w:tcBorders>
            <w:shd w:val="clear" w:color="000000" w:fill="FCE4D6"/>
            <w:noWrap/>
            <w:vAlign w:val="bottom"/>
            <w:hideMark/>
          </w:tcPr>
          <w:p w14:paraId="753B6802"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136" w:type="dxa"/>
            <w:tcBorders>
              <w:top w:val="nil"/>
              <w:left w:val="nil"/>
              <w:bottom w:val="single" w:sz="4" w:space="0" w:color="auto"/>
              <w:right w:val="single" w:sz="4" w:space="0" w:color="auto"/>
            </w:tcBorders>
            <w:shd w:val="clear" w:color="000000" w:fill="FCE4D6"/>
            <w:noWrap/>
            <w:vAlign w:val="bottom"/>
            <w:hideMark/>
          </w:tcPr>
          <w:p w14:paraId="03120306"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644" w:type="dxa"/>
            <w:tcBorders>
              <w:top w:val="nil"/>
              <w:left w:val="nil"/>
              <w:bottom w:val="single" w:sz="4" w:space="0" w:color="auto"/>
              <w:right w:val="single" w:sz="4" w:space="0" w:color="auto"/>
            </w:tcBorders>
            <w:shd w:val="clear" w:color="auto" w:fill="auto"/>
            <w:noWrap/>
            <w:vAlign w:val="bottom"/>
            <w:hideMark/>
          </w:tcPr>
          <w:p w14:paraId="650ABF0A"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136" w:type="dxa"/>
            <w:tcBorders>
              <w:top w:val="nil"/>
              <w:left w:val="nil"/>
              <w:bottom w:val="single" w:sz="4" w:space="0" w:color="auto"/>
              <w:right w:val="single" w:sz="4" w:space="0" w:color="auto"/>
            </w:tcBorders>
            <w:shd w:val="clear" w:color="auto" w:fill="auto"/>
            <w:noWrap/>
            <w:vAlign w:val="bottom"/>
            <w:hideMark/>
          </w:tcPr>
          <w:p w14:paraId="684FD5DF"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59CCCACA"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208C8E1D"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200" w:type="dxa"/>
            <w:tcBorders>
              <w:top w:val="nil"/>
              <w:left w:val="nil"/>
              <w:bottom w:val="single" w:sz="4" w:space="0" w:color="auto"/>
              <w:right w:val="single" w:sz="4" w:space="0" w:color="auto"/>
            </w:tcBorders>
            <w:shd w:val="clear" w:color="auto" w:fill="auto"/>
            <w:noWrap/>
            <w:vAlign w:val="bottom"/>
            <w:hideMark/>
          </w:tcPr>
          <w:p w14:paraId="4B34A322"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w:t>
            </w:r>
          </w:p>
        </w:tc>
        <w:tc>
          <w:tcPr>
            <w:tcW w:w="200" w:type="dxa"/>
            <w:tcBorders>
              <w:top w:val="nil"/>
              <w:left w:val="nil"/>
              <w:bottom w:val="single" w:sz="4" w:space="0" w:color="auto"/>
              <w:right w:val="single" w:sz="4" w:space="0" w:color="auto"/>
            </w:tcBorders>
            <w:shd w:val="clear" w:color="auto" w:fill="auto"/>
            <w:noWrap/>
            <w:vAlign w:val="bottom"/>
            <w:hideMark/>
          </w:tcPr>
          <w:p w14:paraId="3D633CD3"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w:t>
            </w:r>
          </w:p>
        </w:tc>
        <w:tc>
          <w:tcPr>
            <w:tcW w:w="427" w:type="dxa"/>
            <w:tcBorders>
              <w:top w:val="nil"/>
              <w:left w:val="nil"/>
              <w:bottom w:val="single" w:sz="4" w:space="0" w:color="auto"/>
              <w:right w:val="single" w:sz="4" w:space="0" w:color="auto"/>
            </w:tcBorders>
            <w:shd w:val="clear" w:color="000000" w:fill="FCE4D6"/>
            <w:noWrap/>
            <w:vAlign w:val="bottom"/>
            <w:hideMark/>
          </w:tcPr>
          <w:p w14:paraId="23212C97"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w:t>
            </w:r>
          </w:p>
        </w:tc>
        <w:tc>
          <w:tcPr>
            <w:tcW w:w="153" w:type="dxa"/>
            <w:tcBorders>
              <w:top w:val="nil"/>
              <w:left w:val="nil"/>
              <w:bottom w:val="single" w:sz="4" w:space="0" w:color="auto"/>
              <w:right w:val="single" w:sz="4" w:space="0" w:color="auto"/>
            </w:tcBorders>
            <w:shd w:val="clear" w:color="000000" w:fill="FCE4D6"/>
            <w:noWrap/>
            <w:vAlign w:val="bottom"/>
            <w:hideMark/>
          </w:tcPr>
          <w:p w14:paraId="4AB870B3"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0</w:t>
            </w:r>
          </w:p>
        </w:tc>
        <w:tc>
          <w:tcPr>
            <w:tcW w:w="427" w:type="dxa"/>
            <w:tcBorders>
              <w:top w:val="nil"/>
              <w:left w:val="nil"/>
              <w:bottom w:val="single" w:sz="4" w:space="0" w:color="auto"/>
              <w:right w:val="single" w:sz="4" w:space="0" w:color="auto"/>
            </w:tcBorders>
            <w:shd w:val="clear" w:color="auto" w:fill="auto"/>
            <w:noWrap/>
            <w:vAlign w:val="bottom"/>
            <w:hideMark/>
          </w:tcPr>
          <w:p w14:paraId="20C866AF"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65</w:t>
            </w:r>
          </w:p>
        </w:tc>
        <w:tc>
          <w:tcPr>
            <w:tcW w:w="153" w:type="dxa"/>
            <w:tcBorders>
              <w:top w:val="nil"/>
              <w:left w:val="nil"/>
              <w:bottom w:val="single" w:sz="4" w:space="0" w:color="auto"/>
              <w:right w:val="single" w:sz="4" w:space="0" w:color="auto"/>
            </w:tcBorders>
            <w:shd w:val="clear" w:color="auto" w:fill="auto"/>
            <w:noWrap/>
            <w:vAlign w:val="bottom"/>
            <w:hideMark/>
          </w:tcPr>
          <w:p w14:paraId="43181161"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0</w:t>
            </w:r>
          </w:p>
        </w:tc>
        <w:tc>
          <w:tcPr>
            <w:tcW w:w="200" w:type="dxa"/>
            <w:tcBorders>
              <w:top w:val="nil"/>
              <w:left w:val="nil"/>
              <w:bottom w:val="single" w:sz="4" w:space="0" w:color="auto"/>
              <w:right w:val="single" w:sz="4" w:space="0" w:color="auto"/>
            </w:tcBorders>
            <w:shd w:val="clear" w:color="000000" w:fill="FCE4D6"/>
            <w:noWrap/>
            <w:vAlign w:val="bottom"/>
            <w:hideMark/>
          </w:tcPr>
          <w:p w14:paraId="0D5F8CDC"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25AB8680"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427" w:type="dxa"/>
            <w:tcBorders>
              <w:top w:val="nil"/>
              <w:left w:val="nil"/>
              <w:bottom w:val="single" w:sz="4" w:space="0" w:color="auto"/>
              <w:right w:val="single" w:sz="4" w:space="0" w:color="auto"/>
            </w:tcBorders>
            <w:shd w:val="clear" w:color="auto" w:fill="auto"/>
            <w:noWrap/>
            <w:vAlign w:val="bottom"/>
            <w:hideMark/>
          </w:tcPr>
          <w:p w14:paraId="4053A747"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w:t>
            </w:r>
          </w:p>
        </w:tc>
        <w:tc>
          <w:tcPr>
            <w:tcW w:w="153" w:type="dxa"/>
            <w:tcBorders>
              <w:top w:val="nil"/>
              <w:left w:val="nil"/>
              <w:bottom w:val="single" w:sz="4" w:space="0" w:color="auto"/>
              <w:right w:val="single" w:sz="4" w:space="0" w:color="auto"/>
            </w:tcBorders>
            <w:shd w:val="clear" w:color="auto" w:fill="auto"/>
            <w:noWrap/>
            <w:vAlign w:val="bottom"/>
            <w:hideMark/>
          </w:tcPr>
          <w:p w14:paraId="64453345"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0</w:t>
            </w:r>
          </w:p>
        </w:tc>
        <w:tc>
          <w:tcPr>
            <w:tcW w:w="200" w:type="dxa"/>
            <w:tcBorders>
              <w:top w:val="nil"/>
              <w:left w:val="nil"/>
              <w:bottom w:val="single" w:sz="4" w:space="0" w:color="auto"/>
              <w:right w:val="single" w:sz="4" w:space="0" w:color="auto"/>
            </w:tcBorders>
            <w:shd w:val="clear" w:color="000000" w:fill="FCE4D6"/>
            <w:noWrap/>
            <w:vAlign w:val="bottom"/>
            <w:hideMark/>
          </w:tcPr>
          <w:p w14:paraId="4DCCCE29"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6</w:t>
            </w:r>
          </w:p>
        </w:tc>
        <w:tc>
          <w:tcPr>
            <w:tcW w:w="200" w:type="dxa"/>
            <w:tcBorders>
              <w:top w:val="nil"/>
              <w:left w:val="nil"/>
              <w:bottom w:val="single" w:sz="4" w:space="0" w:color="auto"/>
              <w:right w:val="single" w:sz="4" w:space="0" w:color="auto"/>
            </w:tcBorders>
            <w:shd w:val="clear" w:color="000000" w:fill="FCE4D6"/>
            <w:noWrap/>
            <w:vAlign w:val="bottom"/>
            <w:hideMark/>
          </w:tcPr>
          <w:p w14:paraId="450DCA8B"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0</w:t>
            </w:r>
          </w:p>
        </w:tc>
      </w:tr>
      <w:tr w:rsidR="00C95FDD" w:rsidRPr="003C5DE8" w14:paraId="5C56C749" w14:textId="77777777" w:rsidTr="00176A15">
        <w:trPr>
          <w:trHeight w:val="113"/>
        </w:trPr>
        <w:tc>
          <w:tcPr>
            <w:tcW w:w="519" w:type="dxa"/>
            <w:tcBorders>
              <w:top w:val="nil"/>
              <w:left w:val="single" w:sz="4" w:space="0" w:color="auto"/>
              <w:bottom w:val="single" w:sz="4" w:space="0" w:color="auto"/>
              <w:right w:val="single" w:sz="4" w:space="0" w:color="auto"/>
            </w:tcBorders>
            <w:shd w:val="clear" w:color="auto" w:fill="auto"/>
            <w:noWrap/>
            <w:vAlign w:val="bottom"/>
            <w:hideMark/>
          </w:tcPr>
          <w:p w14:paraId="129B1F5B"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9999</w:t>
            </w:r>
          </w:p>
        </w:tc>
        <w:tc>
          <w:tcPr>
            <w:tcW w:w="141" w:type="dxa"/>
            <w:tcBorders>
              <w:top w:val="nil"/>
              <w:left w:val="nil"/>
              <w:bottom w:val="single" w:sz="4" w:space="0" w:color="auto"/>
              <w:right w:val="single" w:sz="4" w:space="0" w:color="auto"/>
            </w:tcBorders>
            <w:shd w:val="clear" w:color="auto" w:fill="auto"/>
            <w:noWrap/>
            <w:vAlign w:val="bottom"/>
            <w:hideMark/>
          </w:tcPr>
          <w:p w14:paraId="640EA7B2"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519" w:type="dxa"/>
            <w:tcBorders>
              <w:top w:val="nil"/>
              <w:left w:val="nil"/>
              <w:bottom w:val="single" w:sz="4" w:space="0" w:color="auto"/>
              <w:right w:val="single" w:sz="4" w:space="0" w:color="auto"/>
            </w:tcBorders>
            <w:shd w:val="clear" w:color="000000" w:fill="FCE4D6"/>
            <w:noWrap/>
            <w:vAlign w:val="bottom"/>
            <w:hideMark/>
          </w:tcPr>
          <w:p w14:paraId="21443600"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9999</w:t>
            </w:r>
          </w:p>
        </w:tc>
        <w:tc>
          <w:tcPr>
            <w:tcW w:w="141" w:type="dxa"/>
            <w:tcBorders>
              <w:top w:val="nil"/>
              <w:left w:val="nil"/>
              <w:bottom w:val="single" w:sz="4" w:space="0" w:color="auto"/>
              <w:right w:val="single" w:sz="4" w:space="0" w:color="auto"/>
            </w:tcBorders>
            <w:shd w:val="clear" w:color="000000" w:fill="FCE4D6"/>
            <w:noWrap/>
            <w:vAlign w:val="bottom"/>
            <w:hideMark/>
          </w:tcPr>
          <w:p w14:paraId="50D86BC6"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427" w:type="dxa"/>
            <w:tcBorders>
              <w:top w:val="nil"/>
              <w:left w:val="nil"/>
              <w:bottom w:val="single" w:sz="4" w:space="0" w:color="auto"/>
              <w:right w:val="single" w:sz="4" w:space="0" w:color="auto"/>
            </w:tcBorders>
            <w:shd w:val="clear" w:color="auto" w:fill="auto"/>
            <w:noWrap/>
            <w:vAlign w:val="bottom"/>
            <w:hideMark/>
          </w:tcPr>
          <w:p w14:paraId="19AB799A"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153" w:type="dxa"/>
            <w:tcBorders>
              <w:top w:val="nil"/>
              <w:left w:val="nil"/>
              <w:bottom w:val="single" w:sz="4" w:space="0" w:color="auto"/>
              <w:right w:val="single" w:sz="4" w:space="0" w:color="auto"/>
            </w:tcBorders>
            <w:shd w:val="clear" w:color="auto" w:fill="auto"/>
            <w:noWrap/>
            <w:vAlign w:val="bottom"/>
            <w:hideMark/>
          </w:tcPr>
          <w:p w14:paraId="6264C749"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624" w:type="dxa"/>
            <w:tcBorders>
              <w:top w:val="nil"/>
              <w:left w:val="nil"/>
              <w:bottom w:val="single" w:sz="4" w:space="0" w:color="auto"/>
              <w:right w:val="single" w:sz="4" w:space="0" w:color="auto"/>
            </w:tcBorders>
            <w:shd w:val="clear" w:color="000000" w:fill="FCE4D6"/>
            <w:noWrap/>
            <w:vAlign w:val="bottom"/>
            <w:hideMark/>
          </w:tcPr>
          <w:p w14:paraId="4F3E1A27"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136" w:type="dxa"/>
            <w:tcBorders>
              <w:top w:val="nil"/>
              <w:left w:val="nil"/>
              <w:bottom w:val="single" w:sz="4" w:space="0" w:color="auto"/>
              <w:right w:val="single" w:sz="4" w:space="0" w:color="auto"/>
            </w:tcBorders>
            <w:shd w:val="clear" w:color="000000" w:fill="FCE4D6"/>
            <w:noWrap/>
            <w:vAlign w:val="bottom"/>
            <w:hideMark/>
          </w:tcPr>
          <w:p w14:paraId="1C7E33D2"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644" w:type="dxa"/>
            <w:tcBorders>
              <w:top w:val="nil"/>
              <w:left w:val="nil"/>
              <w:bottom w:val="single" w:sz="4" w:space="0" w:color="auto"/>
              <w:right w:val="single" w:sz="4" w:space="0" w:color="auto"/>
            </w:tcBorders>
            <w:shd w:val="clear" w:color="auto" w:fill="auto"/>
            <w:noWrap/>
            <w:vAlign w:val="bottom"/>
            <w:hideMark/>
          </w:tcPr>
          <w:p w14:paraId="3096B71D"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136" w:type="dxa"/>
            <w:tcBorders>
              <w:top w:val="nil"/>
              <w:left w:val="nil"/>
              <w:bottom w:val="single" w:sz="4" w:space="0" w:color="auto"/>
              <w:right w:val="single" w:sz="4" w:space="0" w:color="auto"/>
            </w:tcBorders>
            <w:shd w:val="clear" w:color="auto" w:fill="auto"/>
            <w:noWrap/>
            <w:vAlign w:val="bottom"/>
            <w:hideMark/>
          </w:tcPr>
          <w:p w14:paraId="20FB9360"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6E519A6C"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4B9E0530"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200" w:type="dxa"/>
            <w:tcBorders>
              <w:top w:val="nil"/>
              <w:left w:val="nil"/>
              <w:bottom w:val="single" w:sz="4" w:space="0" w:color="auto"/>
              <w:right w:val="single" w:sz="4" w:space="0" w:color="auto"/>
            </w:tcBorders>
            <w:shd w:val="clear" w:color="auto" w:fill="auto"/>
            <w:noWrap/>
            <w:vAlign w:val="bottom"/>
            <w:hideMark/>
          </w:tcPr>
          <w:p w14:paraId="0839E845"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6</w:t>
            </w:r>
          </w:p>
        </w:tc>
        <w:tc>
          <w:tcPr>
            <w:tcW w:w="200" w:type="dxa"/>
            <w:tcBorders>
              <w:top w:val="nil"/>
              <w:left w:val="nil"/>
              <w:bottom w:val="single" w:sz="4" w:space="0" w:color="auto"/>
              <w:right w:val="single" w:sz="4" w:space="0" w:color="auto"/>
            </w:tcBorders>
            <w:shd w:val="clear" w:color="auto" w:fill="auto"/>
            <w:noWrap/>
            <w:vAlign w:val="bottom"/>
            <w:hideMark/>
          </w:tcPr>
          <w:p w14:paraId="30904CC6"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5</w:t>
            </w:r>
          </w:p>
        </w:tc>
        <w:tc>
          <w:tcPr>
            <w:tcW w:w="427" w:type="dxa"/>
            <w:tcBorders>
              <w:top w:val="nil"/>
              <w:left w:val="nil"/>
              <w:bottom w:val="single" w:sz="4" w:space="0" w:color="auto"/>
              <w:right w:val="single" w:sz="4" w:space="0" w:color="auto"/>
            </w:tcBorders>
            <w:shd w:val="clear" w:color="000000" w:fill="FCE4D6"/>
            <w:noWrap/>
            <w:vAlign w:val="bottom"/>
            <w:hideMark/>
          </w:tcPr>
          <w:p w14:paraId="2ADE1A21"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999</w:t>
            </w:r>
          </w:p>
        </w:tc>
        <w:tc>
          <w:tcPr>
            <w:tcW w:w="153" w:type="dxa"/>
            <w:tcBorders>
              <w:top w:val="nil"/>
              <w:left w:val="nil"/>
              <w:bottom w:val="single" w:sz="4" w:space="0" w:color="auto"/>
              <w:right w:val="single" w:sz="4" w:space="0" w:color="auto"/>
            </w:tcBorders>
            <w:shd w:val="clear" w:color="000000" w:fill="FCE4D6"/>
            <w:noWrap/>
            <w:vAlign w:val="bottom"/>
            <w:hideMark/>
          </w:tcPr>
          <w:p w14:paraId="259D216E"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427" w:type="dxa"/>
            <w:tcBorders>
              <w:top w:val="nil"/>
              <w:left w:val="nil"/>
              <w:bottom w:val="single" w:sz="4" w:space="0" w:color="auto"/>
              <w:right w:val="single" w:sz="4" w:space="0" w:color="auto"/>
            </w:tcBorders>
            <w:shd w:val="clear" w:color="auto" w:fill="auto"/>
            <w:noWrap/>
            <w:vAlign w:val="bottom"/>
            <w:hideMark/>
          </w:tcPr>
          <w:p w14:paraId="181850B4"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999</w:t>
            </w:r>
          </w:p>
        </w:tc>
        <w:tc>
          <w:tcPr>
            <w:tcW w:w="153" w:type="dxa"/>
            <w:tcBorders>
              <w:top w:val="nil"/>
              <w:left w:val="nil"/>
              <w:bottom w:val="single" w:sz="4" w:space="0" w:color="auto"/>
              <w:right w:val="single" w:sz="4" w:space="0" w:color="auto"/>
            </w:tcBorders>
            <w:shd w:val="clear" w:color="auto" w:fill="auto"/>
            <w:noWrap/>
            <w:vAlign w:val="bottom"/>
            <w:hideMark/>
          </w:tcPr>
          <w:p w14:paraId="77DCD7C3"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6E4E53E4"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4DF53C00"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427" w:type="dxa"/>
            <w:tcBorders>
              <w:top w:val="nil"/>
              <w:left w:val="nil"/>
              <w:bottom w:val="single" w:sz="4" w:space="0" w:color="auto"/>
              <w:right w:val="single" w:sz="4" w:space="0" w:color="auto"/>
            </w:tcBorders>
            <w:shd w:val="clear" w:color="auto" w:fill="auto"/>
            <w:noWrap/>
            <w:vAlign w:val="bottom"/>
            <w:hideMark/>
          </w:tcPr>
          <w:p w14:paraId="540BB4AD" w14:textId="77777777" w:rsidR="00176A15" w:rsidRPr="003C5DE8" w:rsidRDefault="00176A15" w:rsidP="003C5DE8">
            <w:pPr>
              <w:widowControl/>
              <w:autoSpaceDE/>
              <w:autoSpaceDN/>
              <w:ind w:left="567" w:hanging="567"/>
              <w:jc w:val="right"/>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999</w:t>
            </w:r>
          </w:p>
        </w:tc>
        <w:tc>
          <w:tcPr>
            <w:tcW w:w="153" w:type="dxa"/>
            <w:tcBorders>
              <w:top w:val="nil"/>
              <w:left w:val="nil"/>
              <w:bottom w:val="single" w:sz="4" w:space="0" w:color="auto"/>
              <w:right w:val="single" w:sz="4" w:space="0" w:color="auto"/>
            </w:tcBorders>
            <w:shd w:val="clear" w:color="auto" w:fill="auto"/>
            <w:noWrap/>
            <w:vAlign w:val="bottom"/>
            <w:hideMark/>
          </w:tcPr>
          <w:p w14:paraId="601F212B"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25486409"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653278F2" w14:textId="77777777" w:rsidR="00176A15" w:rsidRPr="003C5DE8" w:rsidRDefault="00176A15" w:rsidP="003C5DE8">
            <w:pPr>
              <w:widowControl/>
              <w:autoSpaceDE/>
              <w:autoSpaceDN/>
              <w:ind w:left="567" w:hanging="567"/>
              <w:rPr>
                <w:rFonts w:ascii="Arial Narrow" w:eastAsia="Times New Roman" w:hAnsi="Arial Narrow" w:cs="Calibri"/>
                <w:color w:val="000000" w:themeColor="text1"/>
                <w:sz w:val="20"/>
                <w:szCs w:val="20"/>
                <w:lang w:val="es-CO" w:eastAsia="es-CO"/>
              </w:rPr>
            </w:pPr>
            <w:r w:rsidRPr="003C5DE8">
              <w:rPr>
                <w:rFonts w:ascii="Arial Narrow" w:eastAsia="Times New Roman" w:hAnsi="Arial Narrow" w:cs="Calibri"/>
                <w:color w:val="000000" w:themeColor="text1"/>
                <w:sz w:val="20"/>
                <w:szCs w:val="20"/>
                <w:lang w:val="es-CO" w:eastAsia="es-CO"/>
              </w:rPr>
              <w:t> </w:t>
            </w:r>
          </w:p>
        </w:tc>
      </w:tr>
    </w:tbl>
    <w:p w14:paraId="3DA83C00" w14:textId="75AE2C31" w:rsidR="00ED2882" w:rsidRPr="003C5DE8" w:rsidRDefault="00ED2882" w:rsidP="003C5DE8">
      <w:pPr>
        <w:ind w:left="567" w:hanging="567"/>
        <w:rPr>
          <w:rFonts w:ascii="Arial Narrow" w:hAnsi="Arial Narrow"/>
          <w:color w:val="000000" w:themeColor="text1"/>
          <w:sz w:val="26"/>
          <w:szCs w:val="26"/>
          <w:lang w:val="es-CO"/>
        </w:rPr>
      </w:pPr>
    </w:p>
    <w:p w14:paraId="35E2428C" w14:textId="77777777" w:rsidR="00ED2882" w:rsidRPr="003C5DE8" w:rsidRDefault="00ED2882" w:rsidP="003C5DE8">
      <w:pPr>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br w:type="page"/>
      </w:r>
    </w:p>
    <w:tbl>
      <w:tblPr>
        <w:tblW w:w="6987" w:type="dxa"/>
        <w:tblCellMar>
          <w:left w:w="70" w:type="dxa"/>
          <w:right w:w="70" w:type="dxa"/>
        </w:tblCellMar>
        <w:tblLook w:val="04A0" w:firstRow="1" w:lastRow="0" w:firstColumn="1" w:lastColumn="0" w:noHBand="0" w:noVBand="1"/>
      </w:tblPr>
      <w:tblGrid>
        <w:gridCol w:w="414"/>
        <w:gridCol w:w="232"/>
        <w:gridCol w:w="232"/>
        <w:gridCol w:w="232"/>
        <w:gridCol w:w="414"/>
        <w:gridCol w:w="232"/>
        <w:gridCol w:w="433"/>
        <w:gridCol w:w="243"/>
        <w:gridCol w:w="729"/>
        <w:gridCol w:w="232"/>
        <w:gridCol w:w="414"/>
        <w:gridCol w:w="232"/>
        <w:gridCol w:w="414"/>
        <w:gridCol w:w="232"/>
        <w:gridCol w:w="414"/>
        <w:gridCol w:w="414"/>
        <w:gridCol w:w="414"/>
        <w:gridCol w:w="414"/>
        <w:gridCol w:w="414"/>
        <w:gridCol w:w="232"/>
      </w:tblGrid>
      <w:tr w:rsidR="00C95FDD" w:rsidRPr="009A4C18" w14:paraId="08349906" w14:textId="77777777" w:rsidTr="00ED2882">
        <w:trPr>
          <w:trHeight w:val="256"/>
        </w:trPr>
        <w:tc>
          <w:tcPr>
            <w:tcW w:w="646"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3107E6B5" w14:textId="77777777" w:rsidR="00ED2882" w:rsidRPr="00ED2882" w:rsidRDefault="00ED2882" w:rsidP="003C5DE8">
            <w:pPr>
              <w:widowControl/>
              <w:autoSpaceDE/>
              <w:autoSpaceDN/>
              <w:jc w:val="center"/>
              <w:rPr>
                <w:rFonts w:ascii="Arial Narrow" w:eastAsia="Times New Roman" w:hAnsi="Arial Narrow" w:cs="Calibri"/>
                <w:b/>
                <w:bCs/>
                <w:color w:val="000000" w:themeColor="text1"/>
                <w:sz w:val="12"/>
                <w:szCs w:val="12"/>
                <w:lang w:val="es-CO" w:eastAsia="es-CO"/>
              </w:rPr>
            </w:pPr>
            <w:proofErr w:type="spellStart"/>
            <w:r w:rsidRPr="00ED2882">
              <w:rPr>
                <w:rFonts w:ascii="Arial Narrow" w:eastAsia="Times New Roman" w:hAnsi="Arial Narrow" w:cs="Calibri"/>
                <w:b/>
                <w:bCs/>
                <w:color w:val="000000" w:themeColor="text1"/>
                <w:sz w:val="12"/>
                <w:szCs w:val="12"/>
                <w:lang w:val="es-CO" w:eastAsia="es-CO"/>
              </w:rPr>
              <w:lastRenderedPageBreak/>
              <w:t>Ing</w:t>
            </w:r>
            <w:proofErr w:type="spellEnd"/>
          </w:p>
        </w:tc>
        <w:tc>
          <w:tcPr>
            <w:tcW w:w="464"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172A87AC" w14:textId="77777777" w:rsidR="00ED2882" w:rsidRPr="00ED2882" w:rsidRDefault="00ED2882" w:rsidP="003C5DE8">
            <w:pPr>
              <w:widowControl/>
              <w:autoSpaceDE/>
              <w:autoSpaceDN/>
              <w:jc w:val="center"/>
              <w:rPr>
                <w:rFonts w:ascii="Arial Narrow" w:eastAsia="Times New Roman" w:hAnsi="Arial Narrow" w:cs="Calibri"/>
                <w:b/>
                <w:bCs/>
                <w:color w:val="000000" w:themeColor="text1"/>
                <w:sz w:val="12"/>
                <w:szCs w:val="12"/>
                <w:lang w:val="es-CO" w:eastAsia="es-CO"/>
              </w:rPr>
            </w:pPr>
            <w:r w:rsidRPr="00ED2882">
              <w:rPr>
                <w:rFonts w:ascii="Arial Narrow" w:eastAsia="Times New Roman" w:hAnsi="Arial Narrow" w:cs="Calibri"/>
                <w:b/>
                <w:bCs/>
                <w:color w:val="000000" w:themeColor="text1"/>
                <w:sz w:val="12"/>
                <w:szCs w:val="12"/>
                <w:lang w:val="es-CO" w:eastAsia="es-CO"/>
              </w:rPr>
              <w:t xml:space="preserve">E. </w:t>
            </w:r>
            <w:proofErr w:type="spellStart"/>
            <w:r w:rsidRPr="00ED2882">
              <w:rPr>
                <w:rFonts w:ascii="Arial Narrow" w:eastAsia="Times New Roman" w:hAnsi="Arial Narrow" w:cs="Calibri"/>
                <w:b/>
                <w:bCs/>
                <w:color w:val="000000" w:themeColor="text1"/>
                <w:sz w:val="12"/>
                <w:szCs w:val="12"/>
                <w:lang w:val="es-CO" w:eastAsia="es-CO"/>
              </w:rPr>
              <w:t>Civ</w:t>
            </w:r>
            <w:proofErr w:type="spellEnd"/>
          </w:p>
        </w:tc>
        <w:tc>
          <w:tcPr>
            <w:tcW w:w="646" w:type="dxa"/>
            <w:gridSpan w:val="2"/>
            <w:tcBorders>
              <w:top w:val="single" w:sz="4" w:space="0" w:color="auto"/>
              <w:left w:val="nil"/>
              <w:bottom w:val="single" w:sz="4" w:space="0" w:color="auto"/>
              <w:right w:val="single" w:sz="4" w:space="0" w:color="auto"/>
            </w:tcBorders>
            <w:shd w:val="clear" w:color="000000" w:fill="000000"/>
            <w:vAlign w:val="center"/>
            <w:hideMark/>
          </w:tcPr>
          <w:p w14:paraId="55A383C3" w14:textId="77777777" w:rsidR="00ED2882" w:rsidRPr="00ED2882" w:rsidRDefault="00ED2882" w:rsidP="003C5DE8">
            <w:pPr>
              <w:widowControl/>
              <w:autoSpaceDE/>
              <w:autoSpaceDN/>
              <w:jc w:val="center"/>
              <w:rPr>
                <w:rFonts w:ascii="Arial Narrow" w:eastAsia="Times New Roman" w:hAnsi="Arial Narrow" w:cs="Calibri"/>
                <w:b/>
                <w:bCs/>
                <w:color w:val="000000" w:themeColor="text1"/>
                <w:sz w:val="12"/>
                <w:szCs w:val="12"/>
                <w:lang w:val="es-CO" w:eastAsia="es-CO"/>
              </w:rPr>
            </w:pPr>
            <w:r w:rsidRPr="00ED2882">
              <w:rPr>
                <w:rFonts w:ascii="Arial Narrow" w:eastAsia="Times New Roman" w:hAnsi="Arial Narrow" w:cs="Calibri"/>
                <w:b/>
                <w:bCs/>
                <w:color w:val="000000" w:themeColor="text1"/>
                <w:sz w:val="12"/>
                <w:szCs w:val="12"/>
                <w:lang w:val="es-CO" w:eastAsia="es-CO"/>
              </w:rPr>
              <w:t>Peor CAL Ext</w:t>
            </w:r>
          </w:p>
        </w:tc>
        <w:tc>
          <w:tcPr>
            <w:tcW w:w="676" w:type="dxa"/>
            <w:gridSpan w:val="2"/>
            <w:tcBorders>
              <w:top w:val="single" w:sz="4" w:space="0" w:color="auto"/>
              <w:left w:val="nil"/>
              <w:bottom w:val="single" w:sz="4" w:space="0" w:color="auto"/>
              <w:right w:val="single" w:sz="4" w:space="0" w:color="auto"/>
            </w:tcBorders>
            <w:shd w:val="clear" w:color="000000" w:fill="000000"/>
            <w:vAlign w:val="center"/>
            <w:hideMark/>
          </w:tcPr>
          <w:p w14:paraId="7D02A51B" w14:textId="77777777" w:rsidR="00ED2882" w:rsidRPr="00ED2882" w:rsidRDefault="00ED2882" w:rsidP="003C5DE8">
            <w:pPr>
              <w:widowControl/>
              <w:autoSpaceDE/>
              <w:autoSpaceDN/>
              <w:jc w:val="center"/>
              <w:rPr>
                <w:rFonts w:ascii="Arial Narrow" w:eastAsia="Times New Roman" w:hAnsi="Arial Narrow" w:cs="Calibri"/>
                <w:b/>
                <w:bCs/>
                <w:color w:val="000000" w:themeColor="text1"/>
                <w:sz w:val="12"/>
                <w:szCs w:val="12"/>
                <w:lang w:val="es-CO" w:eastAsia="es-CO"/>
              </w:rPr>
            </w:pPr>
            <w:r w:rsidRPr="00ED2882">
              <w:rPr>
                <w:rFonts w:ascii="Arial Narrow" w:eastAsia="Times New Roman" w:hAnsi="Arial Narrow" w:cs="Calibri"/>
                <w:b/>
                <w:bCs/>
                <w:color w:val="000000" w:themeColor="text1"/>
                <w:sz w:val="12"/>
                <w:szCs w:val="12"/>
                <w:lang w:val="es-CO" w:eastAsia="es-CO"/>
              </w:rPr>
              <w:t xml:space="preserve"> Cal Acida Transunion </w:t>
            </w:r>
          </w:p>
        </w:tc>
        <w:tc>
          <w:tcPr>
            <w:tcW w:w="961" w:type="dxa"/>
            <w:gridSpan w:val="2"/>
            <w:tcBorders>
              <w:top w:val="single" w:sz="4" w:space="0" w:color="auto"/>
              <w:left w:val="nil"/>
              <w:bottom w:val="single" w:sz="4" w:space="0" w:color="auto"/>
              <w:right w:val="single" w:sz="4" w:space="0" w:color="auto"/>
            </w:tcBorders>
            <w:shd w:val="clear" w:color="000000" w:fill="000000"/>
            <w:vAlign w:val="center"/>
            <w:hideMark/>
          </w:tcPr>
          <w:p w14:paraId="6984F1C5" w14:textId="77777777" w:rsidR="00ED2882" w:rsidRPr="00ED2882" w:rsidRDefault="00ED2882" w:rsidP="003C5DE8">
            <w:pPr>
              <w:widowControl/>
              <w:autoSpaceDE/>
              <w:autoSpaceDN/>
              <w:jc w:val="center"/>
              <w:rPr>
                <w:rFonts w:ascii="Arial Narrow" w:eastAsia="Times New Roman" w:hAnsi="Arial Narrow" w:cs="Calibri"/>
                <w:b/>
                <w:bCs/>
                <w:color w:val="000000" w:themeColor="text1"/>
                <w:sz w:val="12"/>
                <w:szCs w:val="12"/>
                <w:lang w:val="es-CO" w:eastAsia="es-CO"/>
              </w:rPr>
            </w:pPr>
            <w:r w:rsidRPr="00ED2882">
              <w:rPr>
                <w:rFonts w:ascii="Arial Narrow" w:eastAsia="Times New Roman" w:hAnsi="Arial Narrow" w:cs="Calibri"/>
                <w:b/>
                <w:bCs/>
                <w:color w:val="000000" w:themeColor="text1"/>
                <w:sz w:val="12"/>
                <w:szCs w:val="12"/>
                <w:lang w:val="es-CO" w:eastAsia="es-CO"/>
              </w:rPr>
              <w:t xml:space="preserve"> Carga Financiera </w:t>
            </w:r>
          </w:p>
        </w:tc>
        <w:tc>
          <w:tcPr>
            <w:tcW w:w="646" w:type="dxa"/>
            <w:gridSpan w:val="2"/>
            <w:tcBorders>
              <w:top w:val="single" w:sz="4" w:space="0" w:color="auto"/>
              <w:left w:val="nil"/>
              <w:bottom w:val="single" w:sz="4" w:space="0" w:color="auto"/>
              <w:right w:val="single" w:sz="4" w:space="0" w:color="auto"/>
            </w:tcBorders>
            <w:shd w:val="clear" w:color="000000" w:fill="000000"/>
            <w:vAlign w:val="center"/>
            <w:hideMark/>
          </w:tcPr>
          <w:p w14:paraId="2C3C013D" w14:textId="77777777" w:rsidR="00ED2882" w:rsidRPr="00ED2882" w:rsidRDefault="00ED2882" w:rsidP="003C5DE8">
            <w:pPr>
              <w:widowControl/>
              <w:autoSpaceDE/>
              <w:autoSpaceDN/>
              <w:jc w:val="center"/>
              <w:rPr>
                <w:rFonts w:ascii="Arial Narrow" w:eastAsia="Times New Roman" w:hAnsi="Arial Narrow" w:cs="Calibri"/>
                <w:b/>
                <w:bCs/>
                <w:color w:val="000000" w:themeColor="text1"/>
                <w:sz w:val="12"/>
                <w:szCs w:val="12"/>
                <w:lang w:val="es-CO" w:eastAsia="es-CO"/>
              </w:rPr>
            </w:pPr>
            <w:r w:rsidRPr="00ED2882">
              <w:rPr>
                <w:rFonts w:ascii="Arial Narrow" w:eastAsia="Times New Roman" w:hAnsi="Arial Narrow" w:cs="Calibri"/>
                <w:b/>
                <w:bCs/>
                <w:color w:val="000000" w:themeColor="text1"/>
                <w:sz w:val="12"/>
                <w:szCs w:val="12"/>
                <w:lang w:val="es-CO" w:eastAsia="es-CO"/>
              </w:rPr>
              <w:t xml:space="preserve"> </w:t>
            </w:r>
            <w:proofErr w:type="spellStart"/>
            <w:r w:rsidRPr="00ED2882">
              <w:rPr>
                <w:rFonts w:ascii="Arial Narrow" w:eastAsia="Times New Roman" w:hAnsi="Arial Narrow" w:cs="Calibri"/>
                <w:b/>
                <w:bCs/>
                <w:color w:val="000000" w:themeColor="text1"/>
                <w:sz w:val="12"/>
                <w:szCs w:val="12"/>
                <w:lang w:val="es-CO" w:eastAsia="es-CO"/>
              </w:rPr>
              <w:t>Endeudam</w:t>
            </w:r>
            <w:proofErr w:type="spellEnd"/>
            <w:r w:rsidRPr="00ED2882">
              <w:rPr>
                <w:rFonts w:ascii="Arial Narrow" w:eastAsia="Times New Roman" w:hAnsi="Arial Narrow" w:cs="Calibri"/>
                <w:b/>
                <w:bCs/>
                <w:color w:val="000000" w:themeColor="text1"/>
                <w:sz w:val="12"/>
                <w:szCs w:val="12"/>
                <w:lang w:val="es-CO" w:eastAsia="es-CO"/>
              </w:rPr>
              <w:t xml:space="preserve"> </w:t>
            </w:r>
          </w:p>
        </w:tc>
        <w:tc>
          <w:tcPr>
            <w:tcW w:w="646" w:type="dxa"/>
            <w:gridSpan w:val="2"/>
            <w:tcBorders>
              <w:top w:val="single" w:sz="4" w:space="0" w:color="auto"/>
              <w:left w:val="nil"/>
              <w:bottom w:val="single" w:sz="4" w:space="0" w:color="auto"/>
              <w:right w:val="single" w:sz="4" w:space="0" w:color="auto"/>
            </w:tcBorders>
            <w:shd w:val="clear" w:color="000000" w:fill="000000"/>
            <w:vAlign w:val="center"/>
            <w:hideMark/>
          </w:tcPr>
          <w:p w14:paraId="15083F81" w14:textId="77777777" w:rsidR="00ED2882" w:rsidRPr="00ED2882" w:rsidRDefault="00ED2882" w:rsidP="003C5DE8">
            <w:pPr>
              <w:widowControl/>
              <w:autoSpaceDE/>
              <w:autoSpaceDN/>
              <w:jc w:val="center"/>
              <w:rPr>
                <w:rFonts w:ascii="Arial Narrow" w:eastAsia="Times New Roman" w:hAnsi="Arial Narrow" w:cs="Calibri"/>
                <w:b/>
                <w:bCs/>
                <w:color w:val="000000" w:themeColor="text1"/>
                <w:sz w:val="12"/>
                <w:szCs w:val="12"/>
                <w:lang w:val="es-CO" w:eastAsia="es-CO"/>
              </w:rPr>
            </w:pPr>
            <w:r w:rsidRPr="00ED2882">
              <w:rPr>
                <w:rFonts w:ascii="Arial Narrow" w:eastAsia="Times New Roman" w:hAnsi="Arial Narrow" w:cs="Calibri"/>
                <w:b/>
                <w:bCs/>
                <w:color w:val="000000" w:themeColor="text1"/>
                <w:sz w:val="12"/>
                <w:szCs w:val="12"/>
                <w:lang w:val="es-CO" w:eastAsia="es-CO"/>
              </w:rPr>
              <w:t xml:space="preserve"> </w:t>
            </w:r>
            <w:proofErr w:type="spellStart"/>
            <w:r w:rsidRPr="00ED2882">
              <w:rPr>
                <w:rFonts w:ascii="Arial Narrow" w:eastAsia="Times New Roman" w:hAnsi="Arial Narrow" w:cs="Calibri"/>
                <w:b/>
                <w:bCs/>
                <w:color w:val="000000" w:themeColor="text1"/>
                <w:sz w:val="12"/>
                <w:szCs w:val="12"/>
                <w:lang w:val="es-CO" w:eastAsia="es-CO"/>
              </w:rPr>
              <w:t>Ap</w:t>
            </w:r>
            <w:proofErr w:type="spellEnd"/>
            <w:r w:rsidRPr="00ED2882">
              <w:rPr>
                <w:rFonts w:ascii="Arial Narrow" w:eastAsia="Times New Roman" w:hAnsi="Arial Narrow" w:cs="Calibri"/>
                <w:b/>
                <w:bCs/>
                <w:color w:val="000000" w:themeColor="text1"/>
                <w:sz w:val="12"/>
                <w:szCs w:val="12"/>
                <w:lang w:val="es-CO" w:eastAsia="es-CO"/>
              </w:rPr>
              <w:t xml:space="preserve"> + </w:t>
            </w:r>
            <w:proofErr w:type="spellStart"/>
            <w:r w:rsidRPr="00ED2882">
              <w:rPr>
                <w:rFonts w:ascii="Arial Narrow" w:eastAsia="Times New Roman" w:hAnsi="Arial Narrow" w:cs="Calibri"/>
                <w:b/>
                <w:bCs/>
                <w:color w:val="000000" w:themeColor="text1"/>
                <w:sz w:val="12"/>
                <w:szCs w:val="12"/>
                <w:lang w:val="es-CO" w:eastAsia="es-CO"/>
              </w:rPr>
              <w:t>Ahp</w:t>
            </w:r>
            <w:proofErr w:type="spellEnd"/>
            <w:r w:rsidRPr="00ED2882">
              <w:rPr>
                <w:rFonts w:ascii="Arial Narrow" w:eastAsia="Times New Roman" w:hAnsi="Arial Narrow" w:cs="Calibri"/>
                <w:b/>
                <w:bCs/>
                <w:color w:val="000000" w:themeColor="text1"/>
                <w:sz w:val="12"/>
                <w:szCs w:val="12"/>
                <w:lang w:val="es-CO" w:eastAsia="es-CO"/>
              </w:rPr>
              <w:t xml:space="preserve"> / Ingresos </w:t>
            </w:r>
          </w:p>
        </w:tc>
        <w:tc>
          <w:tcPr>
            <w:tcW w:w="828" w:type="dxa"/>
            <w:gridSpan w:val="2"/>
            <w:tcBorders>
              <w:top w:val="single" w:sz="4" w:space="0" w:color="auto"/>
              <w:left w:val="nil"/>
              <w:bottom w:val="single" w:sz="4" w:space="0" w:color="auto"/>
              <w:right w:val="single" w:sz="4" w:space="0" w:color="auto"/>
            </w:tcBorders>
            <w:shd w:val="clear" w:color="000000" w:fill="000000"/>
            <w:vAlign w:val="center"/>
            <w:hideMark/>
          </w:tcPr>
          <w:p w14:paraId="7878F022" w14:textId="77777777" w:rsidR="00ED2882" w:rsidRPr="00ED2882" w:rsidRDefault="00ED2882" w:rsidP="003C5DE8">
            <w:pPr>
              <w:widowControl/>
              <w:autoSpaceDE/>
              <w:autoSpaceDN/>
              <w:jc w:val="center"/>
              <w:rPr>
                <w:rFonts w:ascii="Arial Narrow" w:eastAsia="Times New Roman" w:hAnsi="Arial Narrow" w:cs="Calibri"/>
                <w:b/>
                <w:bCs/>
                <w:color w:val="000000" w:themeColor="text1"/>
                <w:sz w:val="12"/>
                <w:szCs w:val="12"/>
                <w:lang w:val="es-CO" w:eastAsia="es-CO"/>
              </w:rPr>
            </w:pPr>
            <w:r w:rsidRPr="00ED2882">
              <w:rPr>
                <w:rFonts w:ascii="Arial Narrow" w:eastAsia="Times New Roman" w:hAnsi="Arial Narrow" w:cs="Calibri"/>
                <w:b/>
                <w:bCs/>
                <w:color w:val="000000" w:themeColor="text1"/>
                <w:sz w:val="12"/>
                <w:szCs w:val="12"/>
                <w:lang w:val="es-CO" w:eastAsia="es-CO"/>
              </w:rPr>
              <w:t xml:space="preserve"> </w:t>
            </w:r>
            <w:proofErr w:type="spellStart"/>
            <w:r w:rsidRPr="00ED2882">
              <w:rPr>
                <w:rFonts w:ascii="Arial Narrow" w:eastAsia="Times New Roman" w:hAnsi="Arial Narrow" w:cs="Calibri"/>
                <w:b/>
                <w:bCs/>
                <w:color w:val="000000" w:themeColor="text1"/>
                <w:sz w:val="12"/>
                <w:szCs w:val="12"/>
                <w:lang w:val="es-CO" w:eastAsia="es-CO"/>
              </w:rPr>
              <w:t>Desc</w:t>
            </w:r>
            <w:proofErr w:type="spellEnd"/>
            <w:r w:rsidRPr="00ED2882">
              <w:rPr>
                <w:rFonts w:ascii="Arial Narrow" w:eastAsia="Times New Roman" w:hAnsi="Arial Narrow" w:cs="Calibri"/>
                <w:b/>
                <w:bCs/>
                <w:color w:val="000000" w:themeColor="text1"/>
                <w:sz w:val="12"/>
                <w:szCs w:val="12"/>
                <w:lang w:val="es-CO" w:eastAsia="es-CO"/>
              </w:rPr>
              <w:t xml:space="preserve"> / </w:t>
            </w:r>
            <w:proofErr w:type="spellStart"/>
            <w:r w:rsidRPr="00ED2882">
              <w:rPr>
                <w:rFonts w:ascii="Arial Narrow" w:eastAsia="Times New Roman" w:hAnsi="Arial Narrow" w:cs="Calibri"/>
                <w:b/>
                <w:bCs/>
                <w:color w:val="000000" w:themeColor="text1"/>
                <w:sz w:val="12"/>
                <w:szCs w:val="12"/>
                <w:lang w:val="es-CO" w:eastAsia="es-CO"/>
              </w:rPr>
              <w:t>Ing</w:t>
            </w:r>
            <w:proofErr w:type="spellEnd"/>
            <w:r w:rsidRPr="00ED2882">
              <w:rPr>
                <w:rFonts w:ascii="Arial Narrow" w:eastAsia="Times New Roman" w:hAnsi="Arial Narrow" w:cs="Calibri"/>
                <w:b/>
                <w:bCs/>
                <w:color w:val="000000" w:themeColor="text1"/>
                <w:sz w:val="12"/>
                <w:szCs w:val="12"/>
                <w:lang w:val="es-CO" w:eastAsia="es-CO"/>
              </w:rPr>
              <w:t xml:space="preserve"> </w:t>
            </w:r>
          </w:p>
        </w:tc>
        <w:tc>
          <w:tcPr>
            <w:tcW w:w="828" w:type="dxa"/>
            <w:gridSpan w:val="2"/>
            <w:tcBorders>
              <w:top w:val="single" w:sz="4" w:space="0" w:color="auto"/>
              <w:left w:val="nil"/>
              <w:bottom w:val="single" w:sz="4" w:space="0" w:color="auto"/>
              <w:right w:val="single" w:sz="4" w:space="0" w:color="auto"/>
            </w:tcBorders>
            <w:shd w:val="clear" w:color="000000" w:fill="000000"/>
            <w:vAlign w:val="center"/>
            <w:hideMark/>
          </w:tcPr>
          <w:p w14:paraId="52A13200" w14:textId="77777777" w:rsidR="00ED2882" w:rsidRPr="00ED2882" w:rsidRDefault="00ED2882" w:rsidP="003C5DE8">
            <w:pPr>
              <w:widowControl/>
              <w:autoSpaceDE/>
              <w:autoSpaceDN/>
              <w:jc w:val="center"/>
              <w:rPr>
                <w:rFonts w:ascii="Arial Narrow" w:eastAsia="Times New Roman" w:hAnsi="Arial Narrow" w:cs="Calibri"/>
                <w:b/>
                <w:bCs/>
                <w:color w:val="000000" w:themeColor="text1"/>
                <w:sz w:val="12"/>
                <w:szCs w:val="12"/>
                <w:lang w:val="es-CO" w:eastAsia="es-CO"/>
              </w:rPr>
            </w:pPr>
            <w:r w:rsidRPr="00ED2882">
              <w:rPr>
                <w:rFonts w:ascii="Arial Narrow" w:eastAsia="Times New Roman" w:hAnsi="Arial Narrow" w:cs="Calibri"/>
                <w:b/>
                <w:bCs/>
                <w:color w:val="000000" w:themeColor="text1"/>
                <w:sz w:val="12"/>
                <w:szCs w:val="12"/>
                <w:lang w:val="es-CO" w:eastAsia="es-CO"/>
              </w:rPr>
              <w:t xml:space="preserve"> Var / </w:t>
            </w:r>
            <w:proofErr w:type="spellStart"/>
            <w:r w:rsidRPr="00ED2882">
              <w:rPr>
                <w:rFonts w:ascii="Arial Narrow" w:eastAsia="Times New Roman" w:hAnsi="Arial Narrow" w:cs="Calibri"/>
                <w:b/>
                <w:bCs/>
                <w:color w:val="000000" w:themeColor="text1"/>
                <w:sz w:val="12"/>
                <w:szCs w:val="12"/>
                <w:lang w:val="es-CO" w:eastAsia="es-CO"/>
              </w:rPr>
              <w:t>Ing</w:t>
            </w:r>
            <w:proofErr w:type="spellEnd"/>
            <w:r w:rsidRPr="00ED2882">
              <w:rPr>
                <w:rFonts w:ascii="Arial Narrow" w:eastAsia="Times New Roman" w:hAnsi="Arial Narrow" w:cs="Calibri"/>
                <w:b/>
                <w:bCs/>
                <w:color w:val="000000" w:themeColor="text1"/>
                <w:sz w:val="12"/>
                <w:szCs w:val="12"/>
                <w:lang w:val="es-CO" w:eastAsia="es-CO"/>
              </w:rPr>
              <w:t xml:space="preserve"> </w:t>
            </w:r>
          </w:p>
        </w:tc>
        <w:tc>
          <w:tcPr>
            <w:tcW w:w="646" w:type="dxa"/>
            <w:gridSpan w:val="2"/>
            <w:tcBorders>
              <w:top w:val="single" w:sz="4" w:space="0" w:color="auto"/>
              <w:left w:val="nil"/>
              <w:bottom w:val="single" w:sz="4" w:space="0" w:color="auto"/>
              <w:right w:val="single" w:sz="4" w:space="0" w:color="auto"/>
            </w:tcBorders>
            <w:shd w:val="clear" w:color="000000" w:fill="000000"/>
            <w:vAlign w:val="center"/>
            <w:hideMark/>
          </w:tcPr>
          <w:p w14:paraId="0D080857" w14:textId="77777777" w:rsidR="00ED2882" w:rsidRPr="00ED2882" w:rsidRDefault="00ED2882" w:rsidP="003C5DE8">
            <w:pPr>
              <w:widowControl/>
              <w:autoSpaceDE/>
              <w:autoSpaceDN/>
              <w:jc w:val="center"/>
              <w:rPr>
                <w:rFonts w:ascii="Arial Narrow" w:eastAsia="Times New Roman" w:hAnsi="Arial Narrow" w:cs="Calibri"/>
                <w:b/>
                <w:bCs/>
                <w:color w:val="000000" w:themeColor="text1"/>
                <w:sz w:val="12"/>
                <w:szCs w:val="12"/>
                <w:lang w:val="es-CO" w:eastAsia="es-CO"/>
              </w:rPr>
            </w:pPr>
            <w:r w:rsidRPr="00ED2882">
              <w:rPr>
                <w:rFonts w:ascii="Arial Narrow" w:eastAsia="Times New Roman" w:hAnsi="Arial Narrow" w:cs="Calibri"/>
                <w:b/>
                <w:bCs/>
                <w:color w:val="000000" w:themeColor="text1"/>
                <w:sz w:val="12"/>
                <w:szCs w:val="12"/>
                <w:lang w:val="es-CO" w:eastAsia="es-CO"/>
              </w:rPr>
              <w:t xml:space="preserve"> Mora Ext &gt;=C / </w:t>
            </w:r>
            <w:proofErr w:type="spellStart"/>
            <w:r w:rsidRPr="00ED2882">
              <w:rPr>
                <w:rFonts w:ascii="Arial Narrow" w:eastAsia="Times New Roman" w:hAnsi="Arial Narrow" w:cs="Calibri"/>
                <w:b/>
                <w:bCs/>
                <w:color w:val="000000" w:themeColor="text1"/>
                <w:sz w:val="12"/>
                <w:szCs w:val="12"/>
                <w:lang w:val="es-CO" w:eastAsia="es-CO"/>
              </w:rPr>
              <w:t>Ing</w:t>
            </w:r>
            <w:proofErr w:type="spellEnd"/>
            <w:r w:rsidRPr="00ED2882">
              <w:rPr>
                <w:rFonts w:ascii="Arial Narrow" w:eastAsia="Times New Roman" w:hAnsi="Arial Narrow" w:cs="Calibri"/>
                <w:b/>
                <w:bCs/>
                <w:color w:val="000000" w:themeColor="text1"/>
                <w:sz w:val="12"/>
                <w:szCs w:val="12"/>
                <w:lang w:val="es-CO" w:eastAsia="es-CO"/>
              </w:rPr>
              <w:t xml:space="preserve"> x 1,5 </w:t>
            </w:r>
          </w:p>
        </w:tc>
      </w:tr>
      <w:tr w:rsidR="00C95FDD" w:rsidRPr="003C5DE8" w14:paraId="3A4BCC0D" w14:textId="77777777" w:rsidTr="00ED2882">
        <w:trPr>
          <w:trHeight w:val="113"/>
        </w:trPr>
        <w:tc>
          <w:tcPr>
            <w:tcW w:w="414" w:type="dxa"/>
            <w:tcBorders>
              <w:top w:val="nil"/>
              <w:left w:val="single" w:sz="4" w:space="0" w:color="auto"/>
              <w:bottom w:val="single" w:sz="4" w:space="0" w:color="auto"/>
              <w:right w:val="single" w:sz="4" w:space="0" w:color="auto"/>
            </w:tcBorders>
            <w:shd w:val="clear" w:color="auto" w:fill="auto"/>
            <w:noWrap/>
            <w:vAlign w:val="center"/>
            <w:hideMark/>
          </w:tcPr>
          <w:p w14:paraId="64DF1D1F"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0</w:t>
            </w:r>
          </w:p>
        </w:tc>
        <w:tc>
          <w:tcPr>
            <w:tcW w:w="232" w:type="dxa"/>
            <w:tcBorders>
              <w:top w:val="nil"/>
              <w:left w:val="nil"/>
              <w:bottom w:val="single" w:sz="4" w:space="0" w:color="auto"/>
              <w:right w:val="single" w:sz="4" w:space="0" w:color="auto"/>
            </w:tcBorders>
            <w:shd w:val="clear" w:color="auto" w:fill="auto"/>
            <w:noWrap/>
            <w:vAlign w:val="center"/>
            <w:hideMark/>
          </w:tcPr>
          <w:p w14:paraId="5E6D12F7"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5</w:t>
            </w:r>
          </w:p>
        </w:tc>
        <w:tc>
          <w:tcPr>
            <w:tcW w:w="232" w:type="dxa"/>
            <w:tcBorders>
              <w:top w:val="nil"/>
              <w:left w:val="nil"/>
              <w:bottom w:val="single" w:sz="4" w:space="0" w:color="auto"/>
              <w:right w:val="single" w:sz="4" w:space="0" w:color="auto"/>
            </w:tcBorders>
            <w:shd w:val="clear" w:color="000000" w:fill="FCE4D6"/>
            <w:noWrap/>
            <w:vAlign w:val="center"/>
            <w:hideMark/>
          </w:tcPr>
          <w:p w14:paraId="197D6C5E"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1</w:t>
            </w:r>
          </w:p>
        </w:tc>
        <w:tc>
          <w:tcPr>
            <w:tcW w:w="232" w:type="dxa"/>
            <w:tcBorders>
              <w:top w:val="nil"/>
              <w:left w:val="nil"/>
              <w:bottom w:val="single" w:sz="4" w:space="0" w:color="auto"/>
              <w:right w:val="single" w:sz="4" w:space="0" w:color="auto"/>
            </w:tcBorders>
            <w:shd w:val="clear" w:color="000000" w:fill="FCE4D6"/>
            <w:noWrap/>
            <w:vAlign w:val="center"/>
            <w:hideMark/>
          </w:tcPr>
          <w:p w14:paraId="7BB3156E"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3</w:t>
            </w:r>
          </w:p>
        </w:tc>
        <w:tc>
          <w:tcPr>
            <w:tcW w:w="414" w:type="dxa"/>
            <w:tcBorders>
              <w:top w:val="nil"/>
              <w:left w:val="nil"/>
              <w:bottom w:val="single" w:sz="4" w:space="0" w:color="auto"/>
              <w:right w:val="single" w:sz="4" w:space="0" w:color="auto"/>
            </w:tcBorders>
            <w:shd w:val="clear" w:color="auto" w:fill="auto"/>
            <w:noWrap/>
            <w:vAlign w:val="center"/>
            <w:hideMark/>
          </w:tcPr>
          <w:p w14:paraId="204A2183"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A</w:t>
            </w:r>
          </w:p>
        </w:tc>
        <w:tc>
          <w:tcPr>
            <w:tcW w:w="232" w:type="dxa"/>
            <w:tcBorders>
              <w:top w:val="nil"/>
              <w:left w:val="nil"/>
              <w:bottom w:val="single" w:sz="4" w:space="0" w:color="auto"/>
              <w:right w:val="single" w:sz="4" w:space="0" w:color="auto"/>
            </w:tcBorders>
            <w:shd w:val="clear" w:color="auto" w:fill="auto"/>
            <w:noWrap/>
            <w:vAlign w:val="center"/>
            <w:hideMark/>
          </w:tcPr>
          <w:p w14:paraId="56F45E81"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0</w:t>
            </w:r>
          </w:p>
        </w:tc>
        <w:tc>
          <w:tcPr>
            <w:tcW w:w="433" w:type="dxa"/>
            <w:tcBorders>
              <w:top w:val="nil"/>
              <w:left w:val="nil"/>
              <w:bottom w:val="single" w:sz="4" w:space="0" w:color="auto"/>
              <w:right w:val="single" w:sz="4" w:space="0" w:color="auto"/>
            </w:tcBorders>
            <w:shd w:val="clear" w:color="000000" w:fill="FCE4D6"/>
            <w:noWrap/>
            <w:vAlign w:val="center"/>
            <w:hideMark/>
          </w:tcPr>
          <w:p w14:paraId="77DA5260"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A</w:t>
            </w:r>
          </w:p>
        </w:tc>
        <w:tc>
          <w:tcPr>
            <w:tcW w:w="243" w:type="dxa"/>
            <w:tcBorders>
              <w:top w:val="nil"/>
              <w:left w:val="nil"/>
              <w:bottom w:val="single" w:sz="4" w:space="0" w:color="auto"/>
              <w:right w:val="single" w:sz="4" w:space="0" w:color="auto"/>
            </w:tcBorders>
            <w:shd w:val="clear" w:color="000000" w:fill="FCE4D6"/>
            <w:noWrap/>
            <w:vAlign w:val="center"/>
            <w:hideMark/>
          </w:tcPr>
          <w:p w14:paraId="0D973313"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0</w:t>
            </w:r>
          </w:p>
        </w:tc>
        <w:tc>
          <w:tcPr>
            <w:tcW w:w="729" w:type="dxa"/>
            <w:tcBorders>
              <w:top w:val="nil"/>
              <w:left w:val="nil"/>
              <w:bottom w:val="single" w:sz="4" w:space="0" w:color="auto"/>
              <w:right w:val="single" w:sz="4" w:space="0" w:color="auto"/>
            </w:tcBorders>
            <w:shd w:val="clear" w:color="auto" w:fill="auto"/>
            <w:noWrap/>
            <w:vAlign w:val="center"/>
            <w:hideMark/>
          </w:tcPr>
          <w:p w14:paraId="7C8F1FAA"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0,00%</w:t>
            </w:r>
          </w:p>
        </w:tc>
        <w:tc>
          <w:tcPr>
            <w:tcW w:w="232" w:type="dxa"/>
            <w:tcBorders>
              <w:top w:val="nil"/>
              <w:left w:val="nil"/>
              <w:bottom w:val="single" w:sz="4" w:space="0" w:color="auto"/>
              <w:right w:val="single" w:sz="4" w:space="0" w:color="auto"/>
            </w:tcBorders>
            <w:shd w:val="clear" w:color="auto" w:fill="auto"/>
            <w:noWrap/>
            <w:vAlign w:val="center"/>
            <w:hideMark/>
          </w:tcPr>
          <w:p w14:paraId="19BEACB4"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0</w:t>
            </w:r>
          </w:p>
        </w:tc>
        <w:tc>
          <w:tcPr>
            <w:tcW w:w="414" w:type="dxa"/>
            <w:tcBorders>
              <w:top w:val="nil"/>
              <w:left w:val="nil"/>
              <w:bottom w:val="single" w:sz="4" w:space="0" w:color="auto"/>
              <w:right w:val="single" w:sz="4" w:space="0" w:color="auto"/>
            </w:tcBorders>
            <w:shd w:val="clear" w:color="000000" w:fill="FCE4D6"/>
            <w:noWrap/>
            <w:vAlign w:val="center"/>
            <w:hideMark/>
          </w:tcPr>
          <w:p w14:paraId="42F43741"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0</w:t>
            </w:r>
          </w:p>
        </w:tc>
        <w:tc>
          <w:tcPr>
            <w:tcW w:w="232" w:type="dxa"/>
            <w:tcBorders>
              <w:top w:val="nil"/>
              <w:left w:val="nil"/>
              <w:bottom w:val="single" w:sz="4" w:space="0" w:color="auto"/>
              <w:right w:val="single" w:sz="4" w:space="0" w:color="auto"/>
            </w:tcBorders>
            <w:shd w:val="clear" w:color="000000" w:fill="FCE4D6"/>
            <w:noWrap/>
            <w:vAlign w:val="center"/>
            <w:hideMark/>
          </w:tcPr>
          <w:p w14:paraId="2DF8857E"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0</w:t>
            </w:r>
          </w:p>
        </w:tc>
        <w:tc>
          <w:tcPr>
            <w:tcW w:w="414" w:type="dxa"/>
            <w:tcBorders>
              <w:top w:val="nil"/>
              <w:left w:val="nil"/>
              <w:bottom w:val="single" w:sz="4" w:space="0" w:color="auto"/>
              <w:right w:val="single" w:sz="4" w:space="0" w:color="auto"/>
            </w:tcBorders>
            <w:shd w:val="clear" w:color="auto" w:fill="auto"/>
            <w:noWrap/>
            <w:vAlign w:val="center"/>
            <w:hideMark/>
          </w:tcPr>
          <w:p w14:paraId="3225F430"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0</w:t>
            </w:r>
          </w:p>
        </w:tc>
        <w:tc>
          <w:tcPr>
            <w:tcW w:w="232" w:type="dxa"/>
            <w:tcBorders>
              <w:top w:val="nil"/>
              <w:left w:val="nil"/>
              <w:bottom w:val="single" w:sz="4" w:space="0" w:color="auto"/>
              <w:right w:val="single" w:sz="4" w:space="0" w:color="auto"/>
            </w:tcBorders>
            <w:shd w:val="clear" w:color="auto" w:fill="auto"/>
            <w:noWrap/>
            <w:vAlign w:val="center"/>
            <w:hideMark/>
          </w:tcPr>
          <w:p w14:paraId="75159EDD"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5</w:t>
            </w:r>
          </w:p>
        </w:tc>
        <w:tc>
          <w:tcPr>
            <w:tcW w:w="414" w:type="dxa"/>
            <w:tcBorders>
              <w:top w:val="nil"/>
              <w:left w:val="nil"/>
              <w:bottom w:val="single" w:sz="4" w:space="0" w:color="auto"/>
              <w:right w:val="single" w:sz="4" w:space="0" w:color="auto"/>
            </w:tcBorders>
            <w:shd w:val="clear" w:color="000000" w:fill="FCE4D6"/>
            <w:noWrap/>
            <w:vAlign w:val="center"/>
            <w:hideMark/>
          </w:tcPr>
          <w:p w14:paraId="597C84C9"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0</w:t>
            </w:r>
          </w:p>
        </w:tc>
        <w:tc>
          <w:tcPr>
            <w:tcW w:w="414" w:type="dxa"/>
            <w:tcBorders>
              <w:top w:val="nil"/>
              <w:left w:val="nil"/>
              <w:bottom w:val="single" w:sz="4" w:space="0" w:color="auto"/>
              <w:right w:val="single" w:sz="4" w:space="0" w:color="auto"/>
            </w:tcBorders>
            <w:shd w:val="clear" w:color="000000" w:fill="FCE4D6"/>
            <w:noWrap/>
            <w:vAlign w:val="center"/>
            <w:hideMark/>
          </w:tcPr>
          <w:p w14:paraId="18FF00A4"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0</w:t>
            </w:r>
          </w:p>
        </w:tc>
        <w:tc>
          <w:tcPr>
            <w:tcW w:w="414" w:type="dxa"/>
            <w:tcBorders>
              <w:top w:val="nil"/>
              <w:left w:val="nil"/>
              <w:bottom w:val="single" w:sz="4" w:space="0" w:color="auto"/>
              <w:right w:val="single" w:sz="4" w:space="0" w:color="auto"/>
            </w:tcBorders>
            <w:shd w:val="clear" w:color="auto" w:fill="auto"/>
            <w:noWrap/>
            <w:vAlign w:val="center"/>
            <w:hideMark/>
          </w:tcPr>
          <w:p w14:paraId="09C86375"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0</w:t>
            </w:r>
          </w:p>
        </w:tc>
        <w:tc>
          <w:tcPr>
            <w:tcW w:w="414" w:type="dxa"/>
            <w:tcBorders>
              <w:top w:val="nil"/>
              <w:left w:val="nil"/>
              <w:bottom w:val="single" w:sz="4" w:space="0" w:color="auto"/>
              <w:right w:val="single" w:sz="4" w:space="0" w:color="auto"/>
            </w:tcBorders>
            <w:shd w:val="clear" w:color="auto" w:fill="auto"/>
            <w:noWrap/>
            <w:vAlign w:val="center"/>
            <w:hideMark/>
          </w:tcPr>
          <w:p w14:paraId="679C24BE"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0</w:t>
            </w:r>
          </w:p>
        </w:tc>
        <w:tc>
          <w:tcPr>
            <w:tcW w:w="414" w:type="dxa"/>
            <w:tcBorders>
              <w:top w:val="nil"/>
              <w:left w:val="nil"/>
              <w:bottom w:val="single" w:sz="4" w:space="0" w:color="auto"/>
              <w:right w:val="single" w:sz="4" w:space="0" w:color="auto"/>
            </w:tcBorders>
            <w:shd w:val="clear" w:color="000000" w:fill="FCE4D6"/>
            <w:noWrap/>
            <w:vAlign w:val="center"/>
            <w:hideMark/>
          </w:tcPr>
          <w:p w14:paraId="6C3A716D"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0</w:t>
            </w:r>
          </w:p>
        </w:tc>
        <w:tc>
          <w:tcPr>
            <w:tcW w:w="232" w:type="dxa"/>
            <w:tcBorders>
              <w:top w:val="nil"/>
              <w:left w:val="nil"/>
              <w:bottom w:val="single" w:sz="4" w:space="0" w:color="auto"/>
              <w:right w:val="single" w:sz="4" w:space="0" w:color="auto"/>
            </w:tcBorders>
            <w:shd w:val="clear" w:color="000000" w:fill="FCE4D6"/>
            <w:noWrap/>
            <w:vAlign w:val="center"/>
            <w:hideMark/>
          </w:tcPr>
          <w:p w14:paraId="191E4BBA"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0</w:t>
            </w:r>
          </w:p>
        </w:tc>
      </w:tr>
      <w:tr w:rsidR="00C95FDD" w:rsidRPr="003C5DE8" w14:paraId="4D2EF804" w14:textId="77777777" w:rsidTr="00ED2882">
        <w:trPr>
          <w:trHeight w:val="113"/>
        </w:trPr>
        <w:tc>
          <w:tcPr>
            <w:tcW w:w="414" w:type="dxa"/>
            <w:tcBorders>
              <w:top w:val="nil"/>
              <w:left w:val="single" w:sz="4" w:space="0" w:color="auto"/>
              <w:bottom w:val="single" w:sz="4" w:space="0" w:color="auto"/>
              <w:right w:val="single" w:sz="4" w:space="0" w:color="auto"/>
            </w:tcBorders>
            <w:shd w:val="clear" w:color="auto" w:fill="auto"/>
            <w:noWrap/>
            <w:vAlign w:val="center"/>
            <w:hideMark/>
          </w:tcPr>
          <w:p w14:paraId="08DFF262"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2</w:t>
            </w:r>
          </w:p>
        </w:tc>
        <w:tc>
          <w:tcPr>
            <w:tcW w:w="232" w:type="dxa"/>
            <w:tcBorders>
              <w:top w:val="nil"/>
              <w:left w:val="nil"/>
              <w:bottom w:val="single" w:sz="4" w:space="0" w:color="auto"/>
              <w:right w:val="single" w:sz="4" w:space="0" w:color="auto"/>
            </w:tcBorders>
            <w:shd w:val="clear" w:color="auto" w:fill="auto"/>
            <w:noWrap/>
            <w:vAlign w:val="center"/>
            <w:hideMark/>
          </w:tcPr>
          <w:p w14:paraId="12623D0C"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4</w:t>
            </w:r>
          </w:p>
        </w:tc>
        <w:tc>
          <w:tcPr>
            <w:tcW w:w="232" w:type="dxa"/>
            <w:tcBorders>
              <w:top w:val="nil"/>
              <w:left w:val="nil"/>
              <w:bottom w:val="single" w:sz="4" w:space="0" w:color="auto"/>
              <w:right w:val="single" w:sz="4" w:space="0" w:color="auto"/>
            </w:tcBorders>
            <w:shd w:val="clear" w:color="000000" w:fill="FCE4D6"/>
            <w:noWrap/>
            <w:vAlign w:val="center"/>
            <w:hideMark/>
          </w:tcPr>
          <w:p w14:paraId="5DCCA59D"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2</w:t>
            </w:r>
          </w:p>
        </w:tc>
        <w:tc>
          <w:tcPr>
            <w:tcW w:w="232" w:type="dxa"/>
            <w:tcBorders>
              <w:top w:val="nil"/>
              <w:left w:val="nil"/>
              <w:bottom w:val="single" w:sz="4" w:space="0" w:color="auto"/>
              <w:right w:val="single" w:sz="4" w:space="0" w:color="auto"/>
            </w:tcBorders>
            <w:shd w:val="clear" w:color="000000" w:fill="FCE4D6"/>
            <w:noWrap/>
            <w:vAlign w:val="center"/>
            <w:hideMark/>
          </w:tcPr>
          <w:p w14:paraId="0EFA50FA"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1</w:t>
            </w:r>
          </w:p>
        </w:tc>
        <w:tc>
          <w:tcPr>
            <w:tcW w:w="414" w:type="dxa"/>
            <w:tcBorders>
              <w:top w:val="nil"/>
              <w:left w:val="nil"/>
              <w:bottom w:val="single" w:sz="4" w:space="0" w:color="auto"/>
              <w:right w:val="single" w:sz="4" w:space="0" w:color="auto"/>
            </w:tcBorders>
            <w:shd w:val="clear" w:color="auto" w:fill="auto"/>
            <w:noWrap/>
            <w:vAlign w:val="center"/>
            <w:hideMark/>
          </w:tcPr>
          <w:p w14:paraId="3401519A"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B</w:t>
            </w:r>
          </w:p>
        </w:tc>
        <w:tc>
          <w:tcPr>
            <w:tcW w:w="232" w:type="dxa"/>
            <w:tcBorders>
              <w:top w:val="nil"/>
              <w:left w:val="nil"/>
              <w:bottom w:val="single" w:sz="4" w:space="0" w:color="auto"/>
              <w:right w:val="single" w:sz="4" w:space="0" w:color="auto"/>
            </w:tcBorders>
            <w:shd w:val="clear" w:color="auto" w:fill="auto"/>
            <w:noWrap/>
            <w:vAlign w:val="center"/>
            <w:hideMark/>
          </w:tcPr>
          <w:p w14:paraId="31A43F10"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3</w:t>
            </w:r>
          </w:p>
        </w:tc>
        <w:tc>
          <w:tcPr>
            <w:tcW w:w="433" w:type="dxa"/>
            <w:tcBorders>
              <w:top w:val="nil"/>
              <w:left w:val="nil"/>
              <w:bottom w:val="single" w:sz="4" w:space="0" w:color="auto"/>
              <w:right w:val="single" w:sz="4" w:space="0" w:color="auto"/>
            </w:tcBorders>
            <w:shd w:val="clear" w:color="000000" w:fill="FCE4D6"/>
            <w:noWrap/>
            <w:vAlign w:val="center"/>
            <w:hideMark/>
          </w:tcPr>
          <w:p w14:paraId="0514128C"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B</w:t>
            </w:r>
          </w:p>
        </w:tc>
        <w:tc>
          <w:tcPr>
            <w:tcW w:w="243" w:type="dxa"/>
            <w:tcBorders>
              <w:top w:val="nil"/>
              <w:left w:val="nil"/>
              <w:bottom w:val="single" w:sz="4" w:space="0" w:color="auto"/>
              <w:right w:val="single" w:sz="4" w:space="0" w:color="auto"/>
            </w:tcBorders>
            <w:shd w:val="clear" w:color="000000" w:fill="FCE4D6"/>
            <w:noWrap/>
            <w:vAlign w:val="center"/>
            <w:hideMark/>
          </w:tcPr>
          <w:p w14:paraId="6E182E24"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3</w:t>
            </w:r>
          </w:p>
        </w:tc>
        <w:tc>
          <w:tcPr>
            <w:tcW w:w="729" w:type="dxa"/>
            <w:tcBorders>
              <w:top w:val="nil"/>
              <w:left w:val="nil"/>
              <w:bottom w:val="single" w:sz="4" w:space="0" w:color="auto"/>
              <w:right w:val="single" w:sz="4" w:space="0" w:color="auto"/>
            </w:tcBorders>
            <w:shd w:val="clear" w:color="auto" w:fill="auto"/>
            <w:noWrap/>
            <w:vAlign w:val="center"/>
            <w:hideMark/>
          </w:tcPr>
          <w:p w14:paraId="30AF1E81"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30,00%</w:t>
            </w:r>
          </w:p>
        </w:tc>
        <w:tc>
          <w:tcPr>
            <w:tcW w:w="232" w:type="dxa"/>
            <w:tcBorders>
              <w:top w:val="nil"/>
              <w:left w:val="nil"/>
              <w:bottom w:val="single" w:sz="4" w:space="0" w:color="auto"/>
              <w:right w:val="single" w:sz="4" w:space="0" w:color="auto"/>
            </w:tcBorders>
            <w:shd w:val="clear" w:color="auto" w:fill="auto"/>
            <w:noWrap/>
            <w:vAlign w:val="center"/>
            <w:hideMark/>
          </w:tcPr>
          <w:p w14:paraId="4932056B"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1</w:t>
            </w:r>
          </w:p>
        </w:tc>
        <w:tc>
          <w:tcPr>
            <w:tcW w:w="414" w:type="dxa"/>
            <w:tcBorders>
              <w:top w:val="nil"/>
              <w:left w:val="nil"/>
              <w:bottom w:val="single" w:sz="4" w:space="0" w:color="auto"/>
              <w:right w:val="single" w:sz="4" w:space="0" w:color="auto"/>
            </w:tcBorders>
            <w:shd w:val="clear" w:color="000000" w:fill="FCE4D6"/>
            <w:noWrap/>
            <w:vAlign w:val="center"/>
            <w:hideMark/>
          </w:tcPr>
          <w:p w14:paraId="1F06A973"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10</w:t>
            </w:r>
          </w:p>
        </w:tc>
        <w:tc>
          <w:tcPr>
            <w:tcW w:w="232" w:type="dxa"/>
            <w:tcBorders>
              <w:top w:val="nil"/>
              <w:left w:val="nil"/>
              <w:bottom w:val="single" w:sz="4" w:space="0" w:color="auto"/>
              <w:right w:val="single" w:sz="4" w:space="0" w:color="auto"/>
            </w:tcBorders>
            <w:shd w:val="clear" w:color="000000" w:fill="FCE4D6"/>
            <w:noWrap/>
            <w:vAlign w:val="center"/>
            <w:hideMark/>
          </w:tcPr>
          <w:p w14:paraId="5D9F5081"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1</w:t>
            </w:r>
          </w:p>
        </w:tc>
        <w:tc>
          <w:tcPr>
            <w:tcW w:w="414" w:type="dxa"/>
            <w:tcBorders>
              <w:top w:val="nil"/>
              <w:left w:val="nil"/>
              <w:bottom w:val="single" w:sz="4" w:space="0" w:color="auto"/>
              <w:right w:val="single" w:sz="4" w:space="0" w:color="auto"/>
            </w:tcBorders>
            <w:shd w:val="clear" w:color="auto" w:fill="auto"/>
            <w:noWrap/>
            <w:vAlign w:val="center"/>
            <w:hideMark/>
          </w:tcPr>
          <w:p w14:paraId="43E059C0"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1</w:t>
            </w:r>
          </w:p>
        </w:tc>
        <w:tc>
          <w:tcPr>
            <w:tcW w:w="232" w:type="dxa"/>
            <w:tcBorders>
              <w:top w:val="nil"/>
              <w:left w:val="nil"/>
              <w:bottom w:val="single" w:sz="4" w:space="0" w:color="auto"/>
              <w:right w:val="single" w:sz="4" w:space="0" w:color="auto"/>
            </w:tcBorders>
            <w:shd w:val="clear" w:color="auto" w:fill="auto"/>
            <w:noWrap/>
            <w:vAlign w:val="center"/>
            <w:hideMark/>
          </w:tcPr>
          <w:p w14:paraId="10E00261"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4</w:t>
            </w:r>
          </w:p>
        </w:tc>
        <w:tc>
          <w:tcPr>
            <w:tcW w:w="414" w:type="dxa"/>
            <w:tcBorders>
              <w:top w:val="nil"/>
              <w:left w:val="nil"/>
              <w:bottom w:val="single" w:sz="4" w:space="0" w:color="auto"/>
              <w:right w:val="single" w:sz="4" w:space="0" w:color="auto"/>
            </w:tcBorders>
            <w:shd w:val="clear" w:color="000000" w:fill="FCE4D6"/>
            <w:noWrap/>
            <w:vAlign w:val="center"/>
            <w:hideMark/>
          </w:tcPr>
          <w:p w14:paraId="7CC7FEBA"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1</w:t>
            </w:r>
          </w:p>
        </w:tc>
        <w:tc>
          <w:tcPr>
            <w:tcW w:w="414" w:type="dxa"/>
            <w:tcBorders>
              <w:top w:val="nil"/>
              <w:left w:val="nil"/>
              <w:bottom w:val="single" w:sz="4" w:space="0" w:color="auto"/>
              <w:right w:val="single" w:sz="4" w:space="0" w:color="auto"/>
            </w:tcBorders>
            <w:shd w:val="clear" w:color="000000" w:fill="FCE4D6"/>
            <w:noWrap/>
            <w:vAlign w:val="center"/>
            <w:hideMark/>
          </w:tcPr>
          <w:p w14:paraId="1F842E51"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1</w:t>
            </w:r>
          </w:p>
        </w:tc>
        <w:tc>
          <w:tcPr>
            <w:tcW w:w="414" w:type="dxa"/>
            <w:tcBorders>
              <w:top w:val="nil"/>
              <w:left w:val="nil"/>
              <w:bottom w:val="single" w:sz="4" w:space="0" w:color="auto"/>
              <w:right w:val="single" w:sz="4" w:space="0" w:color="auto"/>
            </w:tcBorders>
            <w:shd w:val="clear" w:color="auto" w:fill="auto"/>
            <w:noWrap/>
            <w:vAlign w:val="center"/>
            <w:hideMark/>
          </w:tcPr>
          <w:p w14:paraId="2CF19FEF"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1</w:t>
            </w:r>
          </w:p>
        </w:tc>
        <w:tc>
          <w:tcPr>
            <w:tcW w:w="414" w:type="dxa"/>
            <w:tcBorders>
              <w:top w:val="nil"/>
              <w:left w:val="nil"/>
              <w:bottom w:val="single" w:sz="4" w:space="0" w:color="auto"/>
              <w:right w:val="single" w:sz="4" w:space="0" w:color="auto"/>
            </w:tcBorders>
            <w:shd w:val="clear" w:color="auto" w:fill="auto"/>
            <w:noWrap/>
            <w:vAlign w:val="center"/>
            <w:hideMark/>
          </w:tcPr>
          <w:p w14:paraId="4C916ABE"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1</w:t>
            </w:r>
          </w:p>
        </w:tc>
        <w:tc>
          <w:tcPr>
            <w:tcW w:w="414" w:type="dxa"/>
            <w:tcBorders>
              <w:top w:val="nil"/>
              <w:left w:val="nil"/>
              <w:bottom w:val="single" w:sz="4" w:space="0" w:color="auto"/>
              <w:right w:val="single" w:sz="4" w:space="0" w:color="auto"/>
            </w:tcBorders>
            <w:shd w:val="clear" w:color="000000" w:fill="FCE4D6"/>
            <w:noWrap/>
            <w:vAlign w:val="center"/>
            <w:hideMark/>
          </w:tcPr>
          <w:p w14:paraId="01B8C97A"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0,5</w:t>
            </w:r>
          </w:p>
        </w:tc>
        <w:tc>
          <w:tcPr>
            <w:tcW w:w="232" w:type="dxa"/>
            <w:tcBorders>
              <w:top w:val="nil"/>
              <w:left w:val="nil"/>
              <w:bottom w:val="single" w:sz="4" w:space="0" w:color="auto"/>
              <w:right w:val="single" w:sz="4" w:space="0" w:color="auto"/>
            </w:tcBorders>
            <w:shd w:val="clear" w:color="000000" w:fill="FCE4D6"/>
            <w:noWrap/>
            <w:vAlign w:val="center"/>
            <w:hideMark/>
          </w:tcPr>
          <w:p w14:paraId="2916079E"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1</w:t>
            </w:r>
          </w:p>
        </w:tc>
      </w:tr>
      <w:tr w:rsidR="00C95FDD" w:rsidRPr="003C5DE8" w14:paraId="133F79A9" w14:textId="77777777" w:rsidTr="00ED2882">
        <w:trPr>
          <w:trHeight w:val="113"/>
        </w:trPr>
        <w:tc>
          <w:tcPr>
            <w:tcW w:w="414" w:type="dxa"/>
            <w:tcBorders>
              <w:top w:val="nil"/>
              <w:left w:val="single" w:sz="4" w:space="0" w:color="auto"/>
              <w:bottom w:val="single" w:sz="4" w:space="0" w:color="auto"/>
              <w:right w:val="single" w:sz="4" w:space="0" w:color="auto"/>
            </w:tcBorders>
            <w:shd w:val="clear" w:color="auto" w:fill="auto"/>
            <w:noWrap/>
            <w:vAlign w:val="center"/>
            <w:hideMark/>
          </w:tcPr>
          <w:p w14:paraId="1DED841A"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3</w:t>
            </w:r>
          </w:p>
        </w:tc>
        <w:tc>
          <w:tcPr>
            <w:tcW w:w="232" w:type="dxa"/>
            <w:tcBorders>
              <w:top w:val="nil"/>
              <w:left w:val="nil"/>
              <w:bottom w:val="single" w:sz="4" w:space="0" w:color="auto"/>
              <w:right w:val="single" w:sz="4" w:space="0" w:color="auto"/>
            </w:tcBorders>
            <w:shd w:val="clear" w:color="auto" w:fill="auto"/>
            <w:noWrap/>
            <w:vAlign w:val="center"/>
            <w:hideMark/>
          </w:tcPr>
          <w:p w14:paraId="3BF19A55"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3</w:t>
            </w:r>
          </w:p>
        </w:tc>
        <w:tc>
          <w:tcPr>
            <w:tcW w:w="232" w:type="dxa"/>
            <w:tcBorders>
              <w:top w:val="nil"/>
              <w:left w:val="nil"/>
              <w:bottom w:val="single" w:sz="4" w:space="0" w:color="auto"/>
              <w:right w:val="single" w:sz="4" w:space="0" w:color="auto"/>
            </w:tcBorders>
            <w:shd w:val="clear" w:color="000000" w:fill="FCE4D6"/>
            <w:noWrap/>
            <w:vAlign w:val="center"/>
            <w:hideMark/>
          </w:tcPr>
          <w:p w14:paraId="3EBA9442"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3</w:t>
            </w:r>
          </w:p>
        </w:tc>
        <w:tc>
          <w:tcPr>
            <w:tcW w:w="232" w:type="dxa"/>
            <w:tcBorders>
              <w:top w:val="nil"/>
              <w:left w:val="nil"/>
              <w:bottom w:val="single" w:sz="4" w:space="0" w:color="auto"/>
              <w:right w:val="single" w:sz="4" w:space="0" w:color="auto"/>
            </w:tcBorders>
            <w:shd w:val="clear" w:color="000000" w:fill="FCE4D6"/>
            <w:noWrap/>
            <w:vAlign w:val="center"/>
            <w:hideMark/>
          </w:tcPr>
          <w:p w14:paraId="16D6789A"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2</w:t>
            </w:r>
          </w:p>
        </w:tc>
        <w:tc>
          <w:tcPr>
            <w:tcW w:w="414" w:type="dxa"/>
            <w:tcBorders>
              <w:top w:val="nil"/>
              <w:left w:val="nil"/>
              <w:bottom w:val="single" w:sz="4" w:space="0" w:color="auto"/>
              <w:right w:val="single" w:sz="4" w:space="0" w:color="auto"/>
            </w:tcBorders>
            <w:shd w:val="clear" w:color="auto" w:fill="auto"/>
            <w:noWrap/>
            <w:vAlign w:val="center"/>
            <w:hideMark/>
          </w:tcPr>
          <w:p w14:paraId="3CDD7081"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C</w:t>
            </w:r>
          </w:p>
        </w:tc>
        <w:tc>
          <w:tcPr>
            <w:tcW w:w="232" w:type="dxa"/>
            <w:tcBorders>
              <w:top w:val="nil"/>
              <w:left w:val="nil"/>
              <w:bottom w:val="single" w:sz="4" w:space="0" w:color="auto"/>
              <w:right w:val="single" w:sz="4" w:space="0" w:color="auto"/>
            </w:tcBorders>
            <w:shd w:val="clear" w:color="auto" w:fill="auto"/>
            <w:noWrap/>
            <w:vAlign w:val="center"/>
            <w:hideMark/>
          </w:tcPr>
          <w:p w14:paraId="1631E66C"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5</w:t>
            </w:r>
          </w:p>
        </w:tc>
        <w:tc>
          <w:tcPr>
            <w:tcW w:w="433" w:type="dxa"/>
            <w:tcBorders>
              <w:top w:val="nil"/>
              <w:left w:val="nil"/>
              <w:bottom w:val="single" w:sz="4" w:space="0" w:color="auto"/>
              <w:right w:val="single" w:sz="4" w:space="0" w:color="auto"/>
            </w:tcBorders>
            <w:shd w:val="clear" w:color="000000" w:fill="FCE4D6"/>
            <w:noWrap/>
            <w:vAlign w:val="center"/>
            <w:hideMark/>
          </w:tcPr>
          <w:p w14:paraId="136183BF"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C</w:t>
            </w:r>
          </w:p>
        </w:tc>
        <w:tc>
          <w:tcPr>
            <w:tcW w:w="243" w:type="dxa"/>
            <w:tcBorders>
              <w:top w:val="nil"/>
              <w:left w:val="nil"/>
              <w:bottom w:val="single" w:sz="4" w:space="0" w:color="auto"/>
              <w:right w:val="single" w:sz="4" w:space="0" w:color="auto"/>
            </w:tcBorders>
            <w:shd w:val="clear" w:color="000000" w:fill="FCE4D6"/>
            <w:noWrap/>
            <w:vAlign w:val="center"/>
            <w:hideMark/>
          </w:tcPr>
          <w:p w14:paraId="1F07E6F1"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5</w:t>
            </w:r>
          </w:p>
        </w:tc>
        <w:tc>
          <w:tcPr>
            <w:tcW w:w="729" w:type="dxa"/>
            <w:tcBorders>
              <w:top w:val="nil"/>
              <w:left w:val="nil"/>
              <w:bottom w:val="single" w:sz="4" w:space="0" w:color="auto"/>
              <w:right w:val="single" w:sz="4" w:space="0" w:color="auto"/>
            </w:tcBorders>
            <w:shd w:val="clear" w:color="auto" w:fill="auto"/>
            <w:noWrap/>
            <w:vAlign w:val="center"/>
            <w:hideMark/>
          </w:tcPr>
          <w:p w14:paraId="0D337A01"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40,00%</w:t>
            </w:r>
          </w:p>
        </w:tc>
        <w:tc>
          <w:tcPr>
            <w:tcW w:w="232" w:type="dxa"/>
            <w:tcBorders>
              <w:top w:val="nil"/>
              <w:left w:val="nil"/>
              <w:bottom w:val="single" w:sz="4" w:space="0" w:color="auto"/>
              <w:right w:val="single" w:sz="4" w:space="0" w:color="auto"/>
            </w:tcBorders>
            <w:shd w:val="clear" w:color="auto" w:fill="auto"/>
            <w:noWrap/>
            <w:vAlign w:val="center"/>
            <w:hideMark/>
          </w:tcPr>
          <w:p w14:paraId="0ADC32A9"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2</w:t>
            </w:r>
          </w:p>
        </w:tc>
        <w:tc>
          <w:tcPr>
            <w:tcW w:w="414" w:type="dxa"/>
            <w:tcBorders>
              <w:top w:val="nil"/>
              <w:left w:val="nil"/>
              <w:bottom w:val="single" w:sz="4" w:space="0" w:color="auto"/>
              <w:right w:val="single" w:sz="4" w:space="0" w:color="auto"/>
            </w:tcBorders>
            <w:shd w:val="clear" w:color="000000" w:fill="FCE4D6"/>
            <w:noWrap/>
            <w:vAlign w:val="center"/>
            <w:hideMark/>
          </w:tcPr>
          <w:p w14:paraId="3C903D02"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15</w:t>
            </w:r>
          </w:p>
        </w:tc>
        <w:tc>
          <w:tcPr>
            <w:tcW w:w="232" w:type="dxa"/>
            <w:tcBorders>
              <w:top w:val="nil"/>
              <w:left w:val="nil"/>
              <w:bottom w:val="single" w:sz="4" w:space="0" w:color="auto"/>
              <w:right w:val="single" w:sz="4" w:space="0" w:color="auto"/>
            </w:tcBorders>
            <w:shd w:val="clear" w:color="000000" w:fill="FCE4D6"/>
            <w:noWrap/>
            <w:vAlign w:val="center"/>
            <w:hideMark/>
          </w:tcPr>
          <w:p w14:paraId="048157BD"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2</w:t>
            </w:r>
          </w:p>
        </w:tc>
        <w:tc>
          <w:tcPr>
            <w:tcW w:w="414" w:type="dxa"/>
            <w:tcBorders>
              <w:top w:val="nil"/>
              <w:left w:val="nil"/>
              <w:bottom w:val="single" w:sz="4" w:space="0" w:color="auto"/>
              <w:right w:val="single" w:sz="4" w:space="0" w:color="auto"/>
            </w:tcBorders>
            <w:shd w:val="clear" w:color="auto" w:fill="auto"/>
            <w:noWrap/>
            <w:vAlign w:val="center"/>
            <w:hideMark/>
          </w:tcPr>
          <w:p w14:paraId="710F9140"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2</w:t>
            </w:r>
          </w:p>
        </w:tc>
        <w:tc>
          <w:tcPr>
            <w:tcW w:w="232" w:type="dxa"/>
            <w:tcBorders>
              <w:top w:val="nil"/>
              <w:left w:val="nil"/>
              <w:bottom w:val="single" w:sz="4" w:space="0" w:color="auto"/>
              <w:right w:val="single" w:sz="4" w:space="0" w:color="auto"/>
            </w:tcBorders>
            <w:shd w:val="clear" w:color="auto" w:fill="auto"/>
            <w:noWrap/>
            <w:vAlign w:val="center"/>
            <w:hideMark/>
          </w:tcPr>
          <w:p w14:paraId="7D4428CD"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3</w:t>
            </w:r>
          </w:p>
        </w:tc>
        <w:tc>
          <w:tcPr>
            <w:tcW w:w="414" w:type="dxa"/>
            <w:tcBorders>
              <w:top w:val="nil"/>
              <w:left w:val="nil"/>
              <w:bottom w:val="single" w:sz="4" w:space="0" w:color="auto"/>
              <w:right w:val="single" w:sz="4" w:space="0" w:color="auto"/>
            </w:tcBorders>
            <w:shd w:val="clear" w:color="000000" w:fill="FCE4D6"/>
            <w:noWrap/>
            <w:vAlign w:val="center"/>
            <w:hideMark/>
          </w:tcPr>
          <w:p w14:paraId="3ADE37AF"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2</w:t>
            </w:r>
          </w:p>
        </w:tc>
        <w:tc>
          <w:tcPr>
            <w:tcW w:w="414" w:type="dxa"/>
            <w:tcBorders>
              <w:top w:val="nil"/>
              <w:left w:val="nil"/>
              <w:bottom w:val="single" w:sz="4" w:space="0" w:color="auto"/>
              <w:right w:val="single" w:sz="4" w:space="0" w:color="auto"/>
            </w:tcBorders>
            <w:shd w:val="clear" w:color="000000" w:fill="FCE4D6"/>
            <w:noWrap/>
            <w:vAlign w:val="center"/>
            <w:hideMark/>
          </w:tcPr>
          <w:p w14:paraId="7A0B0E1C"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2</w:t>
            </w:r>
          </w:p>
        </w:tc>
        <w:tc>
          <w:tcPr>
            <w:tcW w:w="414" w:type="dxa"/>
            <w:tcBorders>
              <w:top w:val="nil"/>
              <w:left w:val="nil"/>
              <w:bottom w:val="single" w:sz="4" w:space="0" w:color="auto"/>
              <w:right w:val="single" w:sz="4" w:space="0" w:color="auto"/>
            </w:tcBorders>
            <w:shd w:val="clear" w:color="auto" w:fill="auto"/>
            <w:noWrap/>
            <w:vAlign w:val="center"/>
            <w:hideMark/>
          </w:tcPr>
          <w:p w14:paraId="15294AB3"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2</w:t>
            </w:r>
          </w:p>
        </w:tc>
        <w:tc>
          <w:tcPr>
            <w:tcW w:w="414" w:type="dxa"/>
            <w:tcBorders>
              <w:top w:val="nil"/>
              <w:left w:val="nil"/>
              <w:bottom w:val="single" w:sz="4" w:space="0" w:color="auto"/>
              <w:right w:val="single" w:sz="4" w:space="0" w:color="auto"/>
            </w:tcBorders>
            <w:shd w:val="clear" w:color="auto" w:fill="auto"/>
            <w:noWrap/>
            <w:vAlign w:val="center"/>
            <w:hideMark/>
          </w:tcPr>
          <w:p w14:paraId="6C2378AF"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2</w:t>
            </w:r>
          </w:p>
        </w:tc>
        <w:tc>
          <w:tcPr>
            <w:tcW w:w="414" w:type="dxa"/>
            <w:tcBorders>
              <w:top w:val="nil"/>
              <w:left w:val="nil"/>
              <w:bottom w:val="single" w:sz="4" w:space="0" w:color="auto"/>
              <w:right w:val="single" w:sz="4" w:space="0" w:color="auto"/>
            </w:tcBorders>
            <w:shd w:val="clear" w:color="000000" w:fill="FCE4D6"/>
            <w:noWrap/>
            <w:vAlign w:val="center"/>
            <w:hideMark/>
          </w:tcPr>
          <w:p w14:paraId="27D9D29A"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1</w:t>
            </w:r>
          </w:p>
        </w:tc>
        <w:tc>
          <w:tcPr>
            <w:tcW w:w="232" w:type="dxa"/>
            <w:tcBorders>
              <w:top w:val="nil"/>
              <w:left w:val="nil"/>
              <w:bottom w:val="single" w:sz="4" w:space="0" w:color="auto"/>
              <w:right w:val="single" w:sz="4" w:space="0" w:color="auto"/>
            </w:tcBorders>
            <w:shd w:val="clear" w:color="000000" w:fill="FCE4D6"/>
            <w:noWrap/>
            <w:vAlign w:val="center"/>
            <w:hideMark/>
          </w:tcPr>
          <w:p w14:paraId="6A712FB1"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2</w:t>
            </w:r>
          </w:p>
        </w:tc>
      </w:tr>
      <w:tr w:rsidR="00C95FDD" w:rsidRPr="003C5DE8" w14:paraId="4752EF43" w14:textId="77777777" w:rsidTr="00ED2882">
        <w:trPr>
          <w:trHeight w:val="113"/>
        </w:trPr>
        <w:tc>
          <w:tcPr>
            <w:tcW w:w="414" w:type="dxa"/>
            <w:tcBorders>
              <w:top w:val="nil"/>
              <w:left w:val="single" w:sz="4" w:space="0" w:color="auto"/>
              <w:bottom w:val="single" w:sz="4" w:space="0" w:color="auto"/>
              <w:right w:val="single" w:sz="4" w:space="0" w:color="auto"/>
            </w:tcBorders>
            <w:shd w:val="clear" w:color="auto" w:fill="auto"/>
            <w:noWrap/>
            <w:vAlign w:val="center"/>
            <w:hideMark/>
          </w:tcPr>
          <w:p w14:paraId="052B1281"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4</w:t>
            </w:r>
          </w:p>
        </w:tc>
        <w:tc>
          <w:tcPr>
            <w:tcW w:w="232" w:type="dxa"/>
            <w:tcBorders>
              <w:top w:val="nil"/>
              <w:left w:val="nil"/>
              <w:bottom w:val="single" w:sz="4" w:space="0" w:color="auto"/>
              <w:right w:val="single" w:sz="4" w:space="0" w:color="auto"/>
            </w:tcBorders>
            <w:shd w:val="clear" w:color="auto" w:fill="auto"/>
            <w:noWrap/>
            <w:vAlign w:val="center"/>
            <w:hideMark/>
          </w:tcPr>
          <w:p w14:paraId="607184A0"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2</w:t>
            </w:r>
          </w:p>
        </w:tc>
        <w:tc>
          <w:tcPr>
            <w:tcW w:w="232" w:type="dxa"/>
            <w:tcBorders>
              <w:top w:val="nil"/>
              <w:left w:val="nil"/>
              <w:bottom w:val="single" w:sz="4" w:space="0" w:color="auto"/>
              <w:right w:val="single" w:sz="4" w:space="0" w:color="auto"/>
            </w:tcBorders>
            <w:shd w:val="clear" w:color="000000" w:fill="FCE4D6"/>
            <w:noWrap/>
            <w:vAlign w:val="center"/>
            <w:hideMark/>
          </w:tcPr>
          <w:p w14:paraId="7DF9DCF1"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4</w:t>
            </w:r>
          </w:p>
        </w:tc>
        <w:tc>
          <w:tcPr>
            <w:tcW w:w="232" w:type="dxa"/>
            <w:tcBorders>
              <w:top w:val="nil"/>
              <w:left w:val="nil"/>
              <w:bottom w:val="single" w:sz="4" w:space="0" w:color="auto"/>
              <w:right w:val="single" w:sz="4" w:space="0" w:color="auto"/>
            </w:tcBorders>
            <w:shd w:val="clear" w:color="000000" w:fill="FCE4D6"/>
            <w:noWrap/>
            <w:vAlign w:val="center"/>
            <w:hideMark/>
          </w:tcPr>
          <w:p w14:paraId="759DFC30"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5</w:t>
            </w:r>
          </w:p>
        </w:tc>
        <w:tc>
          <w:tcPr>
            <w:tcW w:w="414" w:type="dxa"/>
            <w:tcBorders>
              <w:top w:val="nil"/>
              <w:left w:val="nil"/>
              <w:bottom w:val="single" w:sz="4" w:space="0" w:color="auto"/>
              <w:right w:val="single" w:sz="4" w:space="0" w:color="auto"/>
            </w:tcBorders>
            <w:shd w:val="clear" w:color="auto" w:fill="auto"/>
            <w:noWrap/>
            <w:vAlign w:val="center"/>
            <w:hideMark/>
          </w:tcPr>
          <w:p w14:paraId="48E0BA58"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D</w:t>
            </w:r>
          </w:p>
        </w:tc>
        <w:tc>
          <w:tcPr>
            <w:tcW w:w="232" w:type="dxa"/>
            <w:tcBorders>
              <w:top w:val="nil"/>
              <w:left w:val="nil"/>
              <w:bottom w:val="single" w:sz="4" w:space="0" w:color="auto"/>
              <w:right w:val="single" w:sz="4" w:space="0" w:color="auto"/>
            </w:tcBorders>
            <w:shd w:val="clear" w:color="auto" w:fill="auto"/>
            <w:noWrap/>
            <w:vAlign w:val="center"/>
            <w:hideMark/>
          </w:tcPr>
          <w:p w14:paraId="70599403"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5</w:t>
            </w:r>
          </w:p>
        </w:tc>
        <w:tc>
          <w:tcPr>
            <w:tcW w:w="433" w:type="dxa"/>
            <w:tcBorders>
              <w:top w:val="nil"/>
              <w:left w:val="nil"/>
              <w:bottom w:val="single" w:sz="4" w:space="0" w:color="auto"/>
              <w:right w:val="single" w:sz="4" w:space="0" w:color="auto"/>
            </w:tcBorders>
            <w:shd w:val="clear" w:color="000000" w:fill="FCE4D6"/>
            <w:noWrap/>
            <w:vAlign w:val="center"/>
            <w:hideMark/>
          </w:tcPr>
          <w:p w14:paraId="37903352"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D</w:t>
            </w:r>
          </w:p>
        </w:tc>
        <w:tc>
          <w:tcPr>
            <w:tcW w:w="243" w:type="dxa"/>
            <w:tcBorders>
              <w:top w:val="nil"/>
              <w:left w:val="nil"/>
              <w:bottom w:val="single" w:sz="4" w:space="0" w:color="auto"/>
              <w:right w:val="single" w:sz="4" w:space="0" w:color="auto"/>
            </w:tcBorders>
            <w:shd w:val="clear" w:color="000000" w:fill="FCE4D6"/>
            <w:noWrap/>
            <w:vAlign w:val="center"/>
            <w:hideMark/>
          </w:tcPr>
          <w:p w14:paraId="320DB0EC"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5</w:t>
            </w:r>
          </w:p>
        </w:tc>
        <w:tc>
          <w:tcPr>
            <w:tcW w:w="729" w:type="dxa"/>
            <w:tcBorders>
              <w:top w:val="nil"/>
              <w:left w:val="nil"/>
              <w:bottom w:val="single" w:sz="4" w:space="0" w:color="auto"/>
              <w:right w:val="single" w:sz="4" w:space="0" w:color="auto"/>
            </w:tcBorders>
            <w:shd w:val="clear" w:color="auto" w:fill="auto"/>
            <w:noWrap/>
            <w:vAlign w:val="center"/>
            <w:hideMark/>
          </w:tcPr>
          <w:p w14:paraId="5249294C"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50,00%</w:t>
            </w:r>
          </w:p>
        </w:tc>
        <w:tc>
          <w:tcPr>
            <w:tcW w:w="232" w:type="dxa"/>
            <w:tcBorders>
              <w:top w:val="nil"/>
              <w:left w:val="nil"/>
              <w:bottom w:val="single" w:sz="4" w:space="0" w:color="auto"/>
              <w:right w:val="single" w:sz="4" w:space="0" w:color="auto"/>
            </w:tcBorders>
            <w:shd w:val="clear" w:color="auto" w:fill="auto"/>
            <w:noWrap/>
            <w:vAlign w:val="center"/>
            <w:hideMark/>
          </w:tcPr>
          <w:p w14:paraId="5BC22119"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3</w:t>
            </w:r>
          </w:p>
        </w:tc>
        <w:tc>
          <w:tcPr>
            <w:tcW w:w="414" w:type="dxa"/>
            <w:tcBorders>
              <w:top w:val="nil"/>
              <w:left w:val="nil"/>
              <w:bottom w:val="single" w:sz="4" w:space="0" w:color="auto"/>
              <w:right w:val="single" w:sz="4" w:space="0" w:color="auto"/>
            </w:tcBorders>
            <w:shd w:val="clear" w:color="000000" w:fill="FCE4D6"/>
            <w:noWrap/>
            <w:vAlign w:val="center"/>
            <w:hideMark/>
          </w:tcPr>
          <w:p w14:paraId="417CA9C7"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20</w:t>
            </w:r>
          </w:p>
        </w:tc>
        <w:tc>
          <w:tcPr>
            <w:tcW w:w="232" w:type="dxa"/>
            <w:tcBorders>
              <w:top w:val="nil"/>
              <w:left w:val="nil"/>
              <w:bottom w:val="single" w:sz="4" w:space="0" w:color="auto"/>
              <w:right w:val="single" w:sz="4" w:space="0" w:color="auto"/>
            </w:tcBorders>
            <w:shd w:val="clear" w:color="000000" w:fill="FCE4D6"/>
            <w:noWrap/>
            <w:vAlign w:val="center"/>
            <w:hideMark/>
          </w:tcPr>
          <w:p w14:paraId="668A0E22"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3</w:t>
            </w:r>
          </w:p>
        </w:tc>
        <w:tc>
          <w:tcPr>
            <w:tcW w:w="414" w:type="dxa"/>
            <w:tcBorders>
              <w:top w:val="nil"/>
              <w:left w:val="nil"/>
              <w:bottom w:val="single" w:sz="4" w:space="0" w:color="auto"/>
              <w:right w:val="single" w:sz="4" w:space="0" w:color="auto"/>
            </w:tcBorders>
            <w:shd w:val="clear" w:color="auto" w:fill="auto"/>
            <w:noWrap/>
            <w:vAlign w:val="center"/>
            <w:hideMark/>
          </w:tcPr>
          <w:p w14:paraId="594D1C32"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3</w:t>
            </w:r>
          </w:p>
        </w:tc>
        <w:tc>
          <w:tcPr>
            <w:tcW w:w="232" w:type="dxa"/>
            <w:tcBorders>
              <w:top w:val="nil"/>
              <w:left w:val="nil"/>
              <w:bottom w:val="single" w:sz="4" w:space="0" w:color="auto"/>
              <w:right w:val="single" w:sz="4" w:space="0" w:color="auto"/>
            </w:tcBorders>
            <w:shd w:val="clear" w:color="auto" w:fill="auto"/>
            <w:noWrap/>
            <w:vAlign w:val="center"/>
            <w:hideMark/>
          </w:tcPr>
          <w:p w14:paraId="7E3F8EF0"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2</w:t>
            </w:r>
          </w:p>
        </w:tc>
        <w:tc>
          <w:tcPr>
            <w:tcW w:w="414" w:type="dxa"/>
            <w:tcBorders>
              <w:top w:val="nil"/>
              <w:left w:val="nil"/>
              <w:bottom w:val="single" w:sz="4" w:space="0" w:color="auto"/>
              <w:right w:val="single" w:sz="4" w:space="0" w:color="auto"/>
            </w:tcBorders>
            <w:shd w:val="clear" w:color="000000" w:fill="FCE4D6"/>
            <w:noWrap/>
            <w:vAlign w:val="center"/>
            <w:hideMark/>
          </w:tcPr>
          <w:p w14:paraId="675B9927"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3</w:t>
            </w:r>
          </w:p>
        </w:tc>
        <w:tc>
          <w:tcPr>
            <w:tcW w:w="414" w:type="dxa"/>
            <w:tcBorders>
              <w:top w:val="nil"/>
              <w:left w:val="nil"/>
              <w:bottom w:val="single" w:sz="4" w:space="0" w:color="auto"/>
              <w:right w:val="single" w:sz="4" w:space="0" w:color="auto"/>
            </w:tcBorders>
            <w:shd w:val="clear" w:color="000000" w:fill="FCE4D6"/>
            <w:noWrap/>
            <w:vAlign w:val="center"/>
            <w:hideMark/>
          </w:tcPr>
          <w:p w14:paraId="400F52B2"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3</w:t>
            </w:r>
          </w:p>
        </w:tc>
        <w:tc>
          <w:tcPr>
            <w:tcW w:w="414" w:type="dxa"/>
            <w:tcBorders>
              <w:top w:val="nil"/>
              <w:left w:val="nil"/>
              <w:bottom w:val="single" w:sz="4" w:space="0" w:color="auto"/>
              <w:right w:val="single" w:sz="4" w:space="0" w:color="auto"/>
            </w:tcBorders>
            <w:shd w:val="clear" w:color="auto" w:fill="auto"/>
            <w:noWrap/>
            <w:vAlign w:val="center"/>
            <w:hideMark/>
          </w:tcPr>
          <w:p w14:paraId="26E4553A"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3</w:t>
            </w:r>
          </w:p>
        </w:tc>
        <w:tc>
          <w:tcPr>
            <w:tcW w:w="414" w:type="dxa"/>
            <w:tcBorders>
              <w:top w:val="nil"/>
              <w:left w:val="nil"/>
              <w:bottom w:val="single" w:sz="4" w:space="0" w:color="auto"/>
              <w:right w:val="single" w:sz="4" w:space="0" w:color="auto"/>
            </w:tcBorders>
            <w:shd w:val="clear" w:color="auto" w:fill="auto"/>
            <w:noWrap/>
            <w:vAlign w:val="center"/>
            <w:hideMark/>
          </w:tcPr>
          <w:p w14:paraId="20A64E64"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3</w:t>
            </w:r>
          </w:p>
        </w:tc>
        <w:tc>
          <w:tcPr>
            <w:tcW w:w="414" w:type="dxa"/>
            <w:tcBorders>
              <w:top w:val="nil"/>
              <w:left w:val="nil"/>
              <w:bottom w:val="single" w:sz="4" w:space="0" w:color="auto"/>
              <w:right w:val="single" w:sz="4" w:space="0" w:color="auto"/>
            </w:tcBorders>
            <w:shd w:val="clear" w:color="000000" w:fill="FCE4D6"/>
            <w:noWrap/>
            <w:vAlign w:val="center"/>
            <w:hideMark/>
          </w:tcPr>
          <w:p w14:paraId="271A0E46"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1,5</w:t>
            </w:r>
          </w:p>
        </w:tc>
        <w:tc>
          <w:tcPr>
            <w:tcW w:w="232" w:type="dxa"/>
            <w:tcBorders>
              <w:top w:val="nil"/>
              <w:left w:val="nil"/>
              <w:bottom w:val="single" w:sz="4" w:space="0" w:color="auto"/>
              <w:right w:val="single" w:sz="4" w:space="0" w:color="auto"/>
            </w:tcBorders>
            <w:shd w:val="clear" w:color="000000" w:fill="FCE4D6"/>
            <w:noWrap/>
            <w:vAlign w:val="center"/>
            <w:hideMark/>
          </w:tcPr>
          <w:p w14:paraId="2DA252E5"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3</w:t>
            </w:r>
          </w:p>
        </w:tc>
      </w:tr>
      <w:tr w:rsidR="00C95FDD" w:rsidRPr="003C5DE8" w14:paraId="10293FCF" w14:textId="77777777" w:rsidTr="00ED2882">
        <w:trPr>
          <w:trHeight w:val="113"/>
        </w:trPr>
        <w:tc>
          <w:tcPr>
            <w:tcW w:w="414" w:type="dxa"/>
            <w:tcBorders>
              <w:top w:val="nil"/>
              <w:left w:val="single" w:sz="4" w:space="0" w:color="auto"/>
              <w:bottom w:val="single" w:sz="4" w:space="0" w:color="auto"/>
              <w:right w:val="single" w:sz="4" w:space="0" w:color="auto"/>
            </w:tcBorders>
            <w:shd w:val="clear" w:color="auto" w:fill="auto"/>
            <w:noWrap/>
            <w:vAlign w:val="center"/>
            <w:hideMark/>
          </w:tcPr>
          <w:p w14:paraId="53B1AF89"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5</w:t>
            </w:r>
          </w:p>
        </w:tc>
        <w:tc>
          <w:tcPr>
            <w:tcW w:w="232" w:type="dxa"/>
            <w:tcBorders>
              <w:top w:val="nil"/>
              <w:left w:val="nil"/>
              <w:bottom w:val="single" w:sz="4" w:space="0" w:color="auto"/>
              <w:right w:val="single" w:sz="4" w:space="0" w:color="auto"/>
            </w:tcBorders>
            <w:shd w:val="clear" w:color="auto" w:fill="auto"/>
            <w:noWrap/>
            <w:vAlign w:val="center"/>
            <w:hideMark/>
          </w:tcPr>
          <w:p w14:paraId="62A7FE92"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1</w:t>
            </w:r>
          </w:p>
        </w:tc>
        <w:tc>
          <w:tcPr>
            <w:tcW w:w="232" w:type="dxa"/>
            <w:tcBorders>
              <w:top w:val="nil"/>
              <w:left w:val="nil"/>
              <w:bottom w:val="single" w:sz="4" w:space="0" w:color="auto"/>
              <w:right w:val="single" w:sz="4" w:space="0" w:color="auto"/>
            </w:tcBorders>
            <w:shd w:val="clear" w:color="000000" w:fill="FCE4D6"/>
            <w:noWrap/>
            <w:vAlign w:val="center"/>
            <w:hideMark/>
          </w:tcPr>
          <w:p w14:paraId="61DE2524"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5</w:t>
            </w:r>
          </w:p>
        </w:tc>
        <w:tc>
          <w:tcPr>
            <w:tcW w:w="232" w:type="dxa"/>
            <w:tcBorders>
              <w:top w:val="nil"/>
              <w:left w:val="nil"/>
              <w:bottom w:val="single" w:sz="4" w:space="0" w:color="auto"/>
              <w:right w:val="single" w:sz="4" w:space="0" w:color="auto"/>
            </w:tcBorders>
            <w:shd w:val="clear" w:color="000000" w:fill="FCE4D6"/>
            <w:noWrap/>
            <w:vAlign w:val="center"/>
            <w:hideMark/>
          </w:tcPr>
          <w:p w14:paraId="2243CAD2"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4</w:t>
            </w:r>
          </w:p>
        </w:tc>
        <w:tc>
          <w:tcPr>
            <w:tcW w:w="414" w:type="dxa"/>
            <w:tcBorders>
              <w:top w:val="nil"/>
              <w:left w:val="nil"/>
              <w:bottom w:val="single" w:sz="4" w:space="0" w:color="auto"/>
              <w:right w:val="single" w:sz="4" w:space="0" w:color="auto"/>
            </w:tcBorders>
            <w:shd w:val="clear" w:color="auto" w:fill="auto"/>
            <w:noWrap/>
            <w:vAlign w:val="center"/>
            <w:hideMark/>
          </w:tcPr>
          <w:p w14:paraId="1DC88D9E"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E</w:t>
            </w:r>
          </w:p>
        </w:tc>
        <w:tc>
          <w:tcPr>
            <w:tcW w:w="232" w:type="dxa"/>
            <w:tcBorders>
              <w:top w:val="nil"/>
              <w:left w:val="nil"/>
              <w:bottom w:val="single" w:sz="4" w:space="0" w:color="auto"/>
              <w:right w:val="single" w:sz="4" w:space="0" w:color="auto"/>
            </w:tcBorders>
            <w:shd w:val="clear" w:color="auto" w:fill="auto"/>
            <w:noWrap/>
            <w:vAlign w:val="center"/>
            <w:hideMark/>
          </w:tcPr>
          <w:p w14:paraId="31EDAA23"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5</w:t>
            </w:r>
          </w:p>
        </w:tc>
        <w:tc>
          <w:tcPr>
            <w:tcW w:w="433" w:type="dxa"/>
            <w:tcBorders>
              <w:top w:val="nil"/>
              <w:left w:val="nil"/>
              <w:bottom w:val="single" w:sz="4" w:space="0" w:color="auto"/>
              <w:right w:val="single" w:sz="4" w:space="0" w:color="auto"/>
            </w:tcBorders>
            <w:shd w:val="clear" w:color="000000" w:fill="FCE4D6"/>
            <w:noWrap/>
            <w:vAlign w:val="center"/>
            <w:hideMark/>
          </w:tcPr>
          <w:p w14:paraId="05A4BBFD"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E</w:t>
            </w:r>
          </w:p>
        </w:tc>
        <w:tc>
          <w:tcPr>
            <w:tcW w:w="243" w:type="dxa"/>
            <w:tcBorders>
              <w:top w:val="nil"/>
              <w:left w:val="nil"/>
              <w:bottom w:val="single" w:sz="4" w:space="0" w:color="auto"/>
              <w:right w:val="single" w:sz="4" w:space="0" w:color="auto"/>
            </w:tcBorders>
            <w:shd w:val="clear" w:color="000000" w:fill="FCE4D6"/>
            <w:noWrap/>
            <w:vAlign w:val="center"/>
            <w:hideMark/>
          </w:tcPr>
          <w:p w14:paraId="1BCC8006"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5</w:t>
            </w:r>
          </w:p>
        </w:tc>
        <w:tc>
          <w:tcPr>
            <w:tcW w:w="729" w:type="dxa"/>
            <w:tcBorders>
              <w:top w:val="nil"/>
              <w:left w:val="nil"/>
              <w:bottom w:val="single" w:sz="4" w:space="0" w:color="auto"/>
              <w:right w:val="single" w:sz="4" w:space="0" w:color="auto"/>
            </w:tcBorders>
            <w:shd w:val="clear" w:color="auto" w:fill="auto"/>
            <w:noWrap/>
            <w:vAlign w:val="center"/>
            <w:hideMark/>
          </w:tcPr>
          <w:p w14:paraId="0F5838FB"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60,00%</w:t>
            </w:r>
          </w:p>
        </w:tc>
        <w:tc>
          <w:tcPr>
            <w:tcW w:w="232" w:type="dxa"/>
            <w:tcBorders>
              <w:top w:val="nil"/>
              <w:left w:val="nil"/>
              <w:bottom w:val="single" w:sz="4" w:space="0" w:color="auto"/>
              <w:right w:val="single" w:sz="4" w:space="0" w:color="auto"/>
            </w:tcBorders>
            <w:shd w:val="clear" w:color="auto" w:fill="auto"/>
            <w:noWrap/>
            <w:vAlign w:val="center"/>
            <w:hideMark/>
          </w:tcPr>
          <w:p w14:paraId="468E9DA5"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4</w:t>
            </w:r>
          </w:p>
        </w:tc>
        <w:tc>
          <w:tcPr>
            <w:tcW w:w="414" w:type="dxa"/>
            <w:tcBorders>
              <w:top w:val="nil"/>
              <w:left w:val="nil"/>
              <w:bottom w:val="single" w:sz="4" w:space="0" w:color="auto"/>
              <w:right w:val="single" w:sz="4" w:space="0" w:color="auto"/>
            </w:tcBorders>
            <w:shd w:val="clear" w:color="000000" w:fill="FCE4D6"/>
            <w:noWrap/>
            <w:vAlign w:val="center"/>
            <w:hideMark/>
          </w:tcPr>
          <w:p w14:paraId="6842A013"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25</w:t>
            </w:r>
          </w:p>
        </w:tc>
        <w:tc>
          <w:tcPr>
            <w:tcW w:w="232" w:type="dxa"/>
            <w:tcBorders>
              <w:top w:val="nil"/>
              <w:left w:val="nil"/>
              <w:bottom w:val="single" w:sz="4" w:space="0" w:color="auto"/>
              <w:right w:val="single" w:sz="4" w:space="0" w:color="auto"/>
            </w:tcBorders>
            <w:shd w:val="clear" w:color="000000" w:fill="FCE4D6"/>
            <w:noWrap/>
            <w:vAlign w:val="center"/>
            <w:hideMark/>
          </w:tcPr>
          <w:p w14:paraId="5F03F0A3"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4</w:t>
            </w:r>
          </w:p>
        </w:tc>
        <w:tc>
          <w:tcPr>
            <w:tcW w:w="414" w:type="dxa"/>
            <w:tcBorders>
              <w:top w:val="nil"/>
              <w:left w:val="nil"/>
              <w:bottom w:val="single" w:sz="4" w:space="0" w:color="auto"/>
              <w:right w:val="single" w:sz="4" w:space="0" w:color="auto"/>
            </w:tcBorders>
            <w:shd w:val="clear" w:color="auto" w:fill="auto"/>
            <w:noWrap/>
            <w:vAlign w:val="center"/>
            <w:hideMark/>
          </w:tcPr>
          <w:p w14:paraId="35338118"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4</w:t>
            </w:r>
          </w:p>
        </w:tc>
        <w:tc>
          <w:tcPr>
            <w:tcW w:w="232" w:type="dxa"/>
            <w:tcBorders>
              <w:top w:val="nil"/>
              <w:left w:val="nil"/>
              <w:bottom w:val="single" w:sz="4" w:space="0" w:color="auto"/>
              <w:right w:val="single" w:sz="4" w:space="0" w:color="auto"/>
            </w:tcBorders>
            <w:shd w:val="clear" w:color="auto" w:fill="auto"/>
            <w:noWrap/>
            <w:vAlign w:val="center"/>
            <w:hideMark/>
          </w:tcPr>
          <w:p w14:paraId="13EC546E"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1</w:t>
            </w:r>
          </w:p>
        </w:tc>
        <w:tc>
          <w:tcPr>
            <w:tcW w:w="414" w:type="dxa"/>
            <w:tcBorders>
              <w:top w:val="nil"/>
              <w:left w:val="nil"/>
              <w:bottom w:val="single" w:sz="4" w:space="0" w:color="auto"/>
              <w:right w:val="single" w:sz="4" w:space="0" w:color="auto"/>
            </w:tcBorders>
            <w:shd w:val="clear" w:color="000000" w:fill="FCE4D6"/>
            <w:noWrap/>
            <w:vAlign w:val="center"/>
            <w:hideMark/>
          </w:tcPr>
          <w:p w14:paraId="6C6FCA36"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4</w:t>
            </w:r>
          </w:p>
        </w:tc>
        <w:tc>
          <w:tcPr>
            <w:tcW w:w="414" w:type="dxa"/>
            <w:tcBorders>
              <w:top w:val="nil"/>
              <w:left w:val="nil"/>
              <w:bottom w:val="single" w:sz="4" w:space="0" w:color="auto"/>
              <w:right w:val="single" w:sz="4" w:space="0" w:color="auto"/>
            </w:tcBorders>
            <w:shd w:val="clear" w:color="000000" w:fill="FCE4D6"/>
            <w:noWrap/>
            <w:vAlign w:val="center"/>
            <w:hideMark/>
          </w:tcPr>
          <w:p w14:paraId="17AD7A0C"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4</w:t>
            </w:r>
          </w:p>
        </w:tc>
        <w:tc>
          <w:tcPr>
            <w:tcW w:w="414" w:type="dxa"/>
            <w:tcBorders>
              <w:top w:val="nil"/>
              <w:left w:val="nil"/>
              <w:bottom w:val="single" w:sz="4" w:space="0" w:color="auto"/>
              <w:right w:val="single" w:sz="4" w:space="0" w:color="auto"/>
            </w:tcBorders>
            <w:shd w:val="clear" w:color="auto" w:fill="auto"/>
            <w:noWrap/>
            <w:vAlign w:val="center"/>
            <w:hideMark/>
          </w:tcPr>
          <w:p w14:paraId="752FDEB8"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4</w:t>
            </w:r>
          </w:p>
        </w:tc>
        <w:tc>
          <w:tcPr>
            <w:tcW w:w="414" w:type="dxa"/>
            <w:tcBorders>
              <w:top w:val="nil"/>
              <w:left w:val="nil"/>
              <w:bottom w:val="single" w:sz="4" w:space="0" w:color="auto"/>
              <w:right w:val="single" w:sz="4" w:space="0" w:color="auto"/>
            </w:tcBorders>
            <w:shd w:val="clear" w:color="auto" w:fill="auto"/>
            <w:noWrap/>
            <w:vAlign w:val="center"/>
            <w:hideMark/>
          </w:tcPr>
          <w:p w14:paraId="48803A2B"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4</w:t>
            </w:r>
          </w:p>
        </w:tc>
        <w:tc>
          <w:tcPr>
            <w:tcW w:w="414" w:type="dxa"/>
            <w:tcBorders>
              <w:top w:val="nil"/>
              <w:left w:val="nil"/>
              <w:bottom w:val="single" w:sz="4" w:space="0" w:color="auto"/>
              <w:right w:val="single" w:sz="4" w:space="0" w:color="auto"/>
            </w:tcBorders>
            <w:shd w:val="clear" w:color="000000" w:fill="FCE4D6"/>
            <w:noWrap/>
            <w:vAlign w:val="center"/>
            <w:hideMark/>
          </w:tcPr>
          <w:p w14:paraId="7A44713D"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2</w:t>
            </w:r>
          </w:p>
        </w:tc>
        <w:tc>
          <w:tcPr>
            <w:tcW w:w="232" w:type="dxa"/>
            <w:tcBorders>
              <w:top w:val="nil"/>
              <w:left w:val="nil"/>
              <w:bottom w:val="single" w:sz="4" w:space="0" w:color="auto"/>
              <w:right w:val="single" w:sz="4" w:space="0" w:color="auto"/>
            </w:tcBorders>
            <w:shd w:val="clear" w:color="000000" w:fill="FCE4D6"/>
            <w:noWrap/>
            <w:vAlign w:val="center"/>
            <w:hideMark/>
          </w:tcPr>
          <w:p w14:paraId="2EB92766"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4</w:t>
            </w:r>
          </w:p>
        </w:tc>
      </w:tr>
      <w:tr w:rsidR="00C95FDD" w:rsidRPr="003C5DE8" w14:paraId="44290E02" w14:textId="77777777" w:rsidTr="00ED2882">
        <w:trPr>
          <w:trHeight w:val="113"/>
        </w:trPr>
        <w:tc>
          <w:tcPr>
            <w:tcW w:w="414" w:type="dxa"/>
            <w:tcBorders>
              <w:top w:val="nil"/>
              <w:left w:val="single" w:sz="4" w:space="0" w:color="auto"/>
              <w:bottom w:val="single" w:sz="4" w:space="0" w:color="auto"/>
              <w:right w:val="single" w:sz="4" w:space="0" w:color="auto"/>
            </w:tcBorders>
            <w:shd w:val="clear" w:color="auto" w:fill="auto"/>
            <w:noWrap/>
            <w:vAlign w:val="center"/>
            <w:hideMark/>
          </w:tcPr>
          <w:p w14:paraId="1981B42E"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6</w:t>
            </w:r>
          </w:p>
        </w:tc>
        <w:tc>
          <w:tcPr>
            <w:tcW w:w="232" w:type="dxa"/>
            <w:tcBorders>
              <w:top w:val="nil"/>
              <w:left w:val="nil"/>
              <w:bottom w:val="single" w:sz="4" w:space="0" w:color="auto"/>
              <w:right w:val="single" w:sz="4" w:space="0" w:color="auto"/>
            </w:tcBorders>
            <w:shd w:val="clear" w:color="auto" w:fill="auto"/>
            <w:noWrap/>
            <w:vAlign w:val="center"/>
            <w:hideMark/>
          </w:tcPr>
          <w:p w14:paraId="1FEA033B"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0</w:t>
            </w:r>
          </w:p>
        </w:tc>
        <w:tc>
          <w:tcPr>
            <w:tcW w:w="232" w:type="dxa"/>
            <w:tcBorders>
              <w:top w:val="nil"/>
              <w:left w:val="nil"/>
              <w:bottom w:val="single" w:sz="4" w:space="0" w:color="auto"/>
              <w:right w:val="single" w:sz="4" w:space="0" w:color="auto"/>
            </w:tcBorders>
            <w:shd w:val="clear" w:color="000000" w:fill="FCE4D6"/>
            <w:noWrap/>
            <w:vAlign w:val="center"/>
            <w:hideMark/>
          </w:tcPr>
          <w:p w14:paraId="6F8AC2F3"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6</w:t>
            </w:r>
          </w:p>
        </w:tc>
        <w:tc>
          <w:tcPr>
            <w:tcW w:w="232" w:type="dxa"/>
            <w:tcBorders>
              <w:top w:val="nil"/>
              <w:left w:val="nil"/>
              <w:bottom w:val="single" w:sz="4" w:space="0" w:color="auto"/>
              <w:right w:val="single" w:sz="4" w:space="0" w:color="auto"/>
            </w:tcBorders>
            <w:shd w:val="clear" w:color="000000" w:fill="FCE4D6"/>
            <w:noWrap/>
            <w:vAlign w:val="center"/>
            <w:hideMark/>
          </w:tcPr>
          <w:p w14:paraId="3965E049"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0</w:t>
            </w:r>
          </w:p>
        </w:tc>
        <w:tc>
          <w:tcPr>
            <w:tcW w:w="414" w:type="dxa"/>
            <w:tcBorders>
              <w:top w:val="nil"/>
              <w:left w:val="nil"/>
              <w:bottom w:val="single" w:sz="4" w:space="0" w:color="auto"/>
              <w:right w:val="single" w:sz="4" w:space="0" w:color="auto"/>
            </w:tcBorders>
            <w:shd w:val="clear" w:color="auto" w:fill="auto"/>
            <w:noWrap/>
            <w:vAlign w:val="center"/>
            <w:hideMark/>
          </w:tcPr>
          <w:p w14:paraId="145A1BAD"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SIN</w:t>
            </w:r>
          </w:p>
        </w:tc>
        <w:tc>
          <w:tcPr>
            <w:tcW w:w="232" w:type="dxa"/>
            <w:tcBorders>
              <w:top w:val="nil"/>
              <w:left w:val="nil"/>
              <w:bottom w:val="single" w:sz="4" w:space="0" w:color="auto"/>
              <w:right w:val="single" w:sz="4" w:space="0" w:color="auto"/>
            </w:tcBorders>
            <w:shd w:val="clear" w:color="auto" w:fill="auto"/>
            <w:noWrap/>
            <w:vAlign w:val="center"/>
            <w:hideMark/>
          </w:tcPr>
          <w:p w14:paraId="5FE47671"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2</w:t>
            </w:r>
          </w:p>
        </w:tc>
        <w:tc>
          <w:tcPr>
            <w:tcW w:w="433" w:type="dxa"/>
            <w:tcBorders>
              <w:top w:val="nil"/>
              <w:left w:val="nil"/>
              <w:bottom w:val="single" w:sz="4" w:space="0" w:color="auto"/>
              <w:right w:val="single" w:sz="4" w:space="0" w:color="auto"/>
            </w:tcBorders>
            <w:shd w:val="clear" w:color="000000" w:fill="FCE4D6"/>
            <w:noWrap/>
            <w:vAlign w:val="center"/>
            <w:hideMark/>
          </w:tcPr>
          <w:p w14:paraId="5AA0A889"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SIN</w:t>
            </w:r>
          </w:p>
        </w:tc>
        <w:tc>
          <w:tcPr>
            <w:tcW w:w="243" w:type="dxa"/>
            <w:tcBorders>
              <w:top w:val="nil"/>
              <w:left w:val="nil"/>
              <w:bottom w:val="single" w:sz="4" w:space="0" w:color="auto"/>
              <w:right w:val="single" w:sz="4" w:space="0" w:color="auto"/>
            </w:tcBorders>
            <w:shd w:val="clear" w:color="000000" w:fill="FCE4D6"/>
            <w:noWrap/>
            <w:vAlign w:val="center"/>
            <w:hideMark/>
          </w:tcPr>
          <w:p w14:paraId="606E87A7"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2</w:t>
            </w:r>
          </w:p>
        </w:tc>
        <w:tc>
          <w:tcPr>
            <w:tcW w:w="729" w:type="dxa"/>
            <w:tcBorders>
              <w:top w:val="nil"/>
              <w:left w:val="nil"/>
              <w:bottom w:val="single" w:sz="4" w:space="0" w:color="auto"/>
              <w:right w:val="single" w:sz="4" w:space="0" w:color="auto"/>
            </w:tcBorders>
            <w:shd w:val="clear" w:color="auto" w:fill="auto"/>
            <w:noWrap/>
            <w:vAlign w:val="center"/>
            <w:hideMark/>
          </w:tcPr>
          <w:p w14:paraId="0B57037D"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70,00%</w:t>
            </w:r>
          </w:p>
        </w:tc>
        <w:tc>
          <w:tcPr>
            <w:tcW w:w="232" w:type="dxa"/>
            <w:tcBorders>
              <w:top w:val="nil"/>
              <w:left w:val="nil"/>
              <w:bottom w:val="single" w:sz="4" w:space="0" w:color="auto"/>
              <w:right w:val="single" w:sz="4" w:space="0" w:color="auto"/>
            </w:tcBorders>
            <w:shd w:val="clear" w:color="auto" w:fill="auto"/>
            <w:noWrap/>
            <w:vAlign w:val="center"/>
            <w:hideMark/>
          </w:tcPr>
          <w:p w14:paraId="242D8284"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5</w:t>
            </w:r>
          </w:p>
        </w:tc>
        <w:tc>
          <w:tcPr>
            <w:tcW w:w="414" w:type="dxa"/>
            <w:tcBorders>
              <w:top w:val="nil"/>
              <w:left w:val="nil"/>
              <w:bottom w:val="single" w:sz="4" w:space="0" w:color="auto"/>
              <w:right w:val="single" w:sz="4" w:space="0" w:color="auto"/>
            </w:tcBorders>
            <w:shd w:val="clear" w:color="000000" w:fill="FCE4D6"/>
            <w:noWrap/>
            <w:vAlign w:val="center"/>
            <w:hideMark/>
          </w:tcPr>
          <w:p w14:paraId="00F4CCF6"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30</w:t>
            </w:r>
          </w:p>
        </w:tc>
        <w:tc>
          <w:tcPr>
            <w:tcW w:w="232" w:type="dxa"/>
            <w:tcBorders>
              <w:top w:val="nil"/>
              <w:left w:val="nil"/>
              <w:bottom w:val="single" w:sz="4" w:space="0" w:color="auto"/>
              <w:right w:val="single" w:sz="4" w:space="0" w:color="auto"/>
            </w:tcBorders>
            <w:shd w:val="clear" w:color="000000" w:fill="FCE4D6"/>
            <w:noWrap/>
            <w:vAlign w:val="center"/>
            <w:hideMark/>
          </w:tcPr>
          <w:p w14:paraId="4A67A606"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5</w:t>
            </w:r>
          </w:p>
        </w:tc>
        <w:tc>
          <w:tcPr>
            <w:tcW w:w="414" w:type="dxa"/>
            <w:tcBorders>
              <w:top w:val="nil"/>
              <w:left w:val="nil"/>
              <w:bottom w:val="single" w:sz="4" w:space="0" w:color="auto"/>
              <w:right w:val="single" w:sz="4" w:space="0" w:color="auto"/>
            </w:tcBorders>
            <w:shd w:val="clear" w:color="auto" w:fill="auto"/>
            <w:noWrap/>
            <w:vAlign w:val="center"/>
            <w:hideMark/>
          </w:tcPr>
          <w:p w14:paraId="055917EA"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5</w:t>
            </w:r>
          </w:p>
        </w:tc>
        <w:tc>
          <w:tcPr>
            <w:tcW w:w="232" w:type="dxa"/>
            <w:tcBorders>
              <w:top w:val="nil"/>
              <w:left w:val="nil"/>
              <w:bottom w:val="single" w:sz="4" w:space="0" w:color="auto"/>
              <w:right w:val="single" w:sz="4" w:space="0" w:color="auto"/>
            </w:tcBorders>
            <w:shd w:val="clear" w:color="auto" w:fill="auto"/>
            <w:noWrap/>
            <w:vAlign w:val="center"/>
            <w:hideMark/>
          </w:tcPr>
          <w:p w14:paraId="45F721E2"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0</w:t>
            </w:r>
          </w:p>
        </w:tc>
        <w:tc>
          <w:tcPr>
            <w:tcW w:w="414" w:type="dxa"/>
            <w:tcBorders>
              <w:top w:val="nil"/>
              <w:left w:val="nil"/>
              <w:bottom w:val="single" w:sz="4" w:space="0" w:color="auto"/>
              <w:right w:val="single" w:sz="4" w:space="0" w:color="auto"/>
            </w:tcBorders>
            <w:shd w:val="clear" w:color="000000" w:fill="FCE4D6"/>
            <w:noWrap/>
            <w:vAlign w:val="center"/>
            <w:hideMark/>
          </w:tcPr>
          <w:p w14:paraId="34DBA595"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5</w:t>
            </w:r>
          </w:p>
        </w:tc>
        <w:tc>
          <w:tcPr>
            <w:tcW w:w="414" w:type="dxa"/>
            <w:tcBorders>
              <w:top w:val="nil"/>
              <w:left w:val="nil"/>
              <w:bottom w:val="single" w:sz="4" w:space="0" w:color="auto"/>
              <w:right w:val="single" w:sz="4" w:space="0" w:color="auto"/>
            </w:tcBorders>
            <w:shd w:val="clear" w:color="000000" w:fill="FCE4D6"/>
            <w:noWrap/>
            <w:vAlign w:val="center"/>
            <w:hideMark/>
          </w:tcPr>
          <w:p w14:paraId="696C0DBB"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5</w:t>
            </w:r>
          </w:p>
        </w:tc>
        <w:tc>
          <w:tcPr>
            <w:tcW w:w="414" w:type="dxa"/>
            <w:tcBorders>
              <w:top w:val="nil"/>
              <w:left w:val="nil"/>
              <w:bottom w:val="single" w:sz="4" w:space="0" w:color="auto"/>
              <w:right w:val="single" w:sz="4" w:space="0" w:color="auto"/>
            </w:tcBorders>
            <w:shd w:val="clear" w:color="auto" w:fill="auto"/>
            <w:noWrap/>
            <w:vAlign w:val="center"/>
            <w:hideMark/>
          </w:tcPr>
          <w:p w14:paraId="7157BF82"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5</w:t>
            </w:r>
          </w:p>
        </w:tc>
        <w:tc>
          <w:tcPr>
            <w:tcW w:w="414" w:type="dxa"/>
            <w:tcBorders>
              <w:top w:val="nil"/>
              <w:left w:val="nil"/>
              <w:bottom w:val="single" w:sz="4" w:space="0" w:color="auto"/>
              <w:right w:val="single" w:sz="4" w:space="0" w:color="auto"/>
            </w:tcBorders>
            <w:shd w:val="clear" w:color="auto" w:fill="auto"/>
            <w:noWrap/>
            <w:vAlign w:val="center"/>
            <w:hideMark/>
          </w:tcPr>
          <w:p w14:paraId="4E5AD2BD"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5</w:t>
            </w:r>
          </w:p>
        </w:tc>
        <w:tc>
          <w:tcPr>
            <w:tcW w:w="414" w:type="dxa"/>
            <w:tcBorders>
              <w:top w:val="nil"/>
              <w:left w:val="nil"/>
              <w:bottom w:val="single" w:sz="4" w:space="0" w:color="auto"/>
              <w:right w:val="single" w:sz="4" w:space="0" w:color="auto"/>
            </w:tcBorders>
            <w:shd w:val="clear" w:color="000000" w:fill="FCE4D6"/>
            <w:noWrap/>
            <w:vAlign w:val="center"/>
            <w:hideMark/>
          </w:tcPr>
          <w:p w14:paraId="0D5387E3"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2,5</w:t>
            </w:r>
          </w:p>
        </w:tc>
        <w:tc>
          <w:tcPr>
            <w:tcW w:w="232" w:type="dxa"/>
            <w:tcBorders>
              <w:top w:val="nil"/>
              <w:left w:val="nil"/>
              <w:bottom w:val="single" w:sz="4" w:space="0" w:color="auto"/>
              <w:right w:val="single" w:sz="4" w:space="0" w:color="auto"/>
            </w:tcBorders>
            <w:shd w:val="clear" w:color="000000" w:fill="FCE4D6"/>
            <w:noWrap/>
            <w:vAlign w:val="center"/>
            <w:hideMark/>
          </w:tcPr>
          <w:p w14:paraId="5890C02B"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5</w:t>
            </w:r>
          </w:p>
        </w:tc>
      </w:tr>
      <w:tr w:rsidR="00C95FDD" w:rsidRPr="003C5DE8" w14:paraId="24D30A01" w14:textId="77777777" w:rsidTr="00ED2882">
        <w:trPr>
          <w:trHeight w:val="113"/>
        </w:trPr>
        <w:tc>
          <w:tcPr>
            <w:tcW w:w="414" w:type="dxa"/>
            <w:tcBorders>
              <w:top w:val="nil"/>
              <w:left w:val="single" w:sz="4" w:space="0" w:color="auto"/>
              <w:bottom w:val="single" w:sz="4" w:space="0" w:color="auto"/>
              <w:right w:val="single" w:sz="4" w:space="0" w:color="auto"/>
            </w:tcBorders>
            <w:shd w:val="clear" w:color="auto" w:fill="auto"/>
            <w:noWrap/>
            <w:vAlign w:val="center"/>
            <w:hideMark/>
          </w:tcPr>
          <w:p w14:paraId="760B3B24"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999</w:t>
            </w:r>
          </w:p>
        </w:tc>
        <w:tc>
          <w:tcPr>
            <w:tcW w:w="232" w:type="dxa"/>
            <w:tcBorders>
              <w:top w:val="nil"/>
              <w:left w:val="nil"/>
              <w:bottom w:val="single" w:sz="4" w:space="0" w:color="auto"/>
              <w:right w:val="single" w:sz="4" w:space="0" w:color="auto"/>
            </w:tcBorders>
            <w:shd w:val="clear" w:color="auto" w:fill="auto"/>
            <w:noWrap/>
            <w:vAlign w:val="bottom"/>
            <w:hideMark/>
          </w:tcPr>
          <w:p w14:paraId="27E8BACE"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 </w:t>
            </w:r>
          </w:p>
        </w:tc>
        <w:tc>
          <w:tcPr>
            <w:tcW w:w="232" w:type="dxa"/>
            <w:tcBorders>
              <w:top w:val="nil"/>
              <w:left w:val="nil"/>
              <w:bottom w:val="single" w:sz="4" w:space="0" w:color="auto"/>
              <w:right w:val="single" w:sz="4" w:space="0" w:color="auto"/>
            </w:tcBorders>
            <w:shd w:val="clear" w:color="000000" w:fill="FCE4D6"/>
            <w:noWrap/>
            <w:vAlign w:val="bottom"/>
            <w:hideMark/>
          </w:tcPr>
          <w:p w14:paraId="26534BE0"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 </w:t>
            </w:r>
          </w:p>
        </w:tc>
        <w:tc>
          <w:tcPr>
            <w:tcW w:w="232" w:type="dxa"/>
            <w:tcBorders>
              <w:top w:val="nil"/>
              <w:left w:val="nil"/>
              <w:bottom w:val="single" w:sz="4" w:space="0" w:color="auto"/>
              <w:right w:val="single" w:sz="4" w:space="0" w:color="auto"/>
            </w:tcBorders>
            <w:shd w:val="clear" w:color="000000" w:fill="FCE4D6"/>
            <w:noWrap/>
            <w:vAlign w:val="bottom"/>
            <w:hideMark/>
          </w:tcPr>
          <w:p w14:paraId="64929E73"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 </w:t>
            </w:r>
          </w:p>
        </w:tc>
        <w:tc>
          <w:tcPr>
            <w:tcW w:w="414" w:type="dxa"/>
            <w:tcBorders>
              <w:top w:val="nil"/>
              <w:left w:val="nil"/>
              <w:bottom w:val="single" w:sz="4" w:space="0" w:color="auto"/>
              <w:right w:val="single" w:sz="4" w:space="0" w:color="auto"/>
            </w:tcBorders>
            <w:shd w:val="clear" w:color="auto" w:fill="auto"/>
            <w:noWrap/>
            <w:vAlign w:val="bottom"/>
            <w:hideMark/>
          </w:tcPr>
          <w:p w14:paraId="67D585F4"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 </w:t>
            </w:r>
          </w:p>
        </w:tc>
        <w:tc>
          <w:tcPr>
            <w:tcW w:w="232" w:type="dxa"/>
            <w:tcBorders>
              <w:top w:val="nil"/>
              <w:left w:val="nil"/>
              <w:bottom w:val="single" w:sz="4" w:space="0" w:color="auto"/>
              <w:right w:val="single" w:sz="4" w:space="0" w:color="auto"/>
            </w:tcBorders>
            <w:shd w:val="clear" w:color="auto" w:fill="auto"/>
            <w:noWrap/>
            <w:vAlign w:val="bottom"/>
            <w:hideMark/>
          </w:tcPr>
          <w:p w14:paraId="0580DC3A"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 </w:t>
            </w:r>
          </w:p>
        </w:tc>
        <w:tc>
          <w:tcPr>
            <w:tcW w:w="433" w:type="dxa"/>
            <w:tcBorders>
              <w:top w:val="nil"/>
              <w:left w:val="nil"/>
              <w:bottom w:val="single" w:sz="4" w:space="0" w:color="auto"/>
              <w:right w:val="single" w:sz="4" w:space="0" w:color="auto"/>
            </w:tcBorders>
            <w:shd w:val="clear" w:color="000000" w:fill="FCE4D6"/>
            <w:noWrap/>
            <w:vAlign w:val="bottom"/>
            <w:hideMark/>
          </w:tcPr>
          <w:p w14:paraId="3B8D56D7"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 </w:t>
            </w:r>
          </w:p>
        </w:tc>
        <w:tc>
          <w:tcPr>
            <w:tcW w:w="243" w:type="dxa"/>
            <w:tcBorders>
              <w:top w:val="nil"/>
              <w:left w:val="nil"/>
              <w:bottom w:val="single" w:sz="4" w:space="0" w:color="auto"/>
              <w:right w:val="single" w:sz="4" w:space="0" w:color="auto"/>
            </w:tcBorders>
            <w:shd w:val="clear" w:color="000000" w:fill="FCE4D6"/>
            <w:noWrap/>
            <w:vAlign w:val="bottom"/>
            <w:hideMark/>
          </w:tcPr>
          <w:p w14:paraId="384951AB"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 </w:t>
            </w:r>
          </w:p>
        </w:tc>
        <w:tc>
          <w:tcPr>
            <w:tcW w:w="729" w:type="dxa"/>
            <w:tcBorders>
              <w:top w:val="nil"/>
              <w:left w:val="nil"/>
              <w:bottom w:val="single" w:sz="4" w:space="0" w:color="auto"/>
              <w:right w:val="single" w:sz="4" w:space="0" w:color="auto"/>
            </w:tcBorders>
            <w:shd w:val="clear" w:color="auto" w:fill="auto"/>
            <w:noWrap/>
            <w:vAlign w:val="center"/>
            <w:hideMark/>
          </w:tcPr>
          <w:p w14:paraId="6FCEE59C"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999</w:t>
            </w:r>
          </w:p>
        </w:tc>
        <w:tc>
          <w:tcPr>
            <w:tcW w:w="232" w:type="dxa"/>
            <w:tcBorders>
              <w:top w:val="nil"/>
              <w:left w:val="nil"/>
              <w:bottom w:val="single" w:sz="4" w:space="0" w:color="auto"/>
              <w:right w:val="single" w:sz="4" w:space="0" w:color="auto"/>
            </w:tcBorders>
            <w:shd w:val="clear" w:color="auto" w:fill="auto"/>
            <w:noWrap/>
            <w:vAlign w:val="bottom"/>
            <w:hideMark/>
          </w:tcPr>
          <w:p w14:paraId="6F4B7F5D"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 </w:t>
            </w:r>
          </w:p>
        </w:tc>
        <w:tc>
          <w:tcPr>
            <w:tcW w:w="414" w:type="dxa"/>
            <w:tcBorders>
              <w:top w:val="nil"/>
              <w:left w:val="nil"/>
              <w:bottom w:val="single" w:sz="4" w:space="0" w:color="auto"/>
              <w:right w:val="single" w:sz="4" w:space="0" w:color="auto"/>
            </w:tcBorders>
            <w:shd w:val="clear" w:color="000000" w:fill="FCE4D6"/>
            <w:noWrap/>
            <w:vAlign w:val="center"/>
            <w:hideMark/>
          </w:tcPr>
          <w:p w14:paraId="3E620FFE"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999</w:t>
            </w:r>
          </w:p>
        </w:tc>
        <w:tc>
          <w:tcPr>
            <w:tcW w:w="232" w:type="dxa"/>
            <w:tcBorders>
              <w:top w:val="nil"/>
              <w:left w:val="nil"/>
              <w:bottom w:val="single" w:sz="4" w:space="0" w:color="auto"/>
              <w:right w:val="single" w:sz="4" w:space="0" w:color="auto"/>
            </w:tcBorders>
            <w:shd w:val="clear" w:color="000000" w:fill="FCE4D6"/>
            <w:noWrap/>
            <w:vAlign w:val="bottom"/>
            <w:hideMark/>
          </w:tcPr>
          <w:p w14:paraId="530C4AD4"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 </w:t>
            </w:r>
          </w:p>
        </w:tc>
        <w:tc>
          <w:tcPr>
            <w:tcW w:w="414" w:type="dxa"/>
            <w:tcBorders>
              <w:top w:val="nil"/>
              <w:left w:val="nil"/>
              <w:bottom w:val="single" w:sz="4" w:space="0" w:color="auto"/>
              <w:right w:val="single" w:sz="4" w:space="0" w:color="auto"/>
            </w:tcBorders>
            <w:shd w:val="clear" w:color="auto" w:fill="auto"/>
            <w:noWrap/>
            <w:vAlign w:val="center"/>
            <w:hideMark/>
          </w:tcPr>
          <w:p w14:paraId="199F92C4"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999</w:t>
            </w:r>
          </w:p>
        </w:tc>
        <w:tc>
          <w:tcPr>
            <w:tcW w:w="232" w:type="dxa"/>
            <w:tcBorders>
              <w:top w:val="nil"/>
              <w:left w:val="nil"/>
              <w:bottom w:val="single" w:sz="4" w:space="0" w:color="auto"/>
              <w:right w:val="single" w:sz="4" w:space="0" w:color="auto"/>
            </w:tcBorders>
            <w:shd w:val="clear" w:color="auto" w:fill="auto"/>
            <w:noWrap/>
            <w:vAlign w:val="bottom"/>
            <w:hideMark/>
          </w:tcPr>
          <w:p w14:paraId="19CE2453"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 </w:t>
            </w:r>
          </w:p>
        </w:tc>
        <w:tc>
          <w:tcPr>
            <w:tcW w:w="414" w:type="dxa"/>
            <w:tcBorders>
              <w:top w:val="nil"/>
              <w:left w:val="nil"/>
              <w:bottom w:val="single" w:sz="4" w:space="0" w:color="auto"/>
              <w:right w:val="single" w:sz="4" w:space="0" w:color="auto"/>
            </w:tcBorders>
            <w:shd w:val="clear" w:color="000000" w:fill="FCE4D6"/>
            <w:noWrap/>
            <w:vAlign w:val="center"/>
            <w:hideMark/>
          </w:tcPr>
          <w:p w14:paraId="145443B2"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999</w:t>
            </w:r>
          </w:p>
        </w:tc>
        <w:tc>
          <w:tcPr>
            <w:tcW w:w="414" w:type="dxa"/>
            <w:tcBorders>
              <w:top w:val="nil"/>
              <w:left w:val="nil"/>
              <w:bottom w:val="single" w:sz="4" w:space="0" w:color="auto"/>
              <w:right w:val="single" w:sz="4" w:space="0" w:color="auto"/>
            </w:tcBorders>
            <w:shd w:val="clear" w:color="000000" w:fill="FCE4D6"/>
            <w:noWrap/>
            <w:vAlign w:val="center"/>
            <w:hideMark/>
          </w:tcPr>
          <w:p w14:paraId="7FB5B856"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999</w:t>
            </w:r>
          </w:p>
        </w:tc>
        <w:tc>
          <w:tcPr>
            <w:tcW w:w="414" w:type="dxa"/>
            <w:tcBorders>
              <w:top w:val="nil"/>
              <w:left w:val="nil"/>
              <w:bottom w:val="single" w:sz="4" w:space="0" w:color="auto"/>
              <w:right w:val="single" w:sz="4" w:space="0" w:color="auto"/>
            </w:tcBorders>
            <w:shd w:val="clear" w:color="auto" w:fill="auto"/>
            <w:noWrap/>
            <w:vAlign w:val="center"/>
            <w:hideMark/>
          </w:tcPr>
          <w:p w14:paraId="796DAFAD"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999</w:t>
            </w:r>
          </w:p>
        </w:tc>
        <w:tc>
          <w:tcPr>
            <w:tcW w:w="414" w:type="dxa"/>
            <w:tcBorders>
              <w:top w:val="nil"/>
              <w:left w:val="nil"/>
              <w:bottom w:val="single" w:sz="4" w:space="0" w:color="auto"/>
              <w:right w:val="single" w:sz="4" w:space="0" w:color="auto"/>
            </w:tcBorders>
            <w:shd w:val="clear" w:color="auto" w:fill="auto"/>
            <w:noWrap/>
            <w:vAlign w:val="center"/>
            <w:hideMark/>
          </w:tcPr>
          <w:p w14:paraId="7FF98A89"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999</w:t>
            </w:r>
          </w:p>
        </w:tc>
        <w:tc>
          <w:tcPr>
            <w:tcW w:w="414" w:type="dxa"/>
            <w:tcBorders>
              <w:top w:val="nil"/>
              <w:left w:val="nil"/>
              <w:bottom w:val="single" w:sz="4" w:space="0" w:color="auto"/>
              <w:right w:val="single" w:sz="4" w:space="0" w:color="auto"/>
            </w:tcBorders>
            <w:shd w:val="clear" w:color="000000" w:fill="FCE4D6"/>
            <w:noWrap/>
            <w:vAlign w:val="center"/>
            <w:hideMark/>
          </w:tcPr>
          <w:p w14:paraId="2344B25E"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999</w:t>
            </w:r>
          </w:p>
        </w:tc>
        <w:tc>
          <w:tcPr>
            <w:tcW w:w="232" w:type="dxa"/>
            <w:tcBorders>
              <w:top w:val="nil"/>
              <w:left w:val="nil"/>
              <w:bottom w:val="single" w:sz="4" w:space="0" w:color="auto"/>
              <w:right w:val="single" w:sz="4" w:space="0" w:color="auto"/>
            </w:tcBorders>
            <w:shd w:val="clear" w:color="000000" w:fill="FCE4D6"/>
            <w:noWrap/>
            <w:vAlign w:val="bottom"/>
            <w:hideMark/>
          </w:tcPr>
          <w:p w14:paraId="1D7B78B9" w14:textId="77777777" w:rsidR="00ED2882" w:rsidRPr="00ED2882" w:rsidRDefault="00ED2882" w:rsidP="003C5DE8">
            <w:pPr>
              <w:widowControl/>
              <w:autoSpaceDE/>
              <w:autoSpaceDN/>
              <w:jc w:val="center"/>
              <w:rPr>
                <w:rFonts w:ascii="Arial Narrow" w:eastAsia="Times New Roman" w:hAnsi="Arial Narrow" w:cs="Calibri"/>
                <w:color w:val="000000" w:themeColor="text1"/>
                <w:sz w:val="20"/>
                <w:szCs w:val="20"/>
                <w:lang w:val="es-CO" w:eastAsia="es-CO"/>
              </w:rPr>
            </w:pPr>
            <w:r w:rsidRPr="00ED2882">
              <w:rPr>
                <w:rFonts w:ascii="Arial Narrow" w:eastAsia="Times New Roman" w:hAnsi="Arial Narrow" w:cs="Calibri"/>
                <w:color w:val="000000" w:themeColor="text1"/>
                <w:sz w:val="20"/>
                <w:szCs w:val="20"/>
                <w:lang w:val="es-CO" w:eastAsia="es-CO"/>
              </w:rPr>
              <w:t> </w:t>
            </w:r>
          </w:p>
        </w:tc>
      </w:tr>
    </w:tbl>
    <w:p w14:paraId="3C4FF178" w14:textId="77777777" w:rsidR="00C273B4" w:rsidRPr="003C5DE8" w:rsidRDefault="00C273B4" w:rsidP="003C5DE8">
      <w:pPr>
        <w:ind w:left="567" w:hanging="567"/>
        <w:rPr>
          <w:rFonts w:ascii="Arial Narrow" w:hAnsi="Arial Narrow"/>
          <w:color w:val="000000" w:themeColor="text1"/>
          <w:sz w:val="26"/>
          <w:szCs w:val="26"/>
          <w:lang w:val="es-CO"/>
        </w:rPr>
      </w:pPr>
    </w:p>
    <w:p w14:paraId="23C09910" w14:textId="77777777" w:rsidR="00DA1E1C" w:rsidRPr="003C5DE8" w:rsidRDefault="00DA1E1C" w:rsidP="003C5DE8">
      <w:pPr>
        <w:contextualSpacing/>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Posteriormente, el puntaje obtenido por cada variable evaluada se pondera de acuerdo con la siguiente tabla:</w:t>
      </w:r>
    </w:p>
    <w:p w14:paraId="2BE8D443" w14:textId="77777777" w:rsidR="00D06E9A" w:rsidRPr="003C5DE8" w:rsidRDefault="00D06E9A" w:rsidP="003C5DE8">
      <w:pPr>
        <w:contextualSpacing/>
        <w:rPr>
          <w:rFonts w:ascii="Arial Narrow" w:hAnsi="Arial Narrow"/>
          <w:color w:val="000000" w:themeColor="text1"/>
          <w:sz w:val="26"/>
          <w:szCs w:val="26"/>
          <w:lang w:val="es-CO"/>
        </w:rPr>
      </w:pPr>
    </w:p>
    <w:p w14:paraId="28A11199" w14:textId="3B466FE1" w:rsidR="001D6C32" w:rsidRPr="003C5DE8" w:rsidRDefault="00D06E9A" w:rsidP="003C5DE8">
      <w:pPr>
        <w:contextualSpacing/>
        <w:rPr>
          <w:rFonts w:ascii="Arial Narrow" w:hAnsi="Arial Narrow"/>
          <w:color w:val="000000" w:themeColor="text1"/>
          <w:sz w:val="26"/>
          <w:szCs w:val="26"/>
          <w:lang w:val="es-CO"/>
        </w:rPr>
      </w:pPr>
      <w:r w:rsidRPr="003C5DE8">
        <w:rPr>
          <w:rFonts w:ascii="Arial Narrow" w:hAnsi="Arial Narrow"/>
          <w:noProof/>
          <w:color w:val="000000" w:themeColor="text1"/>
        </w:rPr>
        <w:drawing>
          <wp:inline distT="0" distB="0" distL="0" distR="0" wp14:anchorId="32B2CDBD" wp14:editId="0B80C34F">
            <wp:extent cx="6191250" cy="1591310"/>
            <wp:effectExtent l="0" t="0" r="0" b="889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91250" cy="1591310"/>
                    </a:xfrm>
                    <a:prstGeom prst="rect">
                      <a:avLst/>
                    </a:prstGeom>
                    <a:noFill/>
                    <a:ln>
                      <a:noFill/>
                    </a:ln>
                  </pic:spPr>
                </pic:pic>
              </a:graphicData>
            </a:graphic>
          </wp:inline>
        </w:drawing>
      </w:r>
    </w:p>
    <w:p w14:paraId="442B561B" w14:textId="77777777" w:rsidR="001D6C32" w:rsidRPr="003C5DE8" w:rsidRDefault="001D6C32" w:rsidP="003C5DE8">
      <w:pPr>
        <w:contextualSpacing/>
        <w:rPr>
          <w:rFonts w:ascii="Arial Narrow" w:hAnsi="Arial Narrow"/>
          <w:color w:val="000000" w:themeColor="text1"/>
          <w:sz w:val="26"/>
          <w:szCs w:val="26"/>
          <w:lang w:val="es-CO"/>
        </w:rPr>
      </w:pPr>
    </w:p>
    <w:p w14:paraId="73A67046" w14:textId="77777777" w:rsidR="00DA1E1C" w:rsidRPr="003C5DE8" w:rsidRDefault="00DA1E1C" w:rsidP="003C5DE8">
      <w:pPr>
        <w:ind w:left="567" w:hanging="567"/>
        <w:contextualSpacing/>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 El puntaje ponderado permite ubicarlo en un rango de riesgo así:</w:t>
      </w:r>
    </w:p>
    <w:p w14:paraId="532E1940" w14:textId="77777777" w:rsidR="00DA1E1C" w:rsidRPr="003C5DE8" w:rsidRDefault="00DA1E1C" w:rsidP="003C5DE8">
      <w:pPr>
        <w:ind w:left="567" w:hanging="567"/>
        <w:rPr>
          <w:rFonts w:ascii="Arial Narrow" w:hAnsi="Arial Narrow"/>
          <w:color w:val="000000" w:themeColor="text1"/>
          <w:sz w:val="26"/>
          <w:szCs w:val="26"/>
          <w:lang w:val="es-CO"/>
        </w:rPr>
      </w:pPr>
    </w:p>
    <w:tbl>
      <w:tblPr>
        <w:tblW w:w="0" w:type="auto"/>
        <w:tblCellMar>
          <w:left w:w="70" w:type="dxa"/>
          <w:right w:w="70" w:type="dxa"/>
        </w:tblCellMar>
        <w:tblLook w:val="04A0" w:firstRow="1" w:lastRow="0" w:firstColumn="1" w:lastColumn="0" w:noHBand="0" w:noVBand="1"/>
      </w:tblPr>
      <w:tblGrid>
        <w:gridCol w:w="1290"/>
        <w:gridCol w:w="1394"/>
      </w:tblGrid>
      <w:tr w:rsidR="00C95FDD" w:rsidRPr="003C5DE8" w14:paraId="47D758AE" w14:textId="77777777" w:rsidTr="001D51A1">
        <w:trPr>
          <w:trHeight w:val="276"/>
        </w:trPr>
        <w:tc>
          <w:tcPr>
            <w:tcW w:w="0" w:type="auto"/>
            <w:gridSpan w:val="2"/>
            <w:tcBorders>
              <w:top w:val="single" w:sz="4" w:space="0" w:color="auto"/>
              <w:left w:val="single" w:sz="4" w:space="0" w:color="auto"/>
              <w:bottom w:val="single" w:sz="4" w:space="0" w:color="auto"/>
              <w:right w:val="single" w:sz="4" w:space="0" w:color="auto"/>
            </w:tcBorders>
            <w:shd w:val="clear" w:color="000000" w:fill="0000FF"/>
            <w:vAlign w:val="center"/>
            <w:hideMark/>
          </w:tcPr>
          <w:p w14:paraId="2A8B94C7" w14:textId="77777777" w:rsidR="00DA1E1C" w:rsidRPr="003C5DE8" w:rsidRDefault="00DA1E1C" w:rsidP="003C5DE8">
            <w:pPr>
              <w:ind w:left="567" w:hanging="567"/>
              <w:jc w:val="center"/>
              <w:rPr>
                <w:rFonts w:ascii="Arial Narrow" w:hAnsi="Arial Narrow" w:cs="Calibri"/>
                <w:b/>
                <w:bCs/>
                <w:color w:val="000000" w:themeColor="text1"/>
                <w:sz w:val="26"/>
                <w:szCs w:val="26"/>
                <w:lang w:val="es-CO"/>
              </w:rPr>
            </w:pPr>
            <w:r w:rsidRPr="003C5DE8">
              <w:rPr>
                <w:rFonts w:ascii="Arial Narrow" w:hAnsi="Arial Narrow" w:cs="Calibri"/>
                <w:b/>
                <w:bCs/>
                <w:color w:val="000000" w:themeColor="text1"/>
                <w:sz w:val="26"/>
                <w:szCs w:val="26"/>
                <w:lang w:val="es-CO"/>
              </w:rPr>
              <w:t>Riesgo según SCORE</w:t>
            </w:r>
          </w:p>
        </w:tc>
      </w:tr>
      <w:tr w:rsidR="00C95FDD" w:rsidRPr="003C5DE8" w14:paraId="08B4ECCD" w14:textId="77777777" w:rsidTr="001D51A1">
        <w:trPr>
          <w:trHeight w:val="288"/>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2B71E281" w14:textId="1A870633" w:rsidR="00DA1E1C" w:rsidRPr="003C5DE8" w:rsidRDefault="00DA1E1C" w:rsidP="003C5DE8">
            <w:pPr>
              <w:ind w:left="567" w:hanging="567"/>
              <w:jc w:val="center"/>
              <w:rPr>
                <w:rFonts w:ascii="Arial Narrow" w:hAnsi="Arial Narrow" w:cs="Calibri"/>
                <w:color w:val="000000" w:themeColor="text1"/>
                <w:sz w:val="26"/>
                <w:szCs w:val="26"/>
                <w:lang w:val="es-CO"/>
              </w:rPr>
            </w:pPr>
            <w:r w:rsidRPr="003C5DE8">
              <w:rPr>
                <w:rFonts w:ascii="Arial Narrow" w:hAnsi="Arial Narrow" w:cs="Calibri"/>
                <w:color w:val="000000" w:themeColor="text1"/>
                <w:sz w:val="26"/>
                <w:szCs w:val="26"/>
                <w:lang w:val="es-CO"/>
              </w:rPr>
              <w:t>1. Hasta 1</w:t>
            </w:r>
            <w:r w:rsidR="00D05950" w:rsidRPr="003C5DE8">
              <w:rPr>
                <w:rFonts w:ascii="Arial Narrow" w:hAnsi="Arial Narrow" w:cs="Calibri"/>
                <w:color w:val="000000" w:themeColor="text1"/>
                <w:sz w:val="26"/>
                <w:szCs w:val="26"/>
                <w:lang w:val="es-CO"/>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4B0B39CB" w14:textId="77777777" w:rsidR="00DA1E1C" w:rsidRPr="003C5DE8" w:rsidRDefault="00DA1E1C" w:rsidP="003C5DE8">
            <w:pPr>
              <w:ind w:left="567" w:hanging="567"/>
              <w:jc w:val="center"/>
              <w:rPr>
                <w:rFonts w:ascii="Arial Narrow" w:hAnsi="Arial Narrow" w:cs="Calibri"/>
                <w:color w:val="000000" w:themeColor="text1"/>
                <w:sz w:val="26"/>
                <w:szCs w:val="26"/>
                <w:lang w:val="es-CO"/>
              </w:rPr>
            </w:pPr>
            <w:r w:rsidRPr="003C5DE8">
              <w:rPr>
                <w:rFonts w:ascii="Arial Narrow" w:hAnsi="Arial Narrow" w:cs="Calibri"/>
                <w:color w:val="000000" w:themeColor="text1"/>
                <w:sz w:val="26"/>
                <w:szCs w:val="26"/>
                <w:lang w:val="es-CO"/>
              </w:rPr>
              <w:t>1. Bajo</w:t>
            </w:r>
          </w:p>
        </w:tc>
      </w:tr>
      <w:tr w:rsidR="00C95FDD" w:rsidRPr="003C5DE8" w14:paraId="1843AB39" w14:textId="77777777" w:rsidTr="001D51A1">
        <w:trPr>
          <w:trHeight w:val="288"/>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FED35F6" w14:textId="76F22381" w:rsidR="00DA1E1C" w:rsidRPr="003C5DE8" w:rsidRDefault="00DA1E1C" w:rsidP="003C5DE8">
            <w:pPr>
              <w:ind w:left="567" w:hanging="567"/>
              <w:jc w:val="center"/>
              <w:rPr>
                <w:rFonts w:ascii="Arial Narrow" w:hAnsi="Arial Narrow" w:cs="Calibri"/>
                <w:color w:val="000000" w:themeColor="text1"/>
                <w:sz w:val="26"/>
                <w:szCs w:val="26"/>
                <w:lang w:val="es-CO"/>
              </w:rPr>
            </w:pPr>
            <w:r w:rsidRPr="003C5DE8">
              <w:rPr>
                <w:rFonts w:ascii="Arial Narrow" w:hAnsi="Arial Narrow" w:cs="Calibri"/>
                <w:color w:val="000000" w:themeColor="text1"/>
                <w:sz w:val="26"/>
                <w:szCs w:val="26"/>
                <w:lang w:val="es-CO"/>
              </w:rPr>
              <w:t>2. &gt;1,</w:t>
            </w:r>
            <w:r w:rsidR="00D05950" w:rsidRPr="003C5DE8">
              <w:rPr>
                <w:rFonts w:ascii="Arial Narrow" w:hAnsi="Arial Narrow" w:cs="Calibri"/>
                <w:color w:val="000000" w:themeColor="text1"/>
                <w:sz w:val="26"/>
                <w:szCs w:val="26"/>
                <w:lang w:val="es-CO"/>
              </w:rPr>
              <w:t>0</w:t>
            </w:r>
            <w:r w:rsidRPr="003C5DE8">
              <w:rPr>
                <w:rFonts w:ascii="Arial Narrow" w:hAnsi="Arial Narrow" w:cs="Calibri"/>
                <w:color w:val="000000" w:themeColor="text1"/>
                <w:sz w:val="26"/>
                <w:szCs w:val="26"/>
                <w:lang w:val="es-CO"/>
              </w:rPr>
              <w:t>-2,0</w:t>
            </w:r>
          </w:p>
        </w:tc>
        <w:tc>
          <w:tcPr>
            <w:tcW w:w="0" w:type="auto"/>
            <w:tcBorders>
              <w:top w:val="nil"/>
              <w:left w:val="nil"/>
              <w:bottom w:val="single" w:sz="4" w:space="0" w:color="auto"/>
              <w:right w:val="single" w:sz="4" w:space="0" w:color="auto"/>
            </w:tcBorders>
            <w:shd w:val="clear" w:color="000000" w:fill="FFFFFF"/>
            <w:noWrap/>
            <w:vAlign w:val="bottom"/>
            <w:hideMark/>
          </w:tcPr>
          <w:p w14:paraId="6A3BEEC3" w14:textId="77777777" w:rsidR="00DA1E1C" w:rsidRPr="003C5DE8" w:rsidRDefault="00DA1E1C" w:rsidP="003C5DE8">
            <w:pPr>
              <w:ind w:left="567" w:hanging="567"/>
              <w:jc w:val="center"/>
              <w:rPr>
                <w:rFonts w:ascii="Arial Narrow" w:hAnsi="Arial Narrow" w:cs="Calibri"/>
                <w:color w:val="000000" w:themeColor="text1"/>
                <w:sz w:val="26"/>
                <w:szCs w:val="26"/>
                <w:lang w:val="es-CO"/>
              </w:rPr>
            </w:pPr>
            <w:r w:rsidRPr="003C5DE8">
              <w:rPr>
                <w:rFonts w:ascii="Arial Narrow" w:hAnsi="Arial Narrow" w:cs="Calibri"/>
                <w:color w:val="000000" w:themeColor="text1"/>
                <w:sz w:val="26"/>
                <w:szCs w:val="26"/>
                <w:lang w:val="es-CO"/>
              </w:rPr>
              <w:t>2. Normal</w:t>
            </w:r>
          </w:p>
        </w:tc>
      </w:tr>
      <w:tr w:rsidR="00C95FDD" w:rsidRPr="003C5DE8" w14:paraId="521D449F" w14:textId="77777777" w:rsidTr="001D51A1">
        <w:trPr>
          <w:trHeight w:val="288"/>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770C7143" w14:textId="77777777" w:rsidR="00DA1E1C" w:rsidRPr="003C5DE8" w:rsidRDefault="00DA1E1C" w:rsidP="003C5DE8">
            <w:pPr>
              <w:ind w:left="567" w:hanging="567"/>
              <w:jc w:val="center"/>
              <w:rPr>
                <w:rFonts w:ascii="Arial Narrow" w:hAnsi="Arial Narrow" w:cs="Calibri"/>
                <w:color w:val="000000" w:themeColor="text1"/>
                <w:sz w:val="26"/>
                <w:szCs w:val="26"/>
                <w:lang w:val="es-CO"/>
              </w:rPr>
            </w:pPr>
            <w:r w:rsidRPr="003C5DE8">
              <w:rPr>
                <w:rFonts w:ascii="Arial Narrow" w:hAnsi="Arial Narrow" w:cs="Calibri"/>
                <w:color w:val="000000" w:themeColor="text1"/>
                <w:sz w:val="26"/>
                <w:szCs w:val="26"/>
                <w:lang w:val="es-CO"/>
              </w:rPr>
              <w:t>3. &gt;2,0-2,5</w:t>
            </w:r>
          </w:p>
        </w:tc>
        <w:tc>
          <w:tcPr>
            <w:tcW w:w="0" w:type="auto"/>
            <w:tcBorders>
              <w:top w:val="nil"/>
              <w:left w:val="nil"/>
              <w:bottom w:val="single" w:sz="4" w:space="0" w:color="auto"/>
              <w:right w:val="single" w:sz="4" w:space="0" w:color="auto"/>
            </w:tcBorders>
            <w:shd w:val="clear" w:color="000000" w:fill="FFFFFF"/>
            <w:noWrap/>
            <w:vAlign w:val="bottom"/>
            <w:hideMark/>
          </w:tcPr>
          <w:p w14:paraId="33620316" w14:textId="77777777" w:rsidR="00DA1E1C" w:rsidRPr="003C5DE8" w:rsidRDefault="00DA1E1C" w:rsidP="003C5DE8">
            <w:pPr>
              <w:ind w:left="567" w:hanging="567"/>
              <w:jc w:val="center"/>
              <w:rPr>
                <w:rFonts w:ascii="Arial Narrow" w:hAnsi="Arial Narrow" w:cs="Calibri"/>
                <w:color w:val="000000" w:themeColor="text1"/>
                <w:sz w:val="26"/>
                <w:szCs w:val="26"/>
                <w:lang w:val="es-CO"/>
              </w:rPr>
            </w:pPr>
            <w:r w:rsidRPr="003C5DE8">
              <w:rPr>
                <w:rFonts w:ascii="Arial Narrow" w:hAnsi="Arial Narrow" w:cs="Calibri"/>
                <w:color w:val="000000" w:themeColor="text1"/>
                <w:sz w:val="26"/>
                <w:szCs w:val="26"/>
                <w:lang w:val="es-CO"/>
              </w:rPr>
              <w:t>3. Medio</w:t>
            </w:r>
          </w:p>
        </w:tc>
      </w:tr>
      <w:tr w:rsidR="00C95FDD" w:rsidRPr="003C5DE8" w14:paraId="3ED568D9" w14:textId="77777777" w:rsidTr="001D51A1">
        <w:trPr>
          <w:trHeight w:val="288"/>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47DE7B9A" w14:textId="77777777" w:rsidR="00DA1E1C" w:rsidRPr="003C5DE8" w:rsidRDefault="00DA1E1C" w:rsidP="003C5DE8">
            <w:pPr>
              <w:ind w:left="567" w:hanging="567"/>
              <w:rPr>
                <w:rFonts w:ascii="Arial Narrow" w:hAnsi="Arial Narrow" w:cs="Calibri"/>
                <w:color w:val="000000" w:themeColor="text1"/>
                <w:sz w:val="26"/>
                <w:szCs w:val="26"/>
                <w:lang w:val="es-CO"/>
              </w:rPr>
            </w:pPr>
            <w:r w:rsidRPr="003C5DE8">
              <w:rPr>
                <w:rFonts w:ascii="Arial Narrow" w:hAnsi="Arial Narrow" w:cs="Calibri"/>
                <w:color w:val="000000" w:themeColor="text1"/>
                <w:sz w:val="26"/>
                <w:szCs w:val="26"/>
                <w:lang w:val="es-CO"/>
              </w:rPr>
              <w:t>4. &gt;2,5-3,0</w:t>
            </w:r>
          </w:p>
        </w:tc>
        <w:tc>
          <w:tcPr>
            <w:tcW w:w="0" w:type="auto"/>
            <w:tcBorders>
              <w:top w:val="nil"/>
              <w:left w:val="nil"/>
              <w:bottom w:val="single" w:sz="4" w:space="0" w:color="auto"/>
              <w:right w:val="single" w:sz="4" w:space="0" w:color="auto"/>
            </w:tcBorders>
            <w:shd w:val="clear" w:color="000000" w:fill="FFFFFF"/>
            <w:noWrap/>
            <w:vAlign w:val="bottom"/>
            <w:hideMark/>
          </w:tcPr>
          <w:p w14:paraId="3D3895BE" w14:textId="77777777" w:rsidR="00DA1E1C" w:rsidRPr="003C5DE8" w:rsidRDefault="00DA1E1C" w:rsidP="003C5DE8">
            <w:pPr>
              <w:ind w:left="567" w:hanging="567"/>
              <w:jc w:val="center"/>
              <w:rPr>
                <w:rFonts w:ascii="Arial Narrow" w:hAnsi="Arial Narrow" w:cs="Calibri"/>
                <w:color w:val="000000" w:themeColor="text1"/>
                <w:sz w:val="26"/>
                <w:szCs w:val="26"/>
                <w:lang w:val="es-CO"/>
              </w:rPr>
            </w:pPr>
            <w:r w:rsidRPr="003C5DE8">
              <w:rPr>
                <w:rFonts w:ascii="Arial Narrow" w:hAnsi="Arial Narrow" w:cs="Calibri"/>
                <w:color w:val="000000" w:themeColor="text1"/>
                <w:sz w:val="26"/>
                <w:szCs w:val="26"/>
                <w:lang w:val="es-CO"/>
              </w:rPr>
              <w:t>4. Alto</w:t>
            </w:r>
          </w:p>
        </w:tc>
      </w:tr>
      <w:tr w:rsidR="00C95FDD" w:rsidRPr="003C5DE8" w14:paraId="4932191C" w14:textId="77777777" w:rsidTr="001D51A1">
        <w:trPr>
          <w:trHeight w:val="288"/>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C2429F8" w14:textId="77777777" w:rsidR="00DA1E1C" w:rsidRPr="003C5DE8" w:rsidRDefault="00DA1E1C" w:rsidP="003C5DE8">
            <w:pPr>
              <w:ind w:left="567" w:hanging="567"/>
              <w:jc w:val="center"/>
              <w:rPr>
                <w:rFonts w:ascii="Arial Narrow" w:hAnsi="Arial Narrow" w:cs="Calibri"/>
                <w:color w:val="000000" w:themeColor="text1"/>
                <w:sz w:val="26"/>
                <w:szCs w:val="26"/>
                <w:lang w:val="es-CO"/>
              </w:rPr>
            </w:pPr>
            <w:r w:rsidRPr="003C5DE8">
              <w:rPr>
                <w:rFonts w:ascii="Arial Narrow" w:hAnsi="Arial Narrow" w:cs="Calibri"/>
                <w:color w:val="000000" w:themeColor="text1"/>
                <w:sz w:val="26"/>
                <w:szCs w:val="26"/>
                <w:lang w:val="es-CO"/>
              </w:rPr>
              <w:t>5. &gt; 3,0</w:t>
            </w:r>
          </w:p>
        </w:tc>
        <w:tc>
          <w:tcPr>
            <w:tcW w:w="0" w:type="auto"/>
            <w:tcBorders>
              <w:top w:val="nil"/>
              <w:left w:val="nil"/>
              <w:bottom w:val="single" w:sz="4" w:space="0" w:color="auto"/>
              <w:right w:val="single" w:sz="4" w:space="0" w:color="auto"/>
            </w:tcBorders>
            <w:shd w:val="clear" w:color="000000" w:fill="FFFFFF"/>
            <w:noWrap/>
            <w:vAlign w:val="bottom"/>
            <w:hideMark/>
          </w:tcPr>
          <w:p w14:paraId="326AE078" w14:textId="77777777" w:rsidR="00DA1E1C" w:rsidRPr="003C5DE8" w:rsidRDefault="00DA1E1C" w:rsidP="003C5DE8">
            <w:pPr>
              <w:ind w:left="567" w:hanging="567"/>
              <w:jc w:val="center"/>
              <w:rPr>
                <w:rFonts w:ascii="Arial Narrow" w:hAnsi="Arial Narrow" w:cs="Calibri"/>
                <w:color w:val="000000" w:themeColor="text1"/>
                <w:sz w:val="26"/>
                <w:szCs w:val="26"/>
                <w:lang w:val="es-CO"/>
              </w:rPr>
            </w:pPr>
            <w:r w:rsidRPr="003C5DE8">
              <w:rPr>
                <w:rFonts w:ascii="Arial Narrow" w:hAnsi="Arial Narrow" w:cs="Calibri"/>
                <w:color w:val="000000" w:themeColor="text1"/>
                <w:sz w:val="26"/>
                <w:szCs w:val="26"/>
                <w:lang w:val="es-CO"/>
              </w:rPr>
              <w:t>5. Crítico</w:t>
            </w:r>
          </w:p>
        </w:tc>
      </w:tr>
    </w:tbl>
    <w:p w14:paraId="21FA25E2" w14:textId="77777777" w:rsidR="00DA1E1C" w:rsidRPr="003C5DE8" w:rsidRDefault="00DA1E1C" w:rsidP="003C5DE8">
      <w:pPr>
        <w:ind w:left="567" w:hanging="567"/>
        <w:rPr>
          <w:rFonts w:ascii="Arial Narrow" w:hAnsi="Arial Narrow"/>
          <w:color w:val="000000" w:themeColor="text1"/>
          <w:sz w:val="26"/>
          <w:szCs w:val="26"/>
          <w:lang w:val="es-CO"/>
        </w:rPr>
      </w:pPr>
    </w:p>
    <w:p w14:paraId="148C195C" w14:textId="77777777" w:rsidR="00DA1E1C" w:rsidRPr="003C5DE8" w:rsidRDefault="00DA1E1C" w:rsidP="003C5DE8">
      <w:pPr>
        <w:pBdr>
          <w:bottom w:val="single" w:sz="4" w:space="1" w:color="auto"/>
        </w:pBdr>
        <w:shd w:val="clear" w:color="auto" w:fill="CCC0D9" w:themeFill="accent4" w:themeFillTint="66"/>
        <w:ind w:left="567" w:hanging="567"/>
        <w:rPr>
          <w:rFonts w:ascii="Arial Narrow" w:hAnsi="Arial Narrow"/>
          <w:b/>
          <w:color w:val="000000" w:themeColor="text1"/>
          <w:sz w:val="26"/>
          <w:szCs w:val="26"/>
          <w:lang w:val="es-CO"/>
        </w:rPr>
      </w:pPr>
      <w:r w:rsidRPr="003C5DE8">
        <w:rPr>
          <w:rFonts w:ascii="Arial Narrow" w:hAnsi="Arial Narrow"/>
          <w:b/>
          <w:color w:val="000000" w:themeColor="text1"/>
          <w:sz w:val="26"/>
          <w:szCs w:val="26"/>
          <w:lang w:val="es-CO"/>
        </w:rPr>
        <w:t>POLITICA DE RECALIFICACION</w:t>
      </w:r>
    </w:p>
    <w:p w14:paraId="5DB5921F" w14:textId="77777777" w:rsidR="00DA1E1C" w:rsidRPr="003C5DE8" w:rsidRDefault="00DA1E1C" w:rsidP="003C5DE8">
      <w:pPr>
        <w:ind w:left="567" w:hanging="567"/>
        <w:rPr>
          <w:rFonts w:ascii="Arial Narrow" w:hAnsi="Arial Narrow"/>
          <w:color w:val="000000" w:themeColor="text1"/>
          <w:sz w:val="26"/>
          <w:szCs w:val="26"/>
          <w:lang w:val="es-CO"/>
        </w:rPr>
      </w:pPr>
    </w:p>
    <w:p w14:paraId="19B395D7" w14:textId="1C292EBA" w:rsidR="00DA1E1C" w:rsidRPr="003C5DE8" w:rsidRDefault="00DA1E1C" w:rsidP="003C5DE8">
      <w:pPr>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Los que resulten de riesgo crítico con</w:t>
      </w:r>
      <w:r w:rsidR="007E17DC" w:rsidRPr="003C5DE8">
        <w:rPr>
          <w:rFonts w:ascii="Arial Narrow" w:hAnsi="Arial Narrow"/>
          <w:color w:val="000000" w:themeColor="text1"/>
          <w:sz w:val="26"/>
          <w:szCs w:val="26"/>
          <w:lang w:val="es-CO"/>
        </w:rPr>
        <w:t xml:space="preserve"> recaudo diferente de libranza y</w:t>
      </w:r>
      <w:r w:rsidRPr="003C5DE8">
        <w:rPr>
          <w:rFonts w:ascii="Arial Narrow" w:hAnsi="Arial Narrow"/>
          <w:color w:val="000000" w:themeColor="text1"/>
          <w:sz w:val="26"/>
          <w:szCs w:val="26"/>
          <w:lang w:val="es-CO"/>
        </w:rPr>
        <w:t xml:space="preserve"> calificación diferente </w:t>
      </w:r>
      <w:r w:rsidR="007E17DC" w:rsidRPr="003C5DE8">
        <w:rPr>
          <w:rFonts w:ascii="Arial Narrow" w:hAnsi="Arial Narrow"/>
          <w:color w:val="000000" w:themeColor="text1"/>
          <w:sz w:val="26"/>
          <w:szCs w:val="26"/>
          <w:lang w:val="es-CO"/>
        </w:rPr>
        <w:t>de “A”</w:t>
      </w:r>
      <w:r w:rsidRPr="003C5DE8">
        <w:rPr>
          <w:rFonts w:ascii="Arial Narrow" w:hAnsi="Arial Narrow"/>
          <w:color w:val="000000" w:themeColor="text1"/>
          <w:sz w:val="26"/>
          <w:szCs w:val="26"/>
          <w:lang w:val="es-CO"/>
        </w:rPr>
        <w:t xml:space="preserve"> en el Fondo que externamente tengan una calificación </w:t>
      </w:r>
      <w:r w:rsidR="007E17DC" w:rsidRPr="003C5DE8">
        <w:rPr>
          <w:rFonts w:ascii="Arial Narrow" w:hAnsi="Arial Narrow"/>
          <w:color w:val="000000" w:themeColor="text1"/>
          <w:sz w:val="26"/>
          <w:szCs w:val="26"/>
          <w:lang w:val="es-CO"/>
        </w:rPr>
        <w:t>mayor o igual a “C”</w:t>
      </w:r>
      <w:r w:rsidRPr="003C5DE8">
        <w:rPr>
          <w:rFonts w:ascii="Arial Narrow" w:hAnsi="Arial Narrow"/>
          <w:color w:val="000000" w:themeColor="text1"/>
          <w:sz w:val="26"/>
          <w:szCs w:val="26"/>
          <w:lang w:val="es-CO"/>
        </w:rPr>
        <w:t xml:space="preserve"> y su Valor neto en riesgo y mora externa &gt;=C es mayor de </w:t>
      </w:r>
      <w:r w:rsidR="007E17DC" w:rsidRPr="003C5DE8">
        <w:rPr>
          <w:rFonts w:ascii="Arial Narrow" w:hAnsi="Arial Narrow"/>
          <w:color w:val="000000" w:themeColor="text1"/>
          <w:sz w:val="26"/>
          <w:szCs w:val="26"/>
          <w:lang w:val="es-CO"/>
        </w:rPr>
        <w:t>2 SMLMV</w:t>
      </w:r>
      <w:r w:rsidRPr="003C5DE8">
        <w:rPr>
          <w:rFonts w:ascii="Arial Narrow" w:hAnsi="Arial Narrow"/>
          <w:color w:val="000000" w:themeColor="text1"/>
          <w:sz w:val="26"/>
          <w:szCs w:val="26"/>
          <w:lang w:val="es-CO"/>
        </w:rPr>
        <w:t>, se deterioran un nivel del que les corresponde por altura de mora.</w:t>
      </w:r>
    </w:p>
    <w:p w14:paraId="19882622" w14:textId="77777777" w:rsidR="00DA1E1C" w:rsidRPr="003C5DE8" w:rsidRDefault="00DA1E1C" w:rsidP="003C5DE8">
      <w:pPr>
        <w:ind w:left="567" w:hanging="567"/>
        <w:rPr>
          <w:rFonts w:ascii="Arial Narrow" w:hAnsi="Arial Narrow"/>
          <w:color w:val="000000" w:themeColor="text1"/>
          <w:sz w:val="26"/>
          <w:szCs w:val="26"/>
          <w:lang w:val="es-CO"/>
        </w:rPr>
      </w:pPr>
    </w:p>
    <w:p w14:paraId="172BB5B4" w14:textId="77777777" w:rsidR="00DA1E1C" w:rsidRPr="003C5DE8" w:rsidRDefault="00DA1E1C" w:rsidP="003C5DE8">
      <w:pPr>
        <w:pBdr>
          <w:bottom w:val="single" w:sz="4" w:space="1" w:color="auto"/>
        </w:pBdr>
        <w:shd w:val="clear" w:color="auto" w:fill="CCC0D9" w:themeFill="accent4" w:themeFillTint="66"/>
        <w:ind w:left="567" w:hanging="567"/>
        <w:rPr>
          <w:rFonts w:ascii="Arial Narrow" w:hAnsi="Arial Narrow"/>
          <w:b/>
          <w:color w:val="000000" w:themeColor="text1"/>
          <w:sz w:val="26"/>
          <w:szCs w:val="26"/>
          <w:lang w:val="es-CO"/>
        </w:rPr>
      </w:pPr>
      <w:r w:rsidRPr="003C5DE8">
        <w:rPr>
          <w:rFonts w:ascii="Arial Narrow" w:hAnsi="Arial Narrow"/>
          <w:b/>
          <w:color w:val="000000" w:themeColor="text1"/>
          <w:sz w:val="26"/>
          <w:szCs w:val="26"/>
          <w:lang w:val="es-CO"/>
        </w:rPr>
        <w:t>CONSTITUCION DE DETERIORO</w:t>
      </w:r>
    </w:p>
    <w:p w14:paraId="02E67B95" w14:textId="77777777" w:rsidR="00DA1E1C" w:rsidRPr="003C5DE8" w:rsidRDefault="00DA1E1C" w:rsidP="003C5DE8">
      <w:pPr>
        <w:ind w:left="567" w:hanging="567"/>
        <w:rPr>
          <w:rFonts w:ascii="Arial Narrow" w:hAnsi="Arial Narrow"/>
          <w:color w:val="000000" w:themeColor="text1"/>
          <w:sz w:val="26"/>
          <w:szCs w:val="26"/>
          <w:lang w:val="es-CO"/>
        </w:rPr>
      </w:pPr>
    </w:p>
    <w:p w14:paraId="5F1FB7A7" w14:textId="28B18DB9" w:rsidR="00DA1E1C" w:rsidRPr="003C5DE8" w:rsidRDefault="00DA1E1C" w:rsidP="003C5DE8">
      <w:pPr>
        <w:widowControl/>
        <w:autoSpaceDE/>
        <w:autoSpaceDN/>
        <w:ind w:right="9"/>
        <w:contextualSpacing/>
        <w:jc w:val="both"/>
        <w:rPr>
          <w:rFonts w:ascii="Arial Narrow" w:hAnsi="Arial Narrow"/>
          <w:color w:val="000000" w:themeColor="text1"/>
          <w:sz w:val="26"/>
          <w:szCs w:val="26"/>
          <w:lang w:val="es-CO"/>
        </w:rPr>
      </w:pPr>
      <w:r w:rsidRPr="003C5DE8">
        <w:rPr>
          <w:rFonts w:ascii="Arial Narrow" w:hAnsi="Arial Narrow"/>
          <w:color w:val="000000" w:themeColor="text1"/>
          <w:sz w:val="26"/>
          <w:szCs w:val="26"/>
          <w:lang w:val="es-CO"/>
        </w:rPr>
        <w:t xml:space="preserve">El deterioro se constituirá con el modelo de altura de mora contenido en el ANEXO 1 </w:t>
      </w:r>
    </w:p>
    <w:sectPr w:rsidR="00DA1E1C" w:rsidRPr="003C5DE8" w:rsidSect="009612C7">
      <w:headerReference w:type="default" r:id="rId10"/>
      <w:pgSz w:w="11910" w:h="16840" w:code="9"/>
      <w:pgMar w:top="1311" w:right="1080" w:bottom="1440" w:left="1080" w:header="284"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F512FD" w14:textId="77777777" w:rsidR="001F6017" w:rsidRDefault="001F6017" w:rsidP="00A13459">
      <w:r>
        <w:separator/>
      </w:r>
    </w:p>
  </w:endnote>
  <w:endnote w:type="continuationSeparator" w:id="0">
    <w:p w14:paraId="71E2B4B0" w14:textId="77777777" w:rsidR="001F6017" w:rsidRDefault="001F6017" w:rsidP="00A134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Helvetica Neue">
    <w:charset w:val="00"/>
    <w:family w:val="auto"/>
    <w:pitch w:val="variable"/>
    <w:sig w:usb0="E50002FF" w:usb1="500079DB" w:usb2="00000010" w:usb3="00000000" w:csb0="00000001" w:csb1="00000000"/>
  </w:font>
  <w:font w:name="ZapfHumnst Dm BT">
    <w:altName w:val="Lucida Sans Unicode"/>
    <w:charset w:val="00"/>
    <w:family w:val="swiss"/>
    <w:pitch w:val="variable"/>
    <w:sig w:usb0="00000001" w:usb1="00000000" w:usb2="00000000" w:usb3="00000000" w:csb0="0000001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0BF845" w14:textId="77777777" w:rsidR="001F6017" w:rsidRDefault="001F6017" w:rsidP="00A13459">
      <w:r>
        <w:separator/>
      </w:r>
    </w:p>
  </w:footnote>
  <w:footnote w:type="continuationSeparator" w:id="0">
    <w:p w14:paraId="77658A0D" w14:textId="77777777" w:rsidR="001F6017" w:rsidRDefault="001F6017" w:rsidP="00A13459">
      <w:r>
        <w:continuationSeparator/>
      </w:r>
    </w:p>
  </w:footnote>
  <w:footnote w:id="1">
    <w:p w14:paraId="034E546B" w14:textId="77777777" w:rsidR="0010027E" w:rsidRPr="006B1D05" w:rsidRDefault="0010027E" w:rsidP="0010027E">
      <w:pPr>
        <w:pStyle w:val="Textonotapie"/>
        <w:jc w:val="both"/>
        <w:rPr>
          <w:rFonts w:ascii="Arial" w:hAnsi="Arial" w:cs="Arial"/>
          <w:sz w:val="18"/>
          <w:szCs w:val="18"/>
          <w:lang w:val="es-CO"/>
        </w:rPr>
      </w:pPr>
      <w:r w:rsidRPr="005B1AD5">
        <w:rPr>
          <w:rStyle w:val="Refdenotaalpie"/>
          <w:rFonts w:ascii="Arial" w:hAnsi="Arial" w:cs="Arial"/>
          <w:sz w:val="18"/>
          <w:szCs w:val="18"/>
        </w:rPr>
        <w:footnoteRef/>
      </w:r>
      <w:r w:rsidRPr="006B1D05">
        <w:rPr>
          <w:rFonts w:ascii="Arial" w:hAnsi="Arial" w:cs="Arial"/>
          <w:sz w:val="18"/>
          <w:szCs w:val="18"/>
          <w:lang w:val="es-CO"/>
        </w:rPr>
        <w:t xml:space="preserve"> Decreto 2555 de 2010</w:t>
      </w:r>
    </w:p>
  </w:footnote>
  <w:footnote w:id="2">
    <w:p w14:paraId="6F092C6A" w14:textId="77777777" w:rsidR="0010027E" w:rsidRPr="006B1D05" w:rsidRDefault="0010027E" w:rsidP="0010027E">
      <w:pPr>
        <w:pStyle w:val="Textonotapie"/>
        <w:jc w:val="both"/>
        <w:rPr>
          <w:rFonts w:ascii="Arial" w:hAnsi="Arial" w:cs="Arial"/>
          <w:sz w:val="18"/>
          <w:szCs w:val="18"/>
          <w:lang w:val="es-CO"/>
        </w:rPr>
      </w:pPr>
      <w:r w:rsidRPr="005B1AD5">
        <w:rPr>
          <w:rStyle w:val="Refdenotaalpie"/>
          <w:rFonts w:ascii="Arial" w:hAnsi="Arial" w:cs="Arial"/>
          <w:sz w:val="18"/>
          <w:szCs w:val="18"/>
        </w:rPr>
        <w:footnoteRef/>
      </w:r>
      <w:r w:rsidRPr="006B1D05">
        <w:rPr>
          <w:rFonts w:ascii="Arial" w:hAnsi="Arial" w:cs="Arial"/>
          <w:sz w:val="18"/>
          <w:szCs w:val="18"/>
          <w:lang w:val="es-CO"/>
        </w:rPr>
        <w:t xml:space="preserve"> Exigible por el Decreto 961 de 2018 hoy incorporado al Decreto 1068 de 2015</w:t>
      </w:r>
    </w:p>
  </w:footnote>
  <w:footnote w:id="3">
    <w:p w14:paraId="4DF9CA68" w14:textId="77777777" w:rsidR="0010027E" w:rsidRPr="006B1D05" w:rsidRDefault="0010027E" w:rsidP="0010027E">
      <w:pPr>
        <w:pStyle w:val="Textonotapie"/>
        <w:jc w:val="both"/>
        <w:rPr>
          <w:rFonts w:ascii="Arial" w:hAnsi="Arial" w:cs="Arial"/>
          <w:sz w:val="18"/>
          <w:szCs w:val="18"/>
          <w:lang w:val="es-CO"/>
        </w:rPr>
      </w:pPr>
      <w:r w:rsidRPr="005B1AD5">
        <w:rPr>
          <w:rStyle w:val="Refdenotaalpie"/>
          <w:rFonts w:ascii="Arial" w:hAnsi="Arial" w:cs="Arial"/>
          <w:sz w:val="18"/>
          <w:szCs w:val="18"/>
        </w:rPr>
        <w:footnoteRef/>
      </w:r>
      <w:r w:rsidRPr="006B1D05">
        <w:rPr>
          <w:rFonts w:ascii="Arial" w:hAnsi="Arial" w:cs="Arial"/>
          <w:sz w:val="18"/>
          <w:szCs w:val="18"/>
          <w:lang w:val="es-CO"/>
        </w:rPr>
        <w:t xml:space="preserve"> Exigible por el Decreto 344 de 2017 para los Fondos de Empleados de categoría plena modificado por el Decreto 962 de 2018 e incorporados al Decreto 1068 de 2015.</w:t>
      </w:r>
    </w:p>
  </w:footnote>
  <w:footnote w:id="4">
    <w:p w14:paraId="02D6D7EB" w14:textId="77777777" w:rsidR="0010027E" w:rsidRPr="005B1AD5" w:rsidRDefault="0010027E" w:rsidP="0010027E">
      <w:pPr>
        <w:pStyle w:val="Textonotapie"/>
        <w:jc w:val="both"/>
        <w:rPr>
          <w:rFonts w:ascii="Arial" w:hAnsi="Arial" w:cs="Arial"/>
          <w:sz w:val="18"/>
          <w:szCs w:val="18"/>
          <w:lang w:val="es-CO"/>
        </w:rPr>
      </w:pPr>
      <w:r w:rsidRPr="005B1AD5">
        <w:rPr>
          <w:rStyle w:val="Refdenotaalpie"/>
          <w:rFonts w:ascii="Arial" w:hAnsi="Arial" w:cs="Arial"/>
          <w:sz w:val="18"/>
          <w:szCs w:val="18"/>
        </w:rPr>
        <w:footnoteRef/>
      </w:r>
      <w:r w:rsidRPr="006B1D05">
        <w:rPr>
          <w:rFonts w:ascii="Arial" w:hAnsi="Arial" w:cs="Arial"/>
          <w:sz w:val="18"/>
          <w:szCs w:val="18"/>
          <w:lang w:val="es-CO"/>
        </w:rPr>
        <w:t xml:space="preserve"> </w:t>
      </w:r>
      <w:r w:rsidRPr="005B1AD5">
        <w:rPr>
          <w:rFonts w:ascii="Arial" w:hAnsi="Arial" w:cs="Arial"/>
          <w:bCs/>
          <w:color w:val="000000" w:themeColor="text1"/>
          <w:sz w:val="18"/>
          <w:szCs w:val="18"/>
          <w:lang w:val="es-MX"/>
        </w:rPr>
        <w:t>Las cooperativas de ahorro y crédito, multiactivas e integrales con sección de ahorro y crédito, y los fondos de empleados de categoría plena deberán aplicar los límites establecidos en el Decreto 1068 de 2015.</w:t>
      </w:r>
    </w:p>
  </w:footnote>
  <w:footnote w:id="5">
    <w:p w14:paraId="07260793" w14:textId="77777777" w:rsidR="0010027E" w:rsidRPr="005B1AD5" w:rsidRDefault="0010027E" w:rsidP="0010027E">
      <w:pPr>
        <w:pStyle w:val="Textonotapie"/>
        <w:jc w:val="both"/>
        <w:rPr>
          <w:rFonts w:ascii="Arial" w:hAnsi="Arial" w:cs="Arial"/>
          <w:sz w:val="18"/>
          <w:szCs w:val="18"/>
          <w:lang w:val="es-CO"/>
        </w:rPr>
      </w:pPr>
      <w:r w:rsidRPr="005B1AD5">
        <w:rPr>
          <w:rStyle w:val="Refdenotaalpie"/>
          <w:rFonts w:ascii="Arial" w:hAnsi="Arial" w:cs="Arial"/>
          <w:sz w:val="18"/>
          <w:szCs w:val="18"/>
        </w:rPr>
        <w:footnoteRef/>
      </w:r>
      <w:r w:rsidRPr="006B1D05">
        <w:rPr>
          <w:rFonts w:ascii="Arial" w:hAnsi="Arial" w:cs="Arial"/>
          <w:sz w:val="18"/>
          <w:szCs w:val="18"/>
          <w:lang w:val="es-CO"/>
        </w:rPr>
        <w:t xml:space="preserve"> Se entenderá como avalúo técnico aquel avalúo que atienda como mínimo los criterios y parámetros establecidos en los artículos 1 y 2 del Decreto 422 de 2000 y demás normas que lo modifiquen o sustituyan.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0" w:type="auto"/>
      <w:jc w:val="center"/>
      <w:tblLook w:val="04A0" w:firstRow="1" w:lastRow="0" w:firstColumn="1" w:lastColumn="0" w:noHBand="0" w:noVBand="1"/>
    </w:tblPr>
    <w:tblGrid>
      <w:gridCol w:w="954"/>
      <w:gridCol w:w="7938"/>
      <w:gridCol w:w="848"/>
    </w:tblGrid>
    <w:tr w:rsidR="0067355E" w:rsidRPr="00657CA5" w14:paraId="74DA5156" w14:textId="77777777" w:rsidTr="006554CE">
      <w:trPr>
        <w:jc w:val="center"/>
      </w:trPr>
      <w:tc>
        <w:tcPr>
          <w:tcW w:w="959" w:type="dxa"/>
        </w:tcPr>
        <w:p w14:paraId="091B4487" w14:textId="70A1396D" w:rsidR="0067355E" w:rsidRPr="00657CA5" w:rsidRDefault="009A4C18" w:rsidP="0067355E">
          <w:pPr>
            <w:pStyle w:val="Encabezado"/>
            <w:rPr>
              <w:rFonts w:ascii="Arial Narrow" w:hAnsi="Arial Narrow"/>
            </w:rPr>
          </w:pPr>
          <w:r>
            <w:rPr>
              <w:rFonts w:ascii="Arial Narrow" w:hAnsi="Arial Narrow"/>
            </w:rPr>
            <w:t>LOGO</w:t>
          </w:r>
        </w:p>
      </w:tc>
      <w:tc>
        <w:tcPr>
          <w:tcW w:w="8080" w:type="dxa"/>
        </w:tcPr>
        <w:p w14:paraId="7620B4B9" w14:textId="6A251EEF" w:rsidR="0067355E" w:rsidRPr="00657CA5" w:rsidRDefault="0067355E" w:rsidP="0067355E">
          <w:pPr>
            <w:pStyle w:val="Encabezado"/>
            <w:jc w:val="center"/>
            <w:rPr>
              <w:rFonts w:ascii="Arial Narrow" w:hAnsi="Arial Narrow"/>
              <w:b/>
              <w:bCs/>
              <w:color w:val="FF0000"/>
              <w:sz w:val="28"/>
              <w:szCs w:val="28"/>
              <w:lang w:val="es-CO"/>
            </w:rPr>
          </w:pPr>
          <w:r w:rsidRPr="00657CA5">
            <w:rPr>
              <w:rFonts w:ascii="Arial Narrow" w:hAnsi="Arial Narrow"/>
              <w:b/>
              <w:bCs/>
              <w:color w:val="FF0000"/>
              <w:sz w:val="28"/>
              <w:szCs w:val="28"/>
              <w:lang w:val="es-CO"/>
            </w:rPr>
            <w:t xml:space="preserve">FONDO DE EMPLEADOS </w:t>
          </w:r>
          <w:r w:rsidR="009A4C18">
            <w:rPr>
              <w:rFonts w:ascii="Arial Narrow" w:hAnsi="Arial Narrow"/>
              <w:b/>
              <w:bCs/>
              <w:color w:val="FF0000"/>
              <w:sz w:val="28"/>
              <w:szCs w:val="28"/>
              <w:lang w:val="es-CO"/>
            </w:rPr>
            <w:t>FONDEJEMPLO</w:t>
          </w:r>
        </w:p>
        <w:p w14:paraId="5FC21A8F" w14:textId="77777777" w:rsidR="0067355E" w:rsidRPr="00657CA5" w:rsidRDefault="0067355E" w:rsidP="0067355E">
          <w:pPr>
            <w:pStyle w:val="Encabezado"/>
            <w:jc w:val="center"/>
            <w:rPr>
              <w:rFonts w:ascii="Arial Narrow" w:hAnsi="Arial Narrow"/>
              <w:b/>
              <w:bCs/>
              <w:color w:val="FF0000"/>
              <w:sz w:val="28"/>
              <w:szCs w:val="28"/>
              <w:lang w:val="es-CO"/>
            </w:rPr>
          </w:pPr>
          <w:r w:rsidRPr="00657CA5">
            <w:rPr>
              <w:rFonts w:ascii="Arial Narrow" w:hAnsi="Arial Narrow"/>
              <w:b/>
              <w:bCs/>
              <w:color w:val="FF0000"/>
              <w:sz w:val="28"/>
              <w:szCs w:val="28"/>
              <w:lang w:val="es-CO"/>
            </w:rPr>
            <w:t>MANUAL SARC: Otorgamiento, Seguimiento y Recuperación</w:t>
          </w:r>
        </w:p>
      </w:tc>
      <w:tc>
        <w:tcPr>
          <w:tcW w:w="851" w:type="dxa"/>
        </w:tcPr>
        <w:p w14:paraId="3481DBCF" w14:textId="77777777" w:rsidR="0067355E" w:rsidRPr="00657CA5" w:rsidRDefault="0067355E" w:rsidP="0067355E">
          <w:pPr>
            <w:pStyle w:val="Encabezado"/>
            <w:jc w:val="center"/>
            <w:rPr>
              <w:rFonts w:ascii="Arial Narrow" w:hAnsi="Arial Narrow"/>
            </w:rPr>
          </w:pPr>
          <w:r w:rsidRPr="00AB0661">
            <w:rPr>
              <w:rFonts w:ascii="Arial Narrow" w:hAnsi="Arial Narrow"/>
              <w:sz w:val="20"/>
              <w:szCs w:val="20"/>
              <w:lang w:val="es-ES"/>
            </w:rPr>
            <w:t xml:space="preserve">Página </w:t>
          </w:r>
          <w:r w:rsidRPr="00AB0661">
            <w:rPr>
              <w:rFonts w:ascii="Arial Narrow" w:hAnsi="Arial Narrow"/>
              <w:b/>
              <w:bCs/>
              <w:sz w:val="20"/>
              <w:szCs w:val="20"/>
            </w:rPr>
            <w:fldChar w:fldCharType="begin"/>
          </w:r>
          <w:r w:rsidRPr="00AB0661">
            <w:rPr>
              <w:rFonts w:ascii="Arial Narrow" w:hAnsi="Arial Narrow"/>
              <w:b/>
              <w:bCs/>
              <w:sz w:val="20"/>
              <w:szCs w:val="20"/>
            </w:rPr>
            <w:instrText>PAGE  \* Arabic  \* MERGEFORMAT</w:instrText>
          </w:r>
          <w:r w:rsidRPr="00AB0661">
            <w:rPr>
              <w:rFonts w:ascii="Arial Narrow" w:hAnsi="Arial Narrow"/>
              <w:b/>
              <w:bCs/>
              <w:sz w:val="20"/>
              <w:szCs w:val="20"/>
            </w:rPr>
            <w:fldChar w:fldCharType="separate"/>
          </w:r>
          <w:r w:rsidRPr="00AB0661">
            <w:rPr>
              <w:rFonts w:ascii="Arial Narrow" w:hAnsi="Arial Narrow"/>
              <w:b/>
              <w:bCs/>
              <w:sz w:val="20"/>
              <w:szCs w:val="20"/>
              <w:lang w:val="es-ES"/>
            </w:rPr>
            <w:t>1</w:t>
          </w:r>
          <w:r w:rsidRPr="00AB0661">
            <w:rPr>
              <w:rFonts w:ascii="Arial Narrow" w:hAnsi="Arial Narrow"/>
              <w:b/>
              <w:bCs/>
              <w:sz w:val="20"/>
              <w:szCs w:val="20"/>
            </w:rPr>
            <w:fldChar w:fldCharType="end"/>
          </w:r>
          <w:r w:rsidRPr="00AB0661">
            <w:rPr>
              <w:rFonts w:ascii="Arial Narrow" w:hAnsi="Arial Narrow"/>
              <w:sz w:val="20"/>
              <w:szCs w:val="20"/>
              <w:lang w:val="es-ES"/>
            </w:rPr>
            <w:t xml:space="preserve"> de </w:t>
          </w:r>
          <w:r w:rsidRPr="00AB0661">
            <w:rPr>
              <w:rFonts w:ascii="Arial Narrow" w:hAnsi="Arial Narrow"/>
              <w:b/>
              <w:bCs/>
              <w:sz w:val="20"/>
              <w:szCs w:val="20"/>
            </w:rPr>
            <w:fldChar w:fldCharType="begin"/>
          </w:r>
          <w:r w:rsidRPr="00AB0661">
            <w:rPr>
              <w:rFonts w:ascii="Arial Narrow" w:hAnsi="Arial Narrow"/>
              <w:b/>
              <w:bCs/>
              <w:sz w:val="20"/>
              <w:szCs w:val="20"/>
            </w:rPr>
            <w:instrText>NUMPAGES  \* Arabic  \* MERGEFORMAT</w:instrText>
          </w:r>
          <w:r w:rsidRPr="00AB0661">
            <w:rPr>
              <w:rFonts w:ascii="Arial Narrow" w:hAnsi="Arial Narrow"/>
              <w:b/>
              <w:bCs/>
              <w:sz w:val="20"/>
              <w:szCs w:val="20"/>
            </w:rPr>
            <w:fldChar w:fldCharType="separate"/>
          </w:r>
          <w:r w:rsidRPr="00AB0661">
            <w:rPr>
              <w:rFonts w:ascii="Arial Narrow" w:hAnsi="Arial Narrow"/>
              <w:b/>
              <w:bCs/>
              <w:sz w:val="20"/>
              <w:szCs w:val="20"/>
              <w:lang w:val="es-ES"/>
            </w:rPr>
            <w:t>2</w:t>
          </w:r>
          <w:r w:rsidRPr="00AB0661">
            <w:rPr>
              <w:rFonts w:ascii="Arial Narrow" w:hAnsi="Arial Narrow"/>
              <w:b/>
              <w:bCs/>
              <w:sz w:val="20"/>
              <w:szCs w:val="20"/>
            </w:rPr>
            <w:fldChar w:fldCharType="end"/>
          </w:r>
        </w:p>
      </w:tc>
    </w:tr>
  </w:tbl>
  <w:p w14:paraId="705DDF39" w14:textId="77777777" w:rsidR="00DF68A5" w:rsidRPr="00A225DD" w:rsidRDefault="00DF68A5" w:rsidP="00A225DD">
    <w:pPr>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B2689"/>
    <w:multiLevelType w:val="hybridMultilevel"/>
    <w:tmpl w:val="0FEE77B0"/>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1FB2115"/>
    <w:multiLevelType w:val="hybridMultilevel"/>
    <w:tmpl w:val="C7B4F4D2"/>
    <w:lvl w:ilvl="0" w:tplc="04090017">
      <w:start w:val="1"/>
      <w:numFmt w:val="lowerLetter"/>
      <w:lvlText w:val="%1)"/>
      <w:lvlJc w:val="left"/>
      <w:pPr>
        <w:ind w:left="720" w:hanging="360"/>
      </w:pPr>
      <w:rPr>
        <w:rFonts w:hint="default"/>
      </w:rPr>
    </w:lvl>
    <w:lvl w:ilvl="1" w:tplc="FFFFFFFF">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45A0DD9"/>
    <w:multiLevelType w:val="hybridMultilevel"/>
    <w:tmpl w:val="0448C1C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5E14992"/>
    <w:multiLevelType w:val="hybridMultilevel"/>
    <w:tmpl w:val="3912E97E"/>
    <w:lvl w:ilvl="0" w:tplc="0409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064E1682"/>
    <w:multiLevelType w:val="hybridMultilevel"/>
    <w:tmpl w:val="7CC8A7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732436F"/>
    <w:multiLevelType w:val="hybridMultilevel"/>
    <w:tmpl w:val="973AF00C"/>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0FC539F7"/>
    <w:multiLevelType w:val="hybridMultilevel"/>
    <w:tmpl w:val="E0C6A9F6"/>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55210FF"/>
    <w:multiLevelType w:val="hybridMultilevel"/>
    <w:tmpl w:val="CF70B0D6"/>
    <w:lvl w:ilvl="0" w:tplc="0409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9FA3B54"/>
    <w:multiLevelType w:val="hybridMultilevel"/>
    <w:tmpl w:val="31F4EC80"/>
    <w:lvl w:ilvl="0" w:tplc="37CCD7FA">
      <w:start w:val="5"/>
      <w:numFmt w:val="bullet"/>
      <w:lvlText w:val="-"/>
      <w:lvlJc w:val="left"/>
      <w:pPr>
        <w:ind w:left="720" w:hanging="360"/>
      </w:pPr>
      <w:rPr>
        <w:rFonts w:ascii="Arial Narrow" w:eastAsiaTheme="minorHAnsi" w:hAnsi="Arial Narrow"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1A0911E2"/>
    <w:multiLevelType w:val="hybridMultilevel"/>
    <w:tmpl w:val="671C3278"/>
    <w:lvl w:ilvl="0" w:tplc="0B0E6EAE">
      <w:start w:val="1"/>
      <w:numFmt w:val="bullet"/>
      <w:lvlText w:val=""/>
      <w:lvlJc w:val="left"/>
      <w:pPr>
        <w:ind w:left="1440" w:hanging="360"/>
      </w:pPr>
      <w:rPr>
        <w:rFonts w:ascii="Symbol" w:hAnsi="Symbol" w:hint="default"/>
        <w:sz w:val="24"/>
        <w:szCs w:val="24"/>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0" w15:restartNumberingAfterBreak="0">
    <w:nsid w:val="1CAE6B6F"/>
    <w:multiLevelType w:val="hybridMultilevel"/>
    <w:tmpl w:val="8280066C"/>
    <w:lvl w:ilvl="0" w:tplc="0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845" w:hanging="360"/>
      </w:pPr>
      <w:rPr>
        <w:rFonts w:ascii="Courier New" w:hAnsi="Courier New" w:cs="Courier New" w:hint="default"/>
      </w:rPr>
    </w:lvl>
    <w:lvl w:ilvl="2" w:tplc="240A0005" w:tentative="1">
      <w:start w:val="1"/>
      <w:numFmt w:val="bullet"/>
      <w:lvlText w:val=""/>
      <w:lvlJc w:val="left"/>
      <w:pPr>
        <w:ind w:left="2565" w:hanging="360"/>
      </w:pPr>
      <w:rPr>
        <w:rFonts w:ascii="Wingdings" w:hAnsi="Wingdings" w:hint="default"/>
      </w:rPr>
    </w:lvl>
    <w:lvl w:ilvl="3" w:tplc="240A0001" w:tentative="1">
      <w:start w:val="1"/>
      <w:numFmt w:val="bullet"/>
      <w:lvlText w:val=""/>
      <w:lvlJc w:val="left"/>
      <w:pPr>
        <w:ind w:left="3285" w:hanging="360"/>
      </w:pPr>
      <w:rPr>
        <w:rFonts w:ascii="Symbol" w:hAnsi="Symbol" w:hint="default"/>
      </w:rPr>
    </w:lvl>
    <w:lvl w:ilvl="4" w:tplc="240A0003" w:tentative="1">
      <w:start w:val="1"/>
      <w:numFmt w:val="bullet"/>
      <w:lvlText w:val="o"/>
      <w:lvlJc w:val="left"/>
      <w:pPr>
        <w:ind w:left="4005" w:hanging="360"/>
      </w:pPr>
      <w:rPr>
        <w:rFonts w:ascii="Courier New" w:hAnsi="Courier New" w:cs="Courier New" w:hint="default"/>
      </w:rPr>
    </w:lvl>
    <w:lvl w:ilvl="5" w:tplc="240A0005" w:tentative="1">
      <w:start w:val="1"/>
      <w:numFmt w:val="bullet"/>
      <w:lvlText w:val=""/>
      <w:lvlJc w:val="left"/>
      <w:pPr>
        <w:ind w:left="4725" w:hanging="360"/>
      </w:pPr>
      <w:rPr>
        <w:rFonts w:ascii="Wingdings" w:hAnsi="Wingdings" w:hint="default"/>
      </w:rPr>
    </w:lvl>
    <w:lvl w:ilvl="6" w:tplc="240A0001" w:tentative="1">
      <w:start w:val="1"/>
      <w:numFmt w:val="bullet"/>
      <w:lvlText w:val=""/>
      <w:lvlJc w:val="left"/>
      <w:pPr>
        <w:ind w:left="5445" w:hanging="360"/>
      </w:pPr>
      <w:rPr>
        <w:rFonts w:ascii="Symbol" w:hAnsi="Symbol" w:hint="default"/>
      </w:rPr>
    </w:lvl>
    <w:lvl w:ilvl="7" w:tplc="240A0003" w:tentative="1">
      <w:start w:val="1"/>
      <w:numFmt w:val="bullet"/>
      <w:lvlText w:val="o"/>
      <w:lvlJc w:val="left"/>
      <w:pPr>
        <w:ind w:left="6165" w:hanging="360"/>
      </w:pPr>
      <w:rPr>
        <w:rFonts w:ascii="Courier New" w:hAnsi="Courier New" w:cs="Courier New" w:hint="default"/>
      </w:rPr>
    </w:lvl>
    <w:lvl w:ilvl="8" w:tplc="240A0005" w:tentative="1">
      <w:start w:val="1"/>
      <w:numFmt w:val="bullet"/>
      <w:lvlText w:val=""/>
      <w:lvlJc w:val="left"/>
      <w:pPr>
        <w:ind w:left="6885" w:hanging="360"/>
      </w:pPr>
      <w:rPr>
        <w:rFonts w:ascii="Wingdings" w:hAnsi="Wingdings" w:hint="default"/>
      </w:rPr>
    </w:lvl>
  </w:abstractNum>
  <w:abstractNum w:abstractNumId="11" w15:restartNumberingAfterBreak="0">
    <w:nsid w:val="1DE10250"/>
    <w:multiLevelType w:val="multilevel"/>
    <w:tmpl w:val="B6ECF5C0"/>
    <w:lvl w:ilvl="0">
      <w:start w:val="4"/>
      <w:numFmt w:val="decimal"/>
      <w:lvlText w:val="%1."/>
      <w:lvlJc w:val="left"/>
      <w:pPr>
        <w:ind w:left="927" w:hanging="360"/>
      </w:pPr>
      <w:rPr>
        <w:rFonts w:hint="default"/>
        <w:i w:val="0"/>
      </w:rPr>
    </w:lvl>
    <w:lvl w:ilvl="1">
      <w:start w:val="1"/>
      <w:numFmt w:val="decimal"/>
      <w:lvlText w:val="%1.%2."/>
      <w:lvlJc w:val="left"/>
      <w:pPr>
        <w:ind w:left="999" w:hanging="432"/>
      </w:pPr>
      <w:rPr>
        <w:rFonts w:hint="default"/>
        <w:b/>
        <w:color w:val="000000" w:themeColor="text1"/>
        <w:sz w:val="22"/>
        <w:szCs w:val="22"/>
      </w:rPr>
    </w:lvl>
    <w:lvl w:ilvl="2">
      <w:start w:val="1"/>
      <w:numFmt w:val="decimal"/>
      <w:lvlText w:val="%1.%2.%3."/>
      <w:lvlJc w:val="left"/>
      <w:pPr>
        <w:ind w:left="1781" w:hanging="504"/>
      </w:pPr>
      <w:rPr>
        <w:rFonts w:ascii="Arial" w:hAnsi="Arial" w:cs="Arial" w:hint="default"/>
        <w:b/>
        <w:i w:val="0"/>
        <w:sz w:val="22"/>
        <w:szCs w:val="22"/>
      </w:rPr>
    </w:lvl>
    <w:lvl w:ilvl="3">
      <w:start w:val="1"/>
      <w:numFmt w:val="decimal"/>
      <w:lvlText w:val="%1.%2.%3.%4."/>
      <w:lvlJc w:val="left"/>
      <w:pPr>
        <w:ind w:left="2295" w:hanging="648"/>
      </w:pPr>
      <w:rPr>
        <w:rFonts w:hint="default"/>
        <w:b/>
        <w:i w:val="0"/>
        <w:color w:val="000000" w:themeColor="text1"/>
        <w:sz w:val="22"/>
        <w:szCs w:val="22"/>
      </w:rPr>
    </w:lvl>
    <w:lvl w:ilvl="4">
      <w:start w:val="1"/>
      <w:numFmt w:val="decimal"/>
      <w:lvlText w:val="%1.%2.%3.%4.%5."/>
      <w:lvlJc w:val="left"/>
      <w:pPr>
        <w:ind w:left="2799" w:hanging="792"/>
      </w:pPr>
      <w:rPr>
        <w:rFonts w:hint="default"/>
        <w:b/>
        <w:i w:val="0"/>
        <w:sz w:val="22"/>
        <w:szCs w:val="22"/>
      </w:rPr>
    </w:lvl>
    <w:lvl w:ilvl="5">
      <w:start w:val="1"/>
      <w:numFmt w:val="decimal"/>
      <w:lvlText w:val="%1.%2.%3.%4.%5.%6."/>
      <w:lvlJc w:val="left"/>
      <w:pPr>
        <w:ind w:left="3303" w:hanging="936"/>
      </w:pPr>
      <w:rPr>
        <w:rFonts w:hint="default"/>
      </w:rPr>
    </w:lvl>
    <w:lvl w:ilvl="6">
      <w:start w:val="1"/>
      <w:numFmt w:val="decimal"/>
      <w:lvlText w:val="%1.%2.%3.%4.%5.%6.%7."/>
      <w:lvlJc w:val="left"/>
      <w:pPr>
        <w:ind w:left="3807" w:hanging="1080"/>
      </w:pPr>
      <w:rPr>
        <w:rFonts w:hint="default"/>
      </w:rPr>
    </w:lvl>
    <w:lvl w:ilvl="7">
      <w:start w:val="1"/>
      <w:numFmt w:val="decimal"/>
      <w:lvlText w:val="%1.%2.%3.%4.%5.%6.%7.%8."/>
      <w:lvlJc w:val="left"/>
      <w:pPr>
        <w:ind w:left="4311" w:hanging="1224"/>
      </w:pPr>
      <w:rPr>
        <w:rFonts w:hint="default"/>
      </w:rPr>
    </w:lvl>
    <w:lvl w:ilvl="8">
      <w:start w:val="1"/>
      <w:numFmt w:val="decimal"/>
      <w:lvlText w:val="%1.%2.%3.%4.%5.%6.%7.%8.%9."/>
      <w:lvlJc w:val="left"/>
      <w:pPr>
        <w:ind w:left="4887" w:hanging="1440"/>
      </w:pPr>
      <w:rPr>
        <w:rFonts w:hint="default"/>
      </w:rPr>
    </w:lvl>
  </w:abstractNum>
  <w:abstractNum w:abstractNumId="12" w15:restartNumberingAfterBreak="0">
    <w:nsid w:val="1EDD3FF2"/>
    <w:multiLevelType w:val="hybridMultilevel"/>
    <w:tmpl w:val="B34285E6"/>
    <w:lvl w:ilvl="0" w:tplc="0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860" w:hanging="360"/>
      </w:pPr>
      <w:rPr>
        <w:rFonts w:ascii="Courier New" w:hAnsi="Courier New" w:cs="Courier New" w:hint="default"/>
      </w:rPr>
    </w:lvl>
    <w:lvl w:ilvl="2" w:tplc="240A0005" w:tentative="1">
      <w:start w:val="1"/>
      <w:numFmt w:val="bullet"/>
      <w:lvlText w:val=""/>
      <w:lvlJc w:val="left"/>
      <w:pPr>
        <w:ind w:left="2580" w:hanging="360"/>
      </w:pPr>
      <w:rPr>
        <w:rFonts w:ascii="Wingdings" w:hAnsi="Wingdings" w:hint="default"/>
      </w:rPr>
    </w:lvl>
    <w:lvl w:ilvl="3" w:tplc="240A0001" w:tentative="1">
      <w:start w:val="1"/>
      <w:numFmt w:val="bullet"/>
      <w:lvlText w:val=""/>
      <w:lvlJc w:val="left"/>
      <w:pPr>
        <w:ind w:left="3300" w:hanging="360"/>
      </w:pPr>
      <w:rPr>
        <w:rFonts w:ascii="Symbol" w:hAnsi="Symbol" w:hint="default"/>
      </w:rPr>
    </w:lvl>
    <w:lvl w:ilvl="4" w:tplc="240A0003" w:tentative="1">
      <w:start w:val="1"/>
      <w:numFmt w:val="bullet"/>
      <w:lvlText w:val="o"/>
      <w:lvlJc w:val="left"/>
      <w:pPr>
        <w:ind w:left="4020" w:hanging="360"/>
      </w:pPr>
      <w:rPr>
        <w:rFonts w:ascii="Courier New" w:hAnsi="Courier New" w:cs="Courier New" w:hint="default"/>
      </w:rPr>
    </w:lvl>
    <w:lvl w:ilvl="5" w:tplc="240A0005" w:tentative="1">
      <w:start w:val="1"/>
      <w:numFmt w:val="bullet"/>
      <w:lvlText w:val=""/>
      <w:lvlJc w:val="left"/>
      <w:pPr>
        <w:ind w:left="4740" w:hanging="360"/>
      </w:pPr>
      <w:rPr>
        <w:rFonts w:ascii="Wingdings" w:hAnsi="Wingdings" w:hint="default"/>
      </w:rPr>
    </w:lvl>
    <w:lvl w:ilvl="6" w:tplc="240A0001" w:tentative="1">
      <w:start w:val="1"/>
      <w:numFmt w:val="bullet"/>
      <w:lvlText w:val=""/>
      <w:lvlJc w:val="left"/>
      <w:pPr>
        <w:ind w:left="5460" w:hanging="360"/>
      </w:pPr>
      <w:rPr>
        <w:rFonts w:ascii="Symbol" w:hAnsi="Symbol" w:hint="default"/>
      </w:rPr>
    </w:lvl>
    <w:lvl w:ilvl="7" w:tplc="240A0003" w:tentative="1">
      <w:start w:val="1"/>
      <w:numFmt w:val="bullet"/>
      <w:lvlText w:val="o"/>
      <w:lvlJc w:val="left"/>
      <w:pPr>
        <w:ind w:left="6180" w:hanging="360"/>
      </w:pPr>
      <w:rPr>
        <w:rFonts w:ascii="Courier New" w:hAnsi="Courier New" w:cs="Courier New" w:hint="default"/>
      </w:rPr>
    </w:lvl>
    <w:lvl w:ilvl="8" w:tplc="240A0005" w:tentative="1">
      <w:start w:val="1"/>
      <w:numFmt w:val="bullet"/>
      <w:lvlText w:val=""/>
      <w:lvlJc w:val="left"/>
      <w:pPr>
        <w:ind w:left="6900" w:hanging="360"/>
      </w:pPr>
      <w:rPr>
        <w:rFonts w:ascii="Wingdings" w:hAnsi="Wingdings" w:hint="default"/>
      </w:rPr>
    </w:lvl>
  </w:abstractNum>
  <w:abstractNum w:abstractNumId="13" w15:restartNumberingAfterBreak="0">
    <w:nsid w:val="1FFB28B5"/>
    <w:multiLevelType w:val="hybridMultilevel"/>
    <w:tmpl w:val="BBA89BD0"/>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20CC6F8C"/>
    <w:multiLevelType w:val="hybridMultilevel"/>
    <w:tmpl w:val="58C054F4"/>
    <w:lvl w:ilvl="0" w:tplc="72267E72">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CE6B23C">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1F82118">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79E86E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85AC90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9CE1DD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07A2CF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5FC889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842949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20D00F00"/>
    <w:multiLevelType w:val="hybridMultilevel"/>
    <w:tmpl w:val="50EE28DC"/>
    <w:lvl w:ilvl="0" w:tplc="240A0019">
      <w:start w:val="1"/>
      <w:numFmt w:val="lowerLetter"/>
      <w:lvlText w:val="%1."/>
      <w:lvlJc w:val="left"/>
      <w:pPr>
        <w:ind w:left="430" w:hanging="360"/>
      </w:pPr>
      <w:rPr>
        <w:rFonts w:hint="default"/>
      </w:rPr>
    </w:lvl>
    <w:lvl w:ilvl="1" w:tplc="240A0003">
      <w:start w:val="1"/>
      <w:numFmt w:val="bullet"/>
      <w:lvlText w:val="o"/>
      <w:lvlJc w:val="left"/>
      <w:pPr>
        <w:ind w:left="1150" w:hanging="360"/>
      </w:pPr>
      <w:rPr>
        <w:rFonts w:ascii="Courier New" w:hAnsi="Courier New" w:cs="Courier New" w:hint="default"/>
      </w:rPr>
    </w:lvl>
    <w:lvl w:ilvl="2" w:tplc="240A0005" w:tentative="1">
      <w:start w:val="1"/>
      <w:numFmt w:val="bullet"/>
      <w:lvlText w:val=""/>
      <w:lvlJc w:val="left"/>
      <w:pPr>
        <w:ind w:left="1870" w:hanging="360"/>
      </w:pPr>
      <w:rPr>
        <w:rFonts w:ascii="Wingdings" w:hAnsi="Wingdings" w:hint="default"/>
      </w:rPr>
    </w:lvl>
    <w:lvl w:ilvl="3" w:tplc="240A0001" w:tentative="1">
      <w:start w:val="1"/>
      <w:numFmt w:val="bullet"/>
      <w:lvlText w:val=""/>
      <w:lvlJc w:val="left"/>
      <w:pPr>
        <w:ind w:left="2590" w:hanging="360"/>
      </w:pPr>
      <w:rPr>
        <w:rFonts w:ascii="Symbol" w:hAnsi="Symbol" w:hint="default"/>
      </w:rPr>
    </w:lvl>
    <w:lvl w:ilvl="4" w:tplc="240A0003" w:tentative="1">
      <w:start w:val="1"/>
      <w:numFmt w:val="bullet"/>
      <w:lvlText w:val="o"/>
      <w:lvlJc w:val="left"/>
      <w:pPr>
        <w:ind w:left="3310" w:hanging="360"/>
      </w:pPr>
      <w:rPr>
        <w:rFonts w:ascii="Courier New" w:hAnsi="Courier New" w:cs="Courier New" w:hint="default"/>
      </w:rPr>
    </w:lvl>
    <w:lvl w:ilvl="5" w:tplc="240A0005" w:tentative="1">
      <w:start w:val="1"/>
      <w:numFmt w:val="bullet"/>
      <w:lvlText w:val=""/>
      <w:lvlJc w:val="left"/>
      <w:pPr>
        <w:ind w:left="4030" w:hanging="360"/>
      </w:pPr>
      <w:rPr>
        <w:rFonts w:ascii="Wingdings" w:hAnsi="Wingdings" w:hint="default"/>
      </w:rPr>
    </w:lvl>
    <w:lvl w:ilvl="6" w:tplc="240A0001" w:tentative="1">
      <w:start w:val="1"/>
      <w:numFmt w:val="bullet"/>
      <w:lvlText w:val=""/>
      <w:lvlJc w:val="left"/>
      <w:pPr>
        <w:ind w:left="4750" w:hanging="360"/>
      </w:pPr>
      <w:rPr>
        <w:rFonts w:ascii="Symbol" w:hAnsi="Symbol" w:hint="default"/>
      </w:rPr>
    </w:lvl>
    <w:lvl w:ilvl="7" w:tplc="240A0003" w:tentative="1">
      <w:start w:val="1"/>
      <w:numFmt w:val="bullet"/>
      <w:lvlText w:val="o"/>
      <w:lvlJc w:val="left"/>
      <w:pPr>
        <w:ind w:left="5470" w:hanging="360"/>
      </w:pPr>
      <w:rPr>
        <w:rFonts w:ascii="Courier New" w:hAnsi="Courier New" w:cs="Courier New" w:hint="default"/>
      </w:rPr>
    </w:lvl>
    <w:lvl w:ilvl="8" w:tplc="240A0005" w:tentative="1">
      <w:start w:val="1"/>
      <w:numFmt w:val="bullet"/>
      <w:lvlText w:val=""/>
      <w:lvlJc w:val="left"/>
      <w:pPr>
        <w:ind w:left="6190" w:hanging="360"/>
      </w:pPr>
      <w:rPr>
        <w:rFonts w:ascii="Wingdings" w:hAnsi="Wingdings" w:hint="default"/>
      </w:rPr>
    </w:lvl>
  </w:abstractNum>
  <w:abstractNum w:abstractNumId="16" w15:restartNumberingAfterBreak="0">
    <w:nsid w:val="229E4AAF"/>
    <w:multiLevelType w:val="hybridMultilevel"/>
    <w:tmpl w:val="D338A67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77C01AD"/>
    <w:multiLevelType w:val="hybridMultilevel"/>
    <w:tmpl w:val="0B3419D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8DC4CA7"/>
    <w:multiLevelType w:val="hybridMultilevel"/>
    <w:tmpl w:val="CA1041DC"/>
    <w:lvl w:ilvl="0" w:tplc="25EAD256">
      <w:start w:val="1"/>
      <w:numFmt w:val="bullet"/>
      <w:lvlText w:val="•"/>
      <w:lvlJc w:val="left"/>
      <w:pPr>
        <w:tabs>
          <w:tab w:val="num" w:pos="-1800"/>
        </w:tabs>
        <w:ind w:left="-1800" w:hanging="360"/>
      </w:pPr>
      <w:rPr>
        <w:rFonts w:ascii="Times New Roman" w:hAnsi="Times New Roman"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360" w:hanging="360"/>
      </w:pPr>
      <w:rPr>
        <w:rFonts w:ascii="Wingdings" w:hAnsi="Wingdings" w:hint="default"/>
      </w:rPr>
    </w:lvl>
    <w:lvl w:ilvl="3" w:tplc="240A0001" w:tentative="1">
      <w:start w:val="1"/>
      <w:numFmt w:val="bullet"/>
      <w:lvlText w:val=""/>
      <w:lvlJc w:val="left"/>
      <w:pPr>
        <w:ind w:left="360" w:hanging="360"/>
      </w:pPr>
      <w:rPr>
        <w:rFonts w:ascii="Symbol" w:hAnsi="Symbol" w:hint="default"/>
      </w:rPr>
    </w:lvl>
    <w:lvl w:ilvl="4" w:tplc="240A0003" w:tentative="1">
      <w:start w:val="1"/>
      <w:numFmt w:val="bullet"/>
      <w:lvlText w:val="o"/>
      <w:lvlJc w:val="left"/>
      <w:pPr>
        <w:ind w:left="1080" w:hanging="360"/>
      </w:pPr>
      <w:rPr>
        <w:rFonts w:ascii="Courier New" w:hAnsi="Courier New" w:cs="Courier New" w:hint="default"/>
      </w:rPr>
    </w:lvl>
    <w:lvl w:ilvl="5" w:tplc="240A0005" w:tentative="1">
      <w:start w:val="1"/>
      <w:numFmt w:val="bullet"/>
      <w:lvlText w:val=""/>
      <w:lvlJc w:val="left"/>
      <w:pPr>
        <w:ind w:left="1800" w:hanging="360"/>
      </w:pPr>
      <w:rPr>
        <w:rFonts w:ascii="Wingdings" w:hAnsi="Wingdings" w:hint="default"/>
      </w:rPr>
    </w:lvl>
    <w:lvl w:ilvl="6" w:tplc="240A0001" w:tentative="1">
      <w:start w:val="1"/>
      <w:numFmt w:val="bullet"/>
      <w:lvlText w:val=""/>
      <w:lvlJc w:val="left"/>
      <w:pPr>
        <w:ind w:left="2520" w:hanging="360"/>
      </w:pPr>
      <w:rPr>
        <w:rFonts w:ascii="Symbol" w:hAnsi="Symbol" w:hint="default"/>
      </w:rPr>
    </w:lvl>
    <w:lvl w:ilvl="7" w:tplc="240A0003" w:tentative="1">
      <w:start w:val="1"/>
      <w:numFmt w:val="bullet"/>
      <w:lvlText w:val="o"/>
      <w:lvlJc w:val="left"/>
      <w:pPr>
        <w:ind w:left="3240" w:hanging="360"/>
      </w:pPr>
      <w:rPr>
        <w:rFonts w:ascii="Courier New" w:hAnsi="Courier New" w:cs="Courier New" w:hint="default"/>
      </w:rPr>
    </w:lvl>
    <w:lvl w:ilvl="8" w:tplc="240A0005" w:tentative="1">
      <w:start w:val="1"/>
      <w:numFmt w:val="bullet"/>
      <w:lvlText w:val=""/>
      <w:lvlJc w:val="left"/>
      <w:pPr>
        <w:ind w:left="3960" w:hanging="360"/>
      </w:pPr>
      <w:rPr>
        <w:rFonts w:ascii="Wingdings" w:hAnsi="Wingdings" w:hint="default"/>
      </w:rPr>
    </w:lvl>
  </w:abstractNum>
  <w:abstractNum w:abstractNumId="19" w15:restartNumberingAfterBreak="0">
    <w:nsid w:val="2C8518D1"/>
    <w:multiLevelType w:val="hybridMultilevel"/>
    <w:tmpl w:val="186E762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2C9C0617"/>
    <w:multiLevelType w:val="hybridMultilevel"/>
    <w:tmpl w:val="A918B216"/>
    <w:lvl w:ilvl="0" w:tplc="0409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2F760634"/>
    <w:multiLevelType w:val="hybridMultilevel"/>
    <w:tmpl w:val="02108EE2"/>
    <w:lvl w:ilvl="0" w:tplc="31A297EE">
      <w:start w:val="1"/>
      <w:numFmt w:val="decimal"/>
      <w:lvlText w:val="%1."/>
      <w:lvlJc w:val="left"/>
      <w:pPr>
        <w:ind w:left="720" w:hanging="360"/>
      </w:pPr>
      <w:rPr>
        <w:rFonts w:hint="default"/>
        <w:b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30C65707"/>
    <w:multiLevelType w:val="hybridMultilevel"/>
    <w:tmpl w:val="CA78DF8A"/>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32134D79"/>
    <w:multiLevelType w:val="hybridMultilevel"/>
    <w:tmpl w:val="B590E968"/>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335F033D"/>
    <w:multiLevelType w:val="hybridMultilevel"/>
    <w:tmpl w:val="D0C0D2DA"/>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37561DC8"/>
    <w:multiLevelType w:val="hybridMultilevel"/>
    <w:tmpl w:val="87486862"/>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41034006"/>
    <w:multiLevelType w:val="hybridMultilevel"/>
    <w:tmpl w:val="DD1E433C"/>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4621316A"/>
    <w:multiLevelType w:val="hybridMultilevel"/>
    <w:tmpl w:val="11400E52"/>
    <w:lvl w:ilvl="0" w:tplc="3C96BA06">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4A4E5E5B"/>
    <w:multiLevelType w:val="hybridMultilevel"/>
    <w:tmpl w:val="C226CD82"/>
    <w:lvl w:ilvl="0" w:tplc="040A0019">
      <w:start w:val="1"/>
      <w:numFmt w:val="lowerLetter"/>
      <w:lvlText w:val="%1."/>
      <w:lvlJc w:val="left"/>
      <w:pPr>
        <w:ind w:left="720" w:hanging="360"/>
      </w:pPr>
      <w:rPr>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4BFB2EF8"/>
    <w:multiLevelType w:val="hybridMultilevel"/>
    <w:tmpl w:val="3852F8C2"/>
    <w:lvl w:ilvl="0" w:tplc="78C0E582">
      <w:start w:val="4"/>
      <w:numFmt w:val="lowerLetter"/>
      <w:lvlText w:val="%1)"/>
      <w:lvlJc w:val="left"/>
      <w:pPr>
        <w:tabs>
          <w:tab w:val="num" w:pos="360"/>
        </w:tabs>
        <w:ind w:left="360" w:hanging="360"/>
      </w:pPr>
      <w:rPr>
        <w:rFonts w:hint="default"/>
      </w:rPr>
    </w:lvl>
    <w:lvl w:ilvl="1" w:tplc="0C0A0019" w:tentative="1">
      <w:start w:val="1"/>
      <w:numFmt w:val="lowerLetter"/>
      <w:pStyle w:val="Titulo3"/>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0" w15:restartNumberingAfterBreak="0">
    <w:nsid w:val="52084486"/>
    <w:multiLevelType w:val="hybridMultilevel"/>
    <w:tmpl w:val="19ECF5B8"/>
    <w:lvl w:ilvl="0" w:tplc="0409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520D0BC5"/>
    <w:multiLevelType w:val="hybridMultilevel"/>
    <w:tmpl w:val="8BF26F0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2" w15:restartNumberingAfterBreak="0">
    <w:nsid w:val="54AD30A2"/>
    <w:multiLevelType w:val="hybridMultilevel"/>
    <w:tmpl w:val="F9108324"/>
    <w:lvl w:ilvl="0" w:tplc="A3F0BC9A">
      <w:start w:val="1"/>
      <w:numFmt w:val="decimal"/>
      <w:lvlText w:val="%1."/>
      <w:lvlJc w:val="left"/>
      <w:pPr>
        <w:ind w:left="720" w:hanging="360"/>
      </w:pPr>
      <w:rPr>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55CE17EB"/>
    <w:multiLevelType w:val="multilevel"/>
    <w:tmpl w:val="25C091AC"/>
    <w:lvl w:ilvl="0">
      <w:start w:val="1"/>
      <w:numFmt w:val="decimal"/>
      <w:lvlText w:val="%1."/>
      <w:lvlJc w:val="left"/>
      <w:pPr>
        <w:ind w:left="-244" w:hanging="570"/>
      </w:pPr>
      <w:rPr>
        <w:rFonts w:hint="default"/>
        <w:b/>
        <w:i w:val="0"/>
      </w:rPr>
    </w:lvl>
    <w:lvl w:ilvl="1">
      <w:start w:val="1"/>
      <w:numFmt w:val="decimal"/>
      <w:isLgl/>
      <w:lvlText w:val="%1.%2."/>
      <w:lvlJc w:val="left"/>
      <w:pPr>
        <w:ind w:left="114" w:hanging="450"/>
      </w:pPr>
      <w:rPr>
        <w:rFonts w:hint="default"/>
        <w:color w:val="auto"/>
      </w:rPr>
    </w:lvl>
    <w:lvl w:ilvl="2">
      <w:start w:val="1"/>
      <w:numFmt w:val="decimal"/>
      <w:isLgl/>
      <w:lvlText w:val="%1.%2.%3."/>
      <w:lvlJc w:val="left"/>
      <w:pPr>
        <w:ind w:left="862" w:hanging="720"/>
      </w:pPr>
      <w:rPr>
        <w:rFonts w:hint="default"/>
        <w:color w:val="auto"/>
      </w:rPr>
    </w:lvl>
    <w:lvl w:ilvl="3">
      <w:start w:val="1"/>
      <w:numFmt w:val="decimal"/>
      <w:isLgl/>
      <w:lvlText w:val="%1.%2.%3.%4."/>
      <w:lvlJc w:val="left"/>
      <w:pPr>
        <w:ind w:left="1340" w:hanging="720"/>
      </w:pPr>
      <w:rPr>
        <w:rFonts w:hint="default"/>
        <w:color w:val="auto"/>
      </w:rPr>
    </w:lvl>
    <w:lvl w:ilvl="4">
      <w:start w:val="1"/>
      <w:numFmt w:val="decimal"/>
      <w:isLgl/>
      <w:lvlText w:val="%1.%2.%3.%4.%5."/>
      <w:lvlJc w:val="left"/>
      <w:pPr>
        <w:ind w:left="2178" w:hanging="1080"/>
      </w:pPr>
      <w:rPr>
        <w:rFonts w:hint="default"/>
        <w:color w:val="auto"/>
      </w:rPr>
    </w:lvl>
    <w:lvl w:ilvl="5">
      <w:start w:val="1"/>
      <w:numFmt w:val="decimal"/>
      <w:isLgl/>
      <w:lvlText w:val="%1.%2.%3.%4.%5.%6."/>
      <w:lvlJc w:val="left"/>
      <w:pPr>
        <w:ind w:left="2656" w:hanging="1080"/>
      </w:pPr>
      <w:rPr>
        <w:rFonts w:hint="default"/>
        <w:color w:val="auto"/>
      </w:rPr>
    </w:lvl>
    <w:lvl w:ilvl="6">
      <w:start w:val="1"/>
      <w:numFmt w:val="decimal"/>
      <w:isLgl/>
      <w:lvlText w:val="%1.%2.%3.%4.%5.%6.%7."/>
      <w:lvlJc w:val="left"/>
      <w:pPr>
        <w:ind w:left="3134" w:hanging="1080"/>
      </w:pPr>
      <w:rPr>
        <w:rFonts w:hint="default"/>
        <w:color w:val="auto"/>
      </w:rPr>
    </w:lvl>
    <w:lvl w:ilvl="7">
      <w:start w:val="1"/>
      <w:numFmt w:val="decimal"/>
      <w:isLgl/>
      <w:lvlText w:val="%1.%2.%3.%4.%5.%6.%7.%8."/>
      <w:lvlJc w:val="left"/>
      <w:pPr>
        <w:ind w:left="3972" w:hanging="1440"/>
      </w:pPr>
      <w:rPr>
        <w:rFonts w:hint="default"/>
        <w:color w:val="auto"/>
      </w:rPr>
    </w:lvl>
    <w:lvl w:ilvl="8">
      <w:start w:val="1"/>
      <w:numFmt w:val="decimal"/>
      <w:isLgl/>
      <w:lvlText w:val="%1.%2.%3.%4.%5.%6.%7.%8.%9."/>
      <w:lvlJc w:val="left"/>
      <w:pPr>
        <w:ind w:left="4450" w:hanging="1440"/>
      </w:pPr>
      <w:rPr>
        <w:rFonts w:hint="default"/>
        <w:color w:val="auto"/>
      </w:rPr>
    </w:lvl>
  </w:abstractNum>
  <w:abstractNum w:abstractNumId="34" w15:restartNumberingAfterBreak="0">
    <w:nsid w:val="585173B4"/>
    <w:multiLevelType w:val="hybridMultilevel"/>
    <w:tmpl w:val="0EDAFDE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87C5A4E"/>
    <w:multiLevelType w:val="multilevel"/>
    <w:tmpl w:val="532401AC"/>
    <w:lvl w:ilvl="0">
      <w:start w:val="1"/>
      <w:numFmt w:val="bullet"/>
      <w:lvlText w:val=""/>
      <w:lvlJc w:val="left"/>
      <w:pPr>
        <w:tabs>
          <w:tab w:val="num" w:pos="360"/>
        </w:tabs>
        <w:ind w:left="360" w:hanging="360"/>
      </w:pPr>
      <w:rPr>
        <w:rFonts w:ascii="Symbol" w:hAnsi="Symbol" w:hint="default"/>
        <w:b/>
      </w:rPr>
    </w:lvl>
    <w:lvl w:ilvl="1">
      <w:start w:val="1"/>
      <w:numFmt w:val="decimal"/>
      <w:pStyle w:val="Titulo"/>
      <w:lvlText w:val="%1.%2"/>
      <w:lvlJc w:val="left"/>
      <w:pPr>
        <w:tabs>
          <w:tab w:val="num" w:pos="1070"/>
        </w:tabs>
        <w:ind w:left="107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2.%4"/>
      <w:lvlJc w:val="left"/>
      <w:pPr>
        <w:tabs>
          <w:tab w:val="num" w:pos="1080"/>
        </w:tabs>
        <w:ind w:left="1080" w:hanging="108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36" w15:restartNumberingAfterBreak="0">
    <w:nsid w:val="5AE137CE"/>
    <w:multiLevelType w:val="hybridMultilevel"/>
    <w:tmpl w:val="4DF870FE"/>
    <w:lvl w:ilvl="0" w:tplc="19DA2AB2">
      <w:start w:val="1"/>
      <w:numFmt w:val="lowerLetter"/>
      <w:lvlText w:val="%1."/>
      <w:lvlJc w:val="left"/>
      <w:pPr>
        <w:ind w:left="720" w:hanging="360"/>
      </w:pPr>
      <w:rPr>
        <w:b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5C9E64FC"/>
    <w:multiLevelType w:val="hybridMultilevel"/>
    <w:tmpl w:val="A68CBA7A"/>
    <w:lvl w:ilvl="0" w:tplc="240A0019">
      <w:start w:val="1"/>
      <w:numFmt w:val="lowerLetter"/>
      <w:lvlText w:val="%1."/>
      <w:lvlJc w:val="left"/>
      <w:pPr>
        <w:ind w:left="430" w:hanging="360"/>
      </w:pPr>
      <w:rPr>
        <w:rFonts w:hint="default"/>
      </w:rPr>
    </w:lvl>
    <w:lvl w:ilvl="1" w:tplc="240A0003">
      <w:start w:val="1"/>
      <w:numFmt w:val="bullet"/>
      <w:lvlText w:val="o"/>
      <w:lvlJc w:val="left"/>
      <w:pPr>
        <w:ind w:left="1150" w:hanging="360"/>
      </w:pPr>
      <w:rPr>
        <w:rFonts w:ascii="Courier New" w:hAnsi="Courier New" w:cs="Courier New" w:hint="default"/>
      </w:rPr>
    </w:lvl>
    <w:lvl w:ilvl="2" w:tplc="240A0005" w:tentative="1">
      <w:start w:val="1"/>
      <w:numFmt w:val="bullet"/>
      <w:lvlText w:val=""/>
      <w:lvlJc w:val="left"/>
      <w:pPr>
        <w:ind w:left="1870" w:hanging="360"/>
      </w:pPr>
      <w:rPr>
        <w:rFonts w:ascii="Wingdings" w:hAnsi="Wingdings" w:hint="default"/>
      </w:rPr>
    </w:lvl>
    <w:lvl w:ilvl="3" w:tplc="240A0001" w:tentative="1">
      <w:start w:val="1"/>
      <w:numFmt w:val="bullet"/>
      <w:lvlText w:val=""/>
      <w:lvlJc w:val="left"/>
      <w:pPr>
        <w:ind w:left="2590" w:hanging="360"/>
      </w:pPr>
      <w:rPr>
        <w:rFonts w:ascii="Symbol" w:hAnsi="Symbol" w:hint="default"/>
      </w:rPr>
    </w:lvl>
    <w:lvl w:ilvl="4" w:tplc="240A0003" w:tentative="1">
      <w:start w:val="1"/>
      <w:numFmt w:val="bullet"/>
      <w:lvlText w:val="o"/>
      <w:lvlJc w:val="left"/>
      <w:pPr>
        <w:ind w:left="3310" w:hanging="360"/>
      </w:pPr>
      <w:rPr>
        <w:rFonts w:ascii="Courier New" w:hAnsi="Courier New" w:cs="Courier New" w:hint="default"/>
      </w:rPr>
    </w:lvl>
    <w:lvl w:ilvl="5" w:tplc="240A0005" w:tentative="1">
      <w:start w:val="1"/>
      <w:numFmt w:val="bullet"/>
      <w:lvlText w:val=""/>
      <w:lvlJc w:val="left"/>
      <w:pPr>
        <w:ind w:left="4030" w:hanging="360"/>
      </w:pPr>
      <w:rPr>
        <w:rFonts w:ascii="Wingdings" w:hAnsi="Wingdings" w:hint="default"/>
      </w:rPr>
    </w:lvl>
    <w:lvl w:ilvl="6" w:tplc="240A0001" w:tentative="1">
      <w:start w:val="1"/>
      <w:numFmt w:val="bullet"/>
      <w:lvlText w:val=""/>
      <w:lvlJc w:val="left"/>
      <w:pPr>
        <w:ind w:left="4750" w:hanging="360"/>
      </w:pPr>
      <w:rPr>
        <w:rFonts w:ascii="Symbol" w:hAnsi="Symbol" w:hint="default"/>
      </w:rPr>
    </w:lvl>
    <w:lvl w:ilvl="7" w:tplc="240A0003" w:tentative="1">
      <w:start w:val="1"/>
      <w:numFmt w:val="bullet"/>
      <w:lvlText w:val="o"/>
      <w:lvlJc w:val="left"/>
      <w:pPr>
        <w:ind w:left="5470" w:hanging="360"/>
      </w:pPr>
      <w:rPr>
        <w:rFonts w:ascii="Courier New" w:hAnsi="Courier New" w:cs="Courier New" w:hint="default"/>
      </w:rPr>
    </w:lvl>
    <w:lvl w:ilvl="8" w:tplc="240A0005" w:tentative="1">
      <w:start w:val="1"/>
      <w:numFmt w:val="bullet"/>
      <w:lvlText w:val=""/>
      <w:lvlJc w:val="left"/>
      <w:pPr>
        <w:ind w:left="6190" w:hanging="360"/>
      </w:pPr>
      <w:rPr>
        <w:rFonts w:ascii="Wingdings" w:hAnsi="Wingdings" w:hint="default"/>
      </w:rPr>
    </w:lvl>
  </w:abstractNum>
  <w:abstractNum w:abstractNumId="38" w15:restartNumberingAfterBreak="0">
    <w:nsid w:val="5F3F2EDF"/>
    <w:multiLevelType w:val="hybridMultilevel"/>
    <w:tmpl w:val="BD1A0B78"/>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9" w15:restartNumberingAfterBreak="0">
    <w:nsid w:val="60586191"/>
    <w:multiLevelType w:val="hybridMultilevel"/>
    <w:tmpl w:val="925EC87C"/>
    <w:lvl w:ilvl="0" w:tplc="0409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0" w15:restartNumberingAfterBreak="0">
    <w:nsid w:val="64BF3E81"/>
    <w:multiLevelType w:val="hybridMultilevel"/>
    <w:tmpl w:val="9DB26424"/>
    <w:lvl w:ilvl="0" w:tplc="311A0950">
      <w:start w:val="1"/>
      <w:numFmt w:val="upp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1" w15:restartNumberingAfterBreak="0">
    <w:nsid w:val="651701D0"/>
    <w:multiLevelType w:val="hybridMultilevel"/>
    <w:tmpl w:val="BC84B4EE"/>
    <w:lvl w:ilvl="0" w:tplc="6A245D2C">
      <w:start w:val="1"/>
      <w:numFmt w:val="lowerLetter"/>
      <w:lvlText w:val="%1)"/>
      <w:lvlJc w:val="left"/>
      <w:pPr>
        <w:ind w:left="720" w:hanging="360"/>
      </w:pPr>
      <w:rPr>
        <w:rFonts w:hint="default"/>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2" w15:restartNumberingAfterBreak="0">
    <w:nsid w:val="678226E8"/>
    <w:multiLevelType w:val="hybridMultilevel"/>
    <w:tmpl w:val="30F242B0"/>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3" w15:restartNumberingAfterBreak="0">
    <w:nsid w:val="68223B67"/>
    <w:multiLevelType w:val="hybridMultilevel"/>
    <w:tmpl w:val="482058D8"/>
    <w:lvl w:ilvl="0" w:tplc="0409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4" w15:restartNumberingAfterBreak="0">
    <w:nsid w:val="6A162A0C"/>
    <w:multiLevelType w:val="hybridMultilevel"/>
    <w:tmpl w:val="B36EFE36"/>
    <w:lvl w:ilvl="0" w:tplc="0409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5" w15:restartNumberingAfterBreak="0">
    <w:nsid w:val="6BA30DC8"/>
    <w:multiLevelType w:val="hybridMultilevel"/>
    <w:tmpl w:val="EB7206E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46" w15:restartNumberingAfterBreak="0">
    <w:nsid w:val="6EBD16E5"/>
    <w:multiLevelType w:val="hybridMultilevel"/>
    <w:tmpl w:val="0BCC02DC"/>
    <w:lvl w:ilvl="0" w:tplc="0409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7" w15:restartNumberingAfterBreak="0">
    <w:nsid w:val="739324E6"/>
    <w:multiLevelType w:val="hybridMultilevel"/>
    <w:tmpl w:val="7FB47B3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8" w15:restartNumberingAfterBreak="0">
    <w:nsid w:val="73956ED4"/>
    <w:multiLevelType w:val="hybridMultilevel"/>
    <w:tmpl w:val="FD101752"/>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9" w15:restartNumberingAfterBreak="0">
    <w:nsid w:val="748867D5"/>
    <w:multiLevelType w:val="hybridMultilevel"/>
    <w:tmpl w:val="4BE4BBD8"/>
    <w:lvl w:ilvl="0" w:tplc="240A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71357F5"/>
    <w:multiLevelType w:val="hybridMultilevel"/>
    <w:tmpl w:val="31F4B94A"/>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1" w15:restartNumberingAfterBreak="0">
    <w:nsid w:val="776A7AD8"/>
    <w:multiLevelType w:val="hybridMultilevel"/>
    <w:tmpl w:val="1F0669FC"/>
    <w:lvl w:ilvl="0" w:tplc="0409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2" w15:restartNumberingAfterBreak="0">
    <w:nsid w:val="7CEF3278"/>
    <w:multiLevelType w:val="hybridMultilevel"/>
    <w:tmpl w:val="E0085340"/>
    <w:lvl w:ilvl="0" w:tplc="0B0E6EAE">
      <w:start w:val="1"/>
      <w:numFmt w:val="bullet"/>
      <w:lvlText w:val=""/>
      <w:lvlJc w:val="left"/>
      <w:pPr>
        <w:ind w:left="1854" w:hanging="360"/>
      </w:pPr>
      <w:rPr>
        <w:rFonts w:ascii="Symbol" w:hAnsi="Symbol" w:hint="default"/>
        <w:sz w:val="24"/>
        <w:szCs w:val="24"/>
      </w:rPr>
    </w:lvl>
    <w:lvl w:ilvl="1" w:tplc="240A0003" w:tentative="1">
      <w:start w:val="1"/>
      <w:numFmt w:val="bullet"/>
      <w:lvlText w:val="o"/>
      <w:lvlJc w:val="left"/>
      <w:pPr>
        <w:ind w:left="2574" w:hanging="360"/>
      </w:pPr>
      <w:rPr>
        <w:rFonts w:ascii="Courier New" w:hAnsi="Courier New" w:cs="Courier New" w:hint="default"/>
      </w:rPr>
    </w:lvl>
    <w:lvl w:ilvl="2" w:tplc="240A0005" w:tentative="1">
      <w:start w:val="1"/>
      <w:numFmt w:val="bullet"/>
      <w:lvlText w:val=""/>
      <w:lvlJc w:val="left"/>
      <w:pPr>
        <w:ind w:left="3294" w:hanging="360"/>
      </w:pPr>
      <w:rPr>
        <w:rFonts w:ascii="Wingdings" w:hAnsi="Wingdings" w:hint="default"/>
      </w:rPr>
    </w:lvl>
    <w:lvl w:ilvl="3" w:tplc="240A0001" w:tentative="1">
      <w:start w:val="1"/>
      <w:numFmt w:val="bullet"/>
      <w:lvlText w:val=""/>
      <w:lvlJc w:val="left"/>
      <w:pPr>
        <w:ind w:left="4014" w:hanging="360"/>
      </w:pPr>
      <w:rPr>
        <w:rFonts w:ascii="Symbol" w:hAnsi="Symbol" w:hint="default"/>
      </w:rPr>
    </w:lvl>
    <w:lvl w:ilvl="4" w:tplc="240A0003" w:tentative="1">
      <w:start w:val="1"/>
      <w:numFmt w:val="bullet"/>
      <w:lvlText w:val="o"/>
      <w:lvlJc w:val="left"/>
      <w:pPr>
        <w:ind w:left="4734" w:hanging="360"/>
      </w:pPr>
      <w:rPr>
        <w:rFonts w:ascii="Courier New" w:hAnsi="Courier New" w:cs="Courier New" w:hint="default"/>
      </w:rPr>
    </w:lvl>
    <w:lvl w:ilvl="5" w:tplc="240A0005" w:tentative="1">
      <w:start w:val="1"/>
      <w:numFmt w:val="bullet"/>
      <w:lvlText w:val=""/>
      <w:lvlJc w:val="left"/>
      <w:pPr>
        <w:ind w:left="5454" w:hanging="360"/>
      </w:pPr>
      <w:rPr>
        <w:rFonts w:ascii="Wingdings" w:hAnsi="Wingdings" w:hint="default"/>
      </w:rPr>
    </w:lvl>
    <w:lvl w:ilvl="6" w:tplc="240A0001" w:tentative="1">
      <w:start w:val="1"/>
      <w:numFmt w:val="bullet"/>
      <w:lvlText w:val=""/>
      <w:lvlJc w:val="left"/>
      <w:pPr>
        <w:ind w:left="6174" w:hanging="360"/>
      </w:pPr>
      <w:rPr>
        <w:rFonts w:ascii="Symbol" w:hAnsi="Symbol" w:hint="default"/>
      </w:rPr>
    </w:lvl>
    <w:lvl w:ilvl="7" w:tplc="240A0003" w:tentative="1">
      <w:start w:val="1"/>
      <w:numFmt w:val="bullet"/>
      <w:lvlText w:val="o"/>
      <w:lvlJc w:val="left"/>
      <w:pPr>
        <w:ind w:left="6894" w:hanging="360"/>
      </w:pPr>
      <w:rPr>
        <w:rFonts w:ascii="Courier New" w:hAnsi="Courier New" w:cs="Courier New" w:hint="default"/>
      </w:rPr>
    </w:lvl>
    <w:lvl w:ilvl="8" w:tplc="240A0005" w:tentative="1">
      <w:start w:val="1"/>
      <w:numFmt w:val="bullet"/>
      <w:lvlText w:val=""/>
      <w:lvlJc w:val="left"/>
      <w:pPr>
        <w:ind w:left="7614" w:hanging="360"/>
      </w:pPr>
      <w:rPr>
        <w:rFonts w:ascii="Wingdings" w:hAnsi="Wingdings" w:hint="default"/>
      </w:rPr>
    </w:lvl>
  </w:abstractNum>
  <w:num w:numId="1" w16cid:durableId="1385564446">
    <w:abstractNumId w:val="20"/>
  </w:num>
  <w:num w:numId="2" w16cid:durableId="1939944446">
    <w:abstractNumId w:val="21"/>
  </w:num>
  <w:num w:numId="3" w16cid:durableId="1145927889">
    <w:abstractNumId w:val="44"/>
  </w:num>
  <w:num w:numId="4" w16cid:durableId="824787366">
    <w:abstractNumId w:val="3"/>
  </w:num>
  <w:num w:numId="5" w16cid:durableId="1218712199">
    <w:abstractNumId w:val="14"/>
  </w:num>
  <w:num w:numId="6" w16cid:durableId="2093702518">
    <w:abstractNumId w:val="39"/>
  </w:num>
  <w:num w:numId="7" w16cid:durableId="1107776442">
    <w:abstractNumId w:val="17"/>
  </w:num>
  <w:num w:numId="8" w16cid:durableId="800727296">
    <w:abstractNumId w:val="45"/>
  </w:num>
  <w:num w:numId="9" w16cid:durableId="902562005">
    <w:abstractNumId w:val="41"/>
  </w:num>
  <w:num w:numId="10" w16cid:durableId="312831874">
    <w:abstractNumId w:val="31"/>
  </w:num>
  <w:num w:numId="11" w16cid:durableId="540559301">
    <w:abstractNumId w:val="18"/>
  </w:num>
  <w:num w:numId="12" w16cid:durableId="1411927905">
    <w:abstractNumId w:val="4"/>
  </w:num>
  <w:num w:numId="13" w16cid:durableId="636420657">
    <w:abstractNumId w:val="11"/>
  </w:num>
  <w:num w:numId="14" w16cid:durableId="1422290137">
    <w:abstractNumId w:val="0"/>
  </w:num>
  <w:num w:numId="15" w16cid:durableId="267154952">
    <w:abstractNumId w:val="9"/>
  </w:num>
  <w:num w:numId="16" w16cid:durableId="1344043032">
    <w:abstractNumId w:val="52"/>
  </w:num>
  <w:num w:numId="17" w16cid:durableId="1765419164">
    <w:abstractNumId w:val="19"/>
  </w:num>
  <w:num w:numId="18" w16cid:durableId="498275835">
    <w:abstractNumId w:val="42"/>
  </w:num>
  <w:num w:numId="19" w16cid:durableId="1885555482">
    <w:abstractNumId w:val="34"/>
  </w:num>
  <w:num w:numId="20" w16cid:durableId="1544751448">
    <w:abstractNumId w:val="2"/>
  </w:num>
  <w:num w:numId="21" w16cid:durableId="122618563">
    <w:abstractNumId w:val="32"/>
  </w:num>
  <w:num w:numId="22" w16cid:durableId="2101221898">
    <w:abstractNumId w:val="47"/>
  </w:num>
  <w:num w:numId="23" w16cid:durableId="709454695">
    <w:abstractNumId w:val="28"/>
  </w:num>
  <w:num w:numId="24" w16cid:durableId="1705204962">
    <w:abstractNumId w:val="35"/>
  </w:num>
  <w:num w:numId="25" w16cid:durableId="389882673">
    <w:abstractNumId w:val="29"/>
  </w:num>
  <w:num w:numId="26" w16cid:durableId="1613897689">
    <w:abstractNumId w:val="15"/>
  </w:num>
  <w:num w:numId="27" w16cid:durableId="1880316329">
    <w:abstractNumId w:val="49"/>
  </w:num>
  <w:num w:numId="28" w16cid:durableId="1708871473">
    <w:abstractNumId w:val="5"/>
  </w:num>
  <w:num w:numId="29" w16cid:durableId="1250775371">
    <w:abstractNumId w:val="37"/>
  </w:num>
  <w:num w:numId="30" w16cid:durableId="660087770">
    <w:abstractNumId w:val="50"/>
  </w:num>
  <w:num w:numId="31" w16cid:durableId="401684330">
    <w:abstractNumId w:val="22"/>
  </w:num>
  <w:num w:numId="32" w16cid:durableId="711463498">
    <w:abstractNumId w:val="36"/>
  </w:num>
  <w:num w:numId="33" w16cid:durableId="1180119671">
    <w:abstractNumId w:val="48"/>
  </w:num>
  <w:num w:numId="34" w16cid:durableId="1329096003">
    <w:abstractNumId w:val="13"/>
  </w:num>
  <w:num w:numId="35" w16cid:durableId="354576315">
    <w:abstractNumId w:val="23"/>
  </w:num>
  <w:num w:numId="36" w16cid:durableId="1202669808">
    <w:abstractNumId w:val="24"/>
  </w:num>
  <w:num w:numId="37" w16cid:durableId="1535460120">
    <w:abstractNumId w:val="6"/>
  </w:num>
  <w:num w:numId="38" w16cid:durableId="1120492444">
    <w:abstractNumId w:val="25"/>
  </w:num>
  <w:num w:numId="39" w16cid:durableId="862745374">
    <w:abstractNumId w:val="26"/>
  </w:num>
  <w:num w:numId="40" w16cid:durableId="866602690">
    <w:abstractNumId w:val="12"/>
  </w:num>
  <w:num w:numId="41" w16cid:durableId="525101021">
    <w:abstractNumId w:val="10"/>
  </w:num>
  <w:num w:numId="42" w16cid:durableId="1568414990">
    <w:abstractNumId w:val="33"/>
  </w:num>
  <w:num w:numId="43" w16cid:durableId="1925724811">
    <w:abstractNumId w:val="40"/>
  </w:num>
  <w:num w:numId="44" w16cid:durableId="1648894518">
    <w:abstractNumId w:val="27"/>
  </w:num>
  <w:num w:numId="45" w16cid:durableId="1288586657">
    <w:abstractNumId w:val="46"/>
  </w:num>
  <w:num w:numId="46" w16cid:durableId="1684084502">
    <w:abstractNumId w:val="1"/>
  </w:num>
  <w:num w:numId="47" w16cid:durableId="329069467">
    <w:abstractNumId w:val="38"/>
  </w:num>
  <w:num w:numId="48" w16cid:durableId="554897826">
    <w:abstractNumId w:val="16"/>
  </w:num>
  <w:num w:numId="49" w16cid:durableId="1546332180">
    <w:abstractNumId w:val="30"/>
  </w:num>
  <w:num w:numId="50" w16cid:durableId="79832733">
    <w:abstractNumId w:val="8"/>
  </w:num>
  <w:num w:numId="51" w16cid:durableId="855772990">
    <w:abstractNumId w:val="51"/>
  </w:num>
  <w:num w:numId="52" w16cid:durableId="1292251064">
    <w:abstractNumId w:val="43"/>
  </w:num>
  <w:num w:numId="53" w16cid:durableId="683635078">
    <w:abstractNumId w:val="7"/>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3CA9"/>
    <w:rsid w:val="000326C4"/>
    <w:rsid w:val="000337CF"/>
    <w:rsid w:val="0003624A"/>
    <w:rsid w:val="000441D2"/>
    <w:rsid w:val="00051567"/>
    <w:rsid w:val="00053498"/>
    <w:rsid w:val="00060EE2"/>
    <w:rsid w:val="000623F6"/>
    <w:rsid w:val="00076FBF"/>
    <w:rsid w:val="0007747B"/>
    <w:rsid w:val="000808E2"/>
    <w:rsid w:val="00090B23"/>
    <w:rsid w:val="000970BD"/>
    <w:rsid w:val="000B4C81"/>
    <w:rsid w:val="000C0CD7"/>
    <w:rsid w:val="000C7C76"/>
    <w:rsid w:val="000D1D72"/>
    <w:rsid w:val="000D740C"/>
    <w:rsid w:val="0010027E"/>
    <w:rsid w:val="00102A5E"/>
    <w:rsid w:val="0010596F"/>
    <w:rsid w:val="00107247"/>
    <w:rsid w:val="00112FE1"/>
    <w:rsid w:val="00121C39"/>
    <w:rsid w:val="00123588"/>
    <w:rsid w:val="0012659F"/>
    <w:rsid w:val="0014288A"/>
    <w:rsid w:val="00144545"/>
    <w:rsid w:val="00145F4E"/>
    <w:rsid w:val="001557DD"/>
    <w:rsid w:val="0016442F"/>
    <w:rsid w:val="0016536C"/>
    <w:rsid w:val="00171E74"/>
    <w:rsid w:val="00176A15"/>
    <w:rsid w:val="0019771C"/>
    <w:rsid w:val="001A480F"/>
    <w:rsid w:val="001B3E45"/>
    <w:rsid w:val="001C0DEB"/>
    <w:rsid w:val="001D6C32"/>
    <w:rsid w:val="001F13E7"/>
    <w:rsid w:val="001F6017"/>
    <w:rsid w:val="00205F19"/>
    <w:rsid w:val="00207B23"/>
    <w:rsid w:val="00210009"/>
    <w:rsid w:val="002140BF"/>
    <w:rsid w:val="002232FB"/>
    <w:rsid w:val="0023061C"/>
    <w:rsid w:val="00232E89"/>
    <w:rsid w:val="0023388E"/>
    <w:rsid w:val="002375F0"/>
    <w:rsid w:val="00237C3C"/>
    <w:rsid w:val="0024779C"/>
    <w:rsid w:val="0025399A"/>
    <w:rsid w:val="002545C4"/>
    <w:rsid w:val="00262E10"/>
    <w:rsid w:val="0026552B"/>
    <w:rsid w:val="00271F57"/>
    <w:rsid w:val="00272C9A"/>
    <w:rsid w:val="002873AC"/>
    <w:rsid w:val="002927B0"/>
    <w:rsid w:val="002951E5"/>
    <w:rsid w:val="002A3A50"/>
    <w:rsid w:val="002A704B"/>
    <w:rsid w:val="002B2430"/>
    <w:rsid w:val="002C2757"/>
    <w:rsid w:val="002C56BB"/>
    <w:rsid w:val="002E565A"/>
    <w:rsid w:val="002E57EA"/>
    <w:rsid w:val="002F2BDA"/>
    <w:rsid w:val="002F3805"/>
    <w:rsid w:val="00303CEA"/>
    <w:rsid w:val="003046D2"/>
    <w:rsid w:val="0031542A"/>
    <w:rsid w:val="00330548"/>
    <w:rsid w:val="00330B0A"/>
    <w:rsid w:val="0033489B"/>
    <w:rsid w:val="00360C9E"/>
    <w:rsid w:val="00361330"/>
    <w:rsid w:val="00370B56"/>
    <w:rsid w:val="00373732"/>
    <w:rsid w:val="003764AA"/>
    <w:rsid w:val="00376F71"/>
    <w:rsid w:val="00381EF8"/>
    <w:rsid w:val="003862F6"/>
    <w:rsid w:val="0039550A"/>
    <w:rsid w:val="003A7C4F"/>
    <w:rsid w:val="003B0D0C"/>
    <w:rsid w:val="003B149E"/>
    <w:rsid w:val="003B5EE9"/>
    <w:rsid w:val="003B70A7"/>
    <w:rsid w:val="003C2E58"/>
    <w:rsid w:val="003C5DE8"/>
    <w:rsid w:val="003D6C65"/>
    <w:rsid w:val="003E031E"/>
    <w:rsid w:val="003E2C2E"/>
    <w:rsid w:val="003F5DF1"/>
    <w:rsid w:val="00404488"/>
    <w:rsid w:val="004270EF"/>
    <w:rsid w:val="00430F1C"/>
    <w:rsid w:val="00431BD2"/>
    <w:rsid w:val="0043325B"/>
    <w:rsid w:val="00441C04"/>
    <w:rsid w:val="00444308"/>
    <w:rsid w:val="00453FAF"/>
    <w:rsid w:val="00456F34"/>
    <w:rsid w:val="00457DB0"/>
    <w:rsid w:val="00467138"/>
    <w:rsid w:val="0047005F"/>
    <w:rsid w:val="004736EF"/>
    <w:rsid w:val="004934C7"/>
    <w:rsid w:val="004A33B0"/>
    <w:rsid w:val="004C1589"/>
    <w:rsid w:val="004E4896"/>
    <w:rsid w:val="00502E3F"/>
    <w:rsid w:val="00504548"/>
    <w:rsid w:val="00504CC2"/>
    <w:rsid w:val="00505E80"/>
    <w:rsid w:val="005062C9"/>
    <w:rsid w:val="00514798"/>
    <w:rsid w:val="0052253E"/>
    <w:rsid w:val="00556B2E"/>
    <w:rsid w:val="005613BF"/>
    <w:rsid w:val="0057155E"/>
    <w:rsid w:val="005736F3"/>
    <w:rsid w:val="00574436"/>
    <w:rsid w:val="00590B89"/>
    <w:rsid w:val="005B338A"/>
    <w:rsid w:val="005B4A34"/>
    <w:rsid w:val="005B6A12"/>
    <w:rsid w:val="005D0942"/>
    <w:rsid w:val="005E0370"/>
    <w:rsid w:val="005E1009"/>
    <w:rsid w:val="005E70B5"/>
    <w:rsid w:val="005F5C48"/>
    <w:rsid w:val="00601967"/>
    <w:rsid w:val="00650494"/>
    <w:rsid w:val="006651C5"/>
    <w:rsid w:val="006708FC"/>
    <w:rsid w:val="006719B6"/>
    <w:rsid w:val="0067355E"/>
    <w:rsid w:val="006912B4"/>
    <w:rsid w:val="0069425E"/>
    <w:rsid w:val="006B0F7A"/>
    <w:rsid w:val="006B1D05"/>
    <w:rsid w:val="006B2642"/>
    <w:rsid w:val="006C0C98"/>
    <w:rsid w:val="006D1591"/>
    <w:rsid w:val="006D2591"/>
    <w:rsid w:val="006F070E"/>
    <w:rsid w:val="006F48A1"/>
    <w:rsid w:val="006F4F68"/>
    <w:rsid w:val="00701D39"/>
    <w:rsid w:val="0071406B"/>
    <w:rsid w:val="00730A36"/>
    <w:rsid w:val="007317A9"/>
    <w:rsid w:val="007472F1"/>
    <w:rsid w:val="00750CB2"/>
    <w:rsid w:val="0076126D"/>
    <w:rsid w:val="00771B41"/>
    <w:rsid w:val="007752F4"/>
    <w:rsid w:val="0078180A"/>
    <w:rsid w:val="00784C7E"/>
    <w:rsid w:val="00784E91"/>
    <w:rsid w:val="0079502B"/>
    <w:rsid w:val="007A1A37"/>
    <w:rsid w:val="007B0B15"/>
    <w:rsid w:val="007B7B77"/>
    <w:rsid w:val="007C751D"/>
    <w:rsid w:val="007C7C62"/>
    <w:rsid w:val="007D2AC3"/>
    <w:rsid w:val="007D4402"/>
    <w:rsid w:val="007D4B3B"/>
    <w:rsid w:val="007E17DC"/>
    <w:rsid w:val="007E46A3"/>
    <w:rsid w:val="007F23E3"/>
    <w:rsid w:val="007F6E0C"/>
    <w:rsid w:val="008053F8"/>
    <w:rsid w:val="008076EB"/>
    <w:rsid w:val="00807FDE"/>
    <w:rsid w:val="00813CA9"/>
    <w:rsid w:val="00815DED"/>
    <w:rsid w:val="0082004F"/>
    <w:rsid w:val="00831BD1"/>
    <w:rsid w:val="00852AFB"/>
    <w:rsid w:val="008569E7"/>
    <w:rsid w:val="008602BC"/>
    <w:rsid w:val="008679D0"/>
    <w:rsid w:val="0087146C"/>
    <w:rsid w:val="00872052"/>
    <w:rsid w:val="00876E99"/>
    <w:rsid w:val="00876ED1"/>
    <w:rsid w:val="00880183"/>
    <w:rsid w:val="008938D1"/>
    <w:rsid w:val="00895A2E"/>
    <w:rsid w:val="00895C24"/>
    <w:rsid w:val="008A4882"/>
    <w:rsid w:val="008A7567"/>
    <w:rsid w:val="008D5141"/>
    <w:rsid w:val="008E0276"/>
    <w:rsid w:val="008E10EA"/>
    <w:rsid w:val="008E172E"/>
    <w:rsid w:val="008E3379"/>
    <w:rsid w:val="008E4796"/>
    <w:rsid w:val="008F1EA5"/>
    <w:rsid w:val="00906C67"/>
    <w:rsid w:val="00920AF0"/>
    <w:rsid w:val="00935992"/>
    <w:rsid w:val="0094734C"/>
    <w:rsid w:val="009517E9"/>
    <w:rsid w:val="00956661"/>
    <w:rsid w:val="009612C7"/>
    <w:rsid w:val="00984248"/>
    <w:rsid w:val="00984864"/>
    <w:rsid w:val="00986648"/>
    <w:rsid w:val="0099018E"/>
    <w:rsid w:val="00996946"/>
    <w:rsid w:val="0099748F"/>
    <w:rsid w:val="009A4C18"/>
    <w:rsid w:val="009B0D68"/>
    <w:rsid w:val="009B3A78"/>
    <w:rsid w:val="009C6F77"/>
    <w:rsid w:val="009D0064"/>
    <w:rsid w:val="009D00AB"/>
    <w:rsid w:val="009D1F91"/>
    <w:rsid w:val="009E23FD"/>
    <w:rsid w:val="009F26EC"/>
    <w:rsid w:val="00A05265"/>
    <w:rsid w:val="00A05DFB"/>
    <w:rsid w:val="00A13459"/>
    <w:rsid w:val="00A204D9"/>
    <w:rsid w:val="00A225DD"/>
    <w:rsid w:val="00A45596"/>
    <w:rsid w:val="00A47FA2"/>
    <w:rsid w:val="00A52169"/>
    <w:rsid w:val="00A56491"/>
    <w:rsid w:val="00A614E1"/>
    <w:rsid w:val="00A67A48"/>
    <w:rsid w:val="00A76F26"/>
    <w:rsid w:val="00A77C2A"/>
    <w:rsid w:val="00A82CC7"/>
    <w:rsid w:val="00A82FC9"/>
    <w:rsid w:val="00A84D5A"/>
    <w:rsid w:val="00A929B1"/>
    <w:rsid w:val="00AA50C9"/>
    <w:rsid w:val="00AB57F4"/>
    <w:rsid w:val="00AC1ECF"/>
    <w:rsid w:val="00AC67DC"/>
    <w:rsid w:val="00AD4893"/>
    <w:rsid w:val="00AD6DA1"/>
    <w:rsid w:val="00AE65B1"/>
    <w:rsid w:val="00AF2B6F"/>
    <w:rsid w:val="00B00404"/>
    <w:rsid w:val="00B004C0"/>
    <w:rsid w:val="00B01222"/>
    <w:rsid w:val="00B05091"/>
    <w:rsid w:val="00B27574"/>
    <w:rsid w:val="00B30F6B"/>
    <w:rsid w:val="00B33473"/>
    <w:rsid w:val="00B40EA5"/>
    <w:rsid w:val="00B422DF"/>
    <w:rsid w:val="00B45B58"/>
    <w:rsid w:val="00B578B1"/>
    <w:rsid w:val="00B62844"/>
    <w:rsid w:val="00B65177"/>
    <w:rsid w:val="00B84370"/>
    <w:rsid w:val="00BA0704"/>
    <w:rsid w:val="00BA2655"/>
    <w:rsid w:val="00BB1D75"/>
    <w:rsid w:val="00BB582D"/>
    <w:rsid w:val="00BF1A7A"/>
    <w:rsid w:val="00BF3330"/>
    <w:rsid w:val="00BF3CA9"/>
    <w:rsid w:val="00BF6CE8"/>
    <w:rsid w:val="00C00089"/>
    <w:rsid w:val="00C05390"/>
    <w:rsid w:val="00C273B4"/>
    <w:rsid w:val="00C30A4C"/>
    <w:rsid w:val="00C36BD8"/>
    <w:rsid w:val="00C538F5"/>
    <w:rsid w:val="00C601D0"/>
    <w:rsid w:val="00C73945"/>
    <w:rsid w:val="00C765D9"/>
    <w:rsid w:val="00C8319F"/>
    <w:rsid w:val="00C86279"/>
    <w:rsid w:val="00C95FDD"/>
    <w:rsid w:val="00C965E7"/>
    <w:rsid w:val="00C9662C"/>
    <w:rsid w:val="00C976D6"/>
    <w:rsid w:val="00C97743"/>
    <w:rsid w:val="00CA286E"/>
    <w:rsid w:val="00CA32B6"/>
    <w:rsid w:val="00CA5DA5"/>
    <w:rsid w:val="00CB5A85"/>
    <w:rsid w:val="00CB7FAD"/>
    <w:rsid w:val="00CC305E"/>
    <w:rsid w:val="00CC52F0"/>
    <w:rsid w:val="00CD1CFF"/>
    <w:rsid w:val="00CD4C12"/>
    <w:rsid w:val="00CD5B0D"/>
    <w:rsid w:val="00CF0B18"/>
    <w:rsid w:val="00CF293F"/>
    <w:rsid w:val="00CF3198"/>
    <w:rsid w:val="00CF3539"/>
    <w:rsid w:val="00CF64DC"/>
    <w:rsid w:val="00D00CD5"/>
    <w:rsid w:val="00D05950"/>
    <w:rsid w:val="00D06E9A"/>
    <w:rsid w:val="00D21341"/>
    <w:rsid w:val="00D23F0E"/>
    <w:rsid w:val="00D303BB"/>
    <w:rsid w:val="00D30650"/>
    <w:rsid w:val="00D31006"/>
    <w:rsid w:val="00D331AC"/>
    <w:rsid w:val="00D4192C"/>
    <w:rsid w:val="00D5443C"/>
    <w:rsid w:val="00D56BB5"/>
    <w:rsid w:val="00D57064"/>
    <w:rsid w:val="00D61B5A"/>
    <w:rsid w:val="00D63C52"/>
    <w:rsid w:val="00D80851"/>
    <w:rsid w:val="00D82AEB"/>
    <w:rsid w:val="00D84F93"/>
    <w:rsid w:val="00D860AC"/>
    <w:rsid w:val="00D86D42"/>
    <w:rsid w:val="00D92F87"/>
    <w:rsid w:val="00DA1E1C"/>
    <w:rsid w:val="00DA5222"/>
    <w:rsid w:val="00DB33D6"/>
    <w:rsid w:val="00DB38A6"/>
    <w:rsid w:val="00DC28F5"/>
    <w:rsid w:val="00DC2F69"/>
    <w:rsid w:val="00DC594D"/>
    <w:rsid w:val="00DD27A7"/>
    <w:rsid w:val="00DD3035"/>
    <w:rsid w:val="00DD3164"/>
    <w:rsid w:val="00DD3F61"/>
    <w:rsid w:val="00DD6F4C"/>
    <w:rsid w:val="00DE15E3"/>
    <w:rsid w:val="00DF0990"/>
    <w:rsid w:val="00DF68A5"/>
    <w:rsid w:val="00E013A1"/>
    <w:rsid w:val="00E10232"/>
    <w:rsid w:val="00E124C9"/>
    <w:rsid w:val="00E175D7"/>
    <w:rsid w:val="00E21472"/>
    <w:rsid w:val="00E25C9A"/>
    <w:rsid w:val="00E40064"/>
    <w:rsid w:val="00E505AD"/>
    <w:rsid w:val="00E62B0F"/>
    <w:rsid w:val="00E638AB"/>
    <w:rsid w:val="00E7451B"/>
    <w:rsid w:val="00E8017F"/>
    <w:rsid w:val="00E92C3E"/>
    <w:rsid w:val="00E95D2C"/>
    <w:rsid w:val="00EA4D52"/>
    <w:rsid w:val="00EB38F7"/>
    <w:rsid w:val="00ED2882"/>
    <w:rsid w:val="00EE217D"/>
    <w:rsid w:val="00EE418E"/>
    <w:rsid w:val="00EF7343"/>
    <w:rsid w:val="00F12DEA"/>
    <w:rsid w:val="00F32CB4"/>
    <w:rsid w:val="00F40C82"/>
    <w:rsid w:val="00F47963"/>
    <w:rsid w:val="00F47C46"/>
    <w:rsid w:val="00F50EBB"/>
    <w:rsid w:val="00F612BA"/>
    <w:rsid w:val="00F77CD1"/>
    <w:rsid w:val="00F84D5E"/>
    <w:rsid w:val="00F87F84"/>
    <w:rsid w:val="00F9086C"/>
    <w:rsid w:val="00F92C60"/>
    <w:rsid w:val="00F96725"/>
    <w:rsid w:val="00FB6B64"/>
    <w:rsid w:val="00FB7B1C"/>
    <w:rsid w:val="00FC1D8E"/>
    <w:rsid w:val="00FC2358"/>
    <w:rsid w:val="00FC405C"/>
    <w:rsid w:val="00FE092D"/>
    <w:rsid w:val="00FE2B73"/>
    <w:rsid w:val="00FE4CF0"/>
    <w:rsid w:val="00FE65BA"/>
    <w:rsid w:val="00FE6A3E"/>
    <w:rsid w:val="00FF2CB5"/>
    <w:rsid w:val="00FF589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F23F55"/>
  <w15:docId w15:val="{D9083A77-9DC0-483E-99BC-E6A58E9C2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iPriority="0" w:unhideWhenUsed="1"/>
    <w:lsdException w:name="Table List 5" w:semiHidden="1" w:uiPriority="0"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Ttulo1">
    <w:name w:val="heading 1"/>
    <w:basedOn w:val="Normal"/>
    <w:link w:val="Ttulo1Car"/>
    <w:uiPriority w:val="9"/>
    <w:qFormat/>
    <w:pPr>
      <w:ind w:left="160"/>
      <w:outlineLvl w:val="0"/>
    </w:pPr>
    <w:rPr>
      <w:b/>
      <w:bCs/>
      <w:sz w:val="24"/>
      <w:szCs w:val="24"/>
    </w:rPr>
  </w:style>
  <w:style w:type="paragraph" w:styleId="Ttulo2">
    <w:name w:val="heading 2"/>
    <w:basedOn w:val="Normal"/>
    <w:next w:val="Normal"/>
    <w:link w:val="Ttulo2Car"/>
    <w:uiPriority w:val="9"/>
    <w:unhideWhenUsed/>
    <w:qFormat/>
    <w:rsid w:val="00BB1D75"/>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rsid w:val="00B84370"/>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Ttulo4">
    <w:name w:val="heading 4"/>
    <w:basedOn w:val="Normal"/>
    <w:next w:val="Normal"/>
    <w:link w:val="Ttulo4Car"/>
    <w:uiPriority w:val="9"/>
    <w:unhideWhenUsed/>
    <w:qFormat/>
    <w:rsid w:val="0010027E"/>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ar"/>
    <w:uiPriority w:val="9"/>
    <w:qFormat/>
    <w:rsid w:val="0010027E"/>
    <w:pPr>
      <w:widowControl/>
      <w:autoSpaceDE/>
      <w:autoSpaceDN/>
      <w:spacing w:before="240" w:after="60"/>
      <w:outlineLvl w:val="4"/>
    </w:pPr>
    <w:rPr>
      <w:rFonts w:ascii="Times New Roman" w:eastAsia="Times New Roman" w:hAnsi="Times New Roman" w:cs="Times New Roman"/>
      <w:b/>
      <w:bCs/>
      <w:i/>
      <w:iCs/>
      <w:sz w:val="26"/>
      <w:szCs w:val="26"/>
      <w:lang w:val="es-ES" w:eastAsia="es-ES"/>
    </w:rPr>
  </w:style>
  <w:style w:type="paragraph" w:styleId="Ttulo6">
    <w:name w:val="heading 6"/>
    <w:basedOn w:val="Normal"/>
    <w:next w:val="Normal"/>
    <w:link w:val="Ttulo6Car"/>
    <w:uiPriority w:val="9"/>
    <w:qFormat/>
    <w:rsid w:val="0010027E"/>
    <w:pPr>
      <w:keepNext/>
      <w:widowControl/>
      <w:autoSpaceDE/>
      <w:autoSpaceDN/>
      <w:outlineLvl w:val="5"/>
    </w:pPr>
    <w:rPr>
      <w:rFonts w:ascii="Arial" w:eastAsia="Times New Roman" w:hAnsi="Arial" w:cs="Arial"/>
      <w:b/>
      <w:bCs/>
      <w:color w:val="808080"/>
      <w:sz w:val="20"/>
      <w:szCs w:val="24"/>
      <w:lang w:val="es-ES" w:eastAsia="es-ES"/>
    </w:rPr>
  </w:style>
  <w:style w:type="paragraph" w:styleId="Ttulo7">
    <w:name w:val="heading 7"/>
    <w:basedOn w:val="Normal"/>
    <w:next w:val="Normal"/>
    <w:link w:val="Ttulo7Car"/>
    <w:uiPriority w:val="9"/>
    <w:qFormat/>
    <w:rsid w:val="0010027E"/>
    <w:pPr>
      <w:keepNext/>
      <w:widowControl/>
      <w:autoSpaceDE/>
      <w:autoSpaceDN/>
      <w:jc w:val="center"/>
      <w:outlineLvl w:val="6"/>
    </w:pPr>
    <w:rPr>
      <w:rFonts w:ascii="Times New Roman" w:eastAsia="Times New Roman" w:hAnsi="Times New Roman" w:cs="Times New Roman"/>
      <w:b/>
      <w:bCs/>
      <w:sz w:val="24"/>
      <w:szCs w:val="24"/>
      <w:lang w:val="es-ES" w:eastAsia="es-ES"/>
    </w:rPr>
  </w:style>
  <w:style w:type="paragraph" w:styleId="Ttulo8">
    <w:name w:val="heading 8"/>
    <w:basedOn w:val="Normal"/>
    <w:next w:val="Normal"/>
    <w:link w:val="Ttulo8Car"/>
    <w:uiPriority w:val="9"/>
    <w:qFormat/>
    <w:rsid w:val="0010027E"/>
    <w:pPr>
      <w:widowControl/>
      <w:autoSpaceDE/>
      <w:autoSpaceDN/>
      <w:spacing w:before="240" w:after="60"/>
      <w:outlineLvl w:val="7"/>
    </w:pPr>
    <w:rPr>
      <w:rFonts w:ascii="Times New Roman" w:eastAsia="Times New Roman" w:hAnsi="Times New Roman" w:cs="Times New Roman"/>
      <w:i/>
      <w:iCs/>
      <w:sz w:val="24"/>
      <w:szCs w:val="24"/>
      <w:lang w:val="es-ES" w:eastAsia="es-ES"/>
    </w:rPr>
  </w:style>
  <w:style w:type="paragraph" w:styleId="Ttulo9">
    <w:name w:val="heading 9"/>
    <w:basedOn w:val="Normal"/>
    <w:next w:val="Normal"/>
    <w:link w:val="Ttulo9Car"/>
    <w:uiPriority w:val="9"/>
    <w:qFormat/>
    <w:rsid w:val="0010027E"/>
    <w:pPr>
      <w:widowControl/>
      <w:autoSpaceDE/>
      <w:autoSpaceDN/>
      <w:spacing w:before="240" w:after="60"/>
      <w:outlineLvl w:val="8"/>
    </w:pPr>
    <w:rPr>
      <w:rFonts w:ascii="Arial" w:eastAsia="Times New Roman" w:hAnsi="Arial" w:cs="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qFormat/>
    <w:rPr>
      <w:sz w:val="24"/>
      <w:szCs w:val="24"/>
    </w:rPr>
  </w:style>
  <w:style w:type="paragraph" w:styleId="Prrafodelista">
    <w:name w:val="List Paragraph"/>
    <w:basedOn w:val="Normal"/>
    <w:link w:val="PrrafodelistaCar"/>
    <w:uiPriority w:val="34"/>
    <w:qFormat/>
    <w:pPr>
      <w:ind w:left="881" w:hanging="360"/>
    </w:pPr>
  </w:style>
  <w:style w:type="paragraph" w:customStyle="1" w:styleId="TableParagraph">
    <w:name w:val="Table Paragraph"/>
    <w:basedOn w:val="Normal"/>
    <w:uiPriority w:val="1"/>
    <w:qFormat/>
    <w:pPr>
      <w:spacing w:line="252" w:lineRule="exact"/>
    </w:pPr>
  </w:style>
  <w:style w:type="paragraph" w:styleId="Textodeglobo">
    <w:name w:val="Balloon Text"/>
    <w:basedOn w:val="Normal"/>
    <w:link w:val="TextodegloboCar"/>
    <w:uiPriority w:val="99"/>
    <w:semiHidden/>
    <w:unhideWhenUsed/>
    <w:rsid w:val="007472F1"/>
    <w:rPr>
      <w:rFonts w:ascii="Tahoma" w:hAnsi="Tahoma" w:cs="Tahoma"/>
      <w:sz w:val="16"/>
      <w:szCs w:val="16"/>
    </w:rPr>
  </w:style>
  <w:style w:type="character" w:customStyle="1" w:styleId="TextodegloboCar">
    <w:name w:val="Texto de globo Car"/>
    <w:basedOn w:val="Fuentedeprrafopredeter"/>
    <w:link w:val="Textodeglobo"/>
    <w:uiPriority w:val="99"/>
    <w:semiHidden/>
    <w:rsid w:val="007472F1"/>
    <w:rPr>
      <w:rFonts w:ascii="Tahoma" w:eastAsia="Arial" w:hAnsi="Tahoma" w:cs="Tahoma"/>
      <w:sz w:val="16"/>
      <w:szCs w:val="16"/>
      <w:lang w:val="es-ES"/>
    </w:rPr>
  </w:style>
  <w:style w:type="character" w:customStyle="1" w:styleId="Ttulo3Car">
    <w:name w:val="Título 3 Car"/>
    <w:basedOn w:val="Fuentedeprrafopredeter"/>
    <w:link w:val="Ttulo3"/>
    <w:uiPriority w:val="9"/>
    <w:rsid w:val="00B84370"/>
    <w:rPr>
      <w:rFonts w:asciiTheme="majorHAnsi" w:eastAsiaTheme="majorEastAsia" w:hAnsiTheme="majorHAnsi" w:cstheme="majorBidi"/>
      <w:color w:val="243F60" w:themeColor="accent1" w:themeShade="7F"/>
      <w:sz w:val="24"/>
      <w:szCs w:val="24"/>
      <w:lang w:val="es-ES"/>
    </w:rPr>
  </w:style>
  <w:style w:type="paragraph" w:styleId="NormalWeb">
    <w:name w:val="Normal (Web)"/>
    <w:basedOn w:val="Normal"/>
    <w:uiPriority w:val="99"/>
    <w:unhideWhenUsed/>
    <w:rsid w:val="00B84370"/>
    <w:pPr>
      <w:widowControl/>
      <w:autoSpaceDE/>
      <w:autoSpaceDN/>
      <w:spacing w:before="100" w:beforeAutospacing="1" w:after="100" w:afterAutospacing="1"/>
    </w:pPr>
    <w:rPr>
      <w:rFonts w:ascii="Times New Roman" w:eastAsia="Times New Roman" w:hAnsi="Times New Roman" w:cs="Times New Roman"/>
      <w:sz w:val="24"/>
      <w:szCs w:val="24"/>
      <w:lang w:val="es-CO" w:eastAsia="es-CO"/>
    </w:rPr>
  </w:style>
  <w:style w:type="character" w:styleId="Textoennegrita">
    <w:name w:val="Strong"/>
    <w:basedOn w:val="Fuentedeprrafopredeter"/>
    <w:qFormat/>
    <w:rsid w:val="00B84370"/>
    <w:rPr>
      <w:b/>
      <w:bCs/>
    </w:rPr>
  </w:style>
  <w:style w:type="paragraph" w:styleId="Sinespaciado">
    <w:name w:val="No Spacing"/>
    <w:uiPriority w:val="1"/>
    <w:qFormat/>
    <w:rsid w:val="0079502B"/>
    <w:rPr>
      <w:rFonts w:ascii="Arial" w:eastAsia="Arial" w:hAnsi="Arial" w:cs="Arial"/>
      <w:lang w:val="es-ES"/>
    </w:rPr>
  </w:style>
  <w:style w:type="paragraph" w:styleId="Encabezado">
    <w:name w:val="header"/>
    <w:basedOn w:val="Normal"/>
    <w:link w:val="EncabezadoCar"/>
    <w:uiPriority w:val="99"/>
    <w:unhideWhenUsed/>
    <w:rsid w:val="00A13459"/>
    <w:pPr>
      <w:tabs>
        <w:tab w:val="center" w:pos="4419"/>
        <w:tab w:val="right" w:pos="8838"/>
      </w:tabs>
    </w:pPr>
  </w:style>
  <w:style w:type="character" w:customStyle="1" w:styleId="EncabezadoCar">
    <w:name w:val="Encabezado Car"/>
    <w:basedOn w:val="Fuentedeprrafopredeter"/>
    <w:link w:val="Encabezado"/>
    <w:uiPriority w:val="99"/>
    <w:rsid w:val="00A13459"/>
    <w:rPr>
      <w:rFonts w:ascii="Arial" w:eastAsia="Arial" w:hAnsi="Arial" w:cs="Arial"/>
      <w:lang w:val="es-ES"/>
    </w:rPr>
  </w:style>
  <w:style w:type="paragraph" w:styleId="Piedepgina">
    <w:name w:val="footer"/>
    <w:basedOn w:val="Normal"/>
    <w:link w:val="PiedepginaCar"/>
    <w:uiPriority w:val="99"/>
    <w:unhideWhenUsed/>
    <w:rsid w:val="00A13459"/>
    <w:pPr>
      <w:tabs>
        <w:tab w:val="center" w:pos="4419"/>
        <w:tab w:val="right" w:pos="8838"/>
      </w:tabs>
    </w:pPr>
  </w:style>
  <w:style w:type="character" w:customStyle="1" w:styleId="PiedepginaCar">
    <w:name w:val="Pie de página Car"/>
    <w:basedOn w:val="Fuentedeprrafopredeter"/>
    <w:link w:val="Piedepgina"/>
    <w:uiPriority w:val="99"/>
    <w:rsid w:val="00A13459"/>
    <w:rPr>
      <w:rFonts w:ascii="Arial" w:eastAsia="Arial" w:hAnsi="Arial" w:cs="Arial"/>
      <w:lang w:val="es-ES"/>
    </w:rPr>
  </w:style>
  <w:style w:type="table" w:styleId="Tablaconcuadrcula">
    <w:name w:val="Table Grid"/>
    <w:basedOn w:val="Tablanormal"/>
    <w:uiPriority w:val="39"/>
    <w:unhideWhenUsed/>
    <w:rsid w:val="006735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unhideWhenUsed/>
    <w:rsid w:val="00895A2E"/>
    <w:rPr>
      <w:sz w:val="20"/>
      <w:szCs w:val="20"/>
    </w:rPr>
  </w:style>
  <w:style w:type="character" w:customStyle="1" w:styleId="TextonotapieCar">
    <w:name w:val="Texto nota pie Car"/>
    <w:basedOn w:val="Fuentedeprrafopredeter"/>
    <w:link w:val="Textonotapie"/>
    <w:uiPriority w:val="99"/>
    <w:rsid w:val="00895A2E"/>
    <w:rPr>
      <w:sz w:val="20"/>
      <w:szCs w:val="20"/>
    </w:rPr>
  </w:style>
  <w:style w:type="character" w:styleId="Refdenotaalpie">
    <w:name w:val="footnote reference"/>
    <w:basedOn w:val="Fuentedeprrafopredeter"/>
    <w:uiPriority w:val="99"/>
    <w:unhideWhenUsed/>
    <w:rsid w:val="00895A2E"/>
    <w:rPr>
      <w:vertAlign w:val="superscript"/>
    </w:rPr>
  </w:style>
  <w:style w:type="character" w:customStyle="1" w:styleId="Ttulo2Car">
    <w:name w:val="Título 2 Car"/>
    <w:basedOn w:val="Fuentedeprrafopredeter"/>
    <w:link w:val="Ttulo2"/>
    <w:uiPriority w:val="9"/>
    <w:rsid w:val="00BB1D75"/>
    <w:rPr>
      <w:rFonts w:asciiTheme="majorHAnsi" w:eastAsiaTheme="majorEastAsia" w:hAnsiTheme="majorHAnsi" w:cstheme="majorBidi"/>
      <w:color w:val="365F91" w:themeColor="accent1" w:themeShade="BF"/>
      <w:sz w:val="26"/>
      <w:szCs w:val="26"/>
    </w:rPr>
  </w:style>
  <w:style w:type="character" w:customStyle="1" w:styleId="PrrafodelistaCar">
    <w:name w:val="Párrafo de lista Car"/>
    <w:basedOn w:val="Fuentedeprrafopredeter"/>
    <w:link w:val="Prrafodelista"/>
    <w:uiPriority w:val="34"/>
    <w:rsid w:val="00DA1E1C"/>
  </w:style>
  <w:style w:type="table" w:styleId="Tablaconcuadrcula4-nfasis6">
    <w:name w:val="Grid Table 4 Accent 6"/>
    <w:basedOn w:val="Tablanormal"/>
    <w:uiPriority w:val="49"/>
    <w:rsid w:val="00DA1E1C"/>
    <w:pPr>
      <w:widowControl/>
      <w:autoSpaceDE/>
      <w:autoSpaceDN/>
    </w:pPr>
    <w:rPr>
      <w:lang w:val="es-CO"/>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character" w:customStyle="1" w:styleId="Ttulo4Car">
    <w:name w:val="Título 4 Car"/>
    <w:basedOn w:val="Fuentedeprrafopredeter"/>
    <w:link w:val="Ttulo4"/>
    <w:uiPriority w:val="9"/>
    <w:rsid w:val="0010027E"/>
    <w:rPr>
      <w:rFonts w:asciiTheme="majorHAnsi" w:eastAsiaTheme="majorEastAsia" w:hAnsiTheme="majorHAnsi" w:cstheme="majorBidi"/>
      <w:i/>
      <w:iCs/>
      <w:color w:val="365F91" w:themeColor="accent1" w:themeShade="BF"/>
    </w:rPr>
  </w:style>
  <w:style w:type="paragraph" w:styleId="Sangra3detindependiente">
    <w:name w:val="Body Text Indent 3"/>
    <w:basedOn w:val="Normal"/>
    <w:link w:val="Sangra3detindependienteCar"/>
    <w:uiPriority w:val="99"/>
    <w:unhideWhenUsed/>
    <w:rsid w:val="0010027E"/>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rsid w:val="0010027E"/>
    <w:rPr>
      <w:sz w:val="16"/>
      <w:szCs w:val="16"/>
    </w:rPr>
  </w:style>
  <w:style w:type="character" w:customStyle="1" w:styleId="Ttulo5Car">
    <w:name w:val="Título 5 Car"/>
    <w:basedOn w:val="Fuentedeprrafopredeter"/>
    <w:link w:val="Ttulo5"/>
    <w:uiPriority w:val="9"/>
    <w:rsid w:val="0010027E"/>
    <w:rPr>
      <w:rFonts w:ascii="Times New Roman" w:eastAsia="Times New Roman" w:hAnsi="Times New Roman" w:cs="Times New Roman"/>
      <w:b/>
      <w:bCs/>
      <w:i/>
      <w:iCs/>
      <w:sz w:val="26"/>
      <w:szCs w:val="26"/>
      <w:lang w:val="es-ES" w:eastAsia="es-ES"/>
    </w:rPr>
  </w:style>
  <w:style w:type="character" w:customStyle="1" w:styleId="Ttulo6Car">
    <w:name w:val="Título 6 Car"/>
    <w:basedOn w:val="Fuentedeprrafopredeter"/>
    <w:link w:val="Ttulo6"/>
    <w:uiPriority w:val="9"/>
    <w:rsid w:val="0010027E"/>
    <w:rPr>
      <w:rFonts w:ascii="Arial" w:eastAsia="Times New Roman" w:hAnsi="Arial" w:cs="Arial"/>
      <w:b/>
      <w:bCs/>
      <w:color w:val="808080"/>
      <w:sz w:val="20"/>
      <w:szCs w:val="24"/>
      <w:lang w:val="es-ES" w:eastAsia="es-ES"/>
    </w:rPr>
  </w:style>
  <w:style w:type="character" w:customStyle="1" w:styleId="Ttulo7Car">
    <w:name w:val="Título 7 Car"/>
    <w:basedOn w:val="Fuentedeprrafopredeter"/>
    <w:link w:val="Ttulo7"/>
    <w:uiPriority w:val="9"/>
    <w:rsid w:val="0010027E"/>
    <w:rPr>
      <w:rFonts w:ascii="Times New Roman" w:eastAsia="Times New Roman" w:hAnsi="Times New Roman" w:cs="Times New Roman"/>
      <w:b/>
      <w:bCs/>
      <w:sz w:val="24"/>
      <w:szCs w:val="24"/>
      <w:lang w:val="es-ES" w:eastAsia="es-ES"/>
    </w:rPr>
  </w:style>
  <w:style w:type="character" w:customStyle="1" w:styleId="Ttulo8Car">
    <w:name w:val="Título 8 Car"/>
    <w:basedOn w:val="Fuentedeprrafopredeter"/>
    <w:link w:val="Ttulo8"/>
    <w:uiPriority w:val="9"/>
    <w:rsid w:val="0010027E"/>
    <w:rPr>
      <w:rFonts w:ascii="Times New Roman" w:eastAsia="Times New Roman" w:hAnsi="Times New Roman" w:cs="Times New Roman"/>
      <w:i/>
      <w:iCs/>
      <w:sz w:val="24"/>
      <w:szCs w:val="24"/>
      <w:lang w:val="es-ES" w:eastAsia="es-ES"/>
    </w:rPr>
  </w:style>
  <w:style w:type="character" w:customStyle="1" w:styleId="Ttulo9Car">
    <w:name w:val="Título 9 Car"/>
    <w:basedOn w:val="Fuentedeprrafopredeter"/>
    <w:link w:val="Ttulo9"/>
    <w:uiPriority w:val="9"/>
    <w:rsid w:val="0010027E"/>
    <w:rPr>
      <w:rFonts w:ascii="Arial" w:eastAsia="Times New Roman" w:hAnsi="Arial" w:cs="Arial"/>
      <w:lang w:val="es-ES" w:eastAsia="es-ES"/>
    </w:rPr>
  </w:style>
  <w:style w:type="character" w:customStyle="1" w:styleId="Ttulo1Car">
    <w:name w:val="Título 1 Car"/>
    <w:basedOn w:val="Fuentedeprrafopredeter"/>
    <w:link w:val="Ttulo1"/>
    <w:uiPriority w:val="9"/>
    <w:rsid w:val="0010027E"/>
    <w:rPr>
      <w:b/>
      <w:bCs/>
      <w:sz w:val="24"/>
      <w:szCs w:val="24"/>
    </w:rPr>
  </w:style>
  <w:style w:type="character" w:customStyle="1" w:styleId="TextoindependienteCar">
    <w:name w:val="Texto independiente Car"/>
    <w:basedOn w:val="Fuentedeprrafopredeter"/>
    <w:link w:val="Textoindependiente"/>
    <w:rsid w:val="0010027E"/>
    <w:rPr>
      <w:sz w:val="24"/>
      <w:szCs w:val="24"/>
    </w:rPr>
  </w:style>
  <w:style w:type="character" w:styleId="Nmerodepgina">
    <w:name w:val="page number"/>
    <w:basedOn w:val="Fuentedeprrafopredeter"/>
    <w:uiPriority w:val="99"/>
    <w:rsid w:val="0010027E"/>
  </w:style>
  <w:style w:type="paragraph" w:customStyle="1" w:styleId="Ttulo10">
    <w:name w:val="TÍtulo 1"/>
    <w:basedOn w:val="Normal"/>
    <w:next w:val="Normal"/>
    <w:rsid w:val="0010027E"/>
    <w:pPr>
      <w:keepNext/>
      <w:widowControl/>
      <w:autoSpaceDE/>
      <w:autoSpaceDN/>
      <w:jc w:val="both"/>
    </w:pPr>
    <w:rPr>
      <w:rFonts w:ascii="Arial" w:eastAsia="Times New Roman" w:hAnsi="Arial" w:cs="Times New Roman"/>
      <w:sz w:val="24"/>
      <w:szCs w:val="20"/>
      <w:lang w:val="es-ES" w:eastAsia="es-CO"/>
    </w:rPr>
  </w:style>
  <w:style w:type="paragraph" w:styleId="Textoindependiente2">
    <w:name w:val="Body Text 2"/>
    <w:basedOn w:val="Normal"/>
    <w:link w:val="Textoindependiente2Car"/>
    <w:uiPriority w:val="99"/>
    <w:rsid w:val="0010027E"/>
    <w:pPr>
      <w:autoSpaceDE/>
      <w:autoSpaceDN/>
      <w:jc w:val="both"/>
    </w:pPr>
    <w:rPr>
      <w:rFonts w:ascii="Times New Roman" w:eastAsia="Times New Roman" w:hAnsi="Times New Roman" w:cs="Times New Roman"/>
      <w:b/>
      <w:sz w:val="24"/>
      <w:szCs w:val="20"/>
      <w:lang w:val="es-ES_tradnl" w:eastAsia="es-CO"/>
    </w:rPr>
  </w:style>
  <w:style w:type="character" w:customStyle="1" w:styleId="Textoindependiente2Car">
    <w:name w:val="Texto independiente 2 Car"/>
    <w:basedOn w:val="Fuentedeprrafopredeter"/>
    <w:link w:val="Textoindependiente2"/>
    <w:uiPriority w:val="99"/>
    <w:rsid w:val="0010027E"/>
    <w:rPr>
      <w:rFonts w:ascii="Times New Roman" w:eastAsia="Times New Roman" w:hAnsi="Times New Roman" w:cs="Times New Roman"/>
      <w:b/>
      <w:sz w:val="24"/>
      <w:szCs w:val="20"/>
      <w:lang w:val="es-ES_tradnl" w:eastAsia="es-CO"/>
    </w:rPr>
  </w:style>
  <w:style w:type="paragraph" w:customStyle="1" w:styleId="Estilgt">
    <w:name w:val="Estilgt"/>
    <w:basedOn w:val="Normal"/>
    <w:rsid w:val="0010027E"/>
    <w:pPr>
      <w:suppressLineNumbers/>
      <w:suppressAutoHyphens/>
      <w:autoSpaceDE/>
      <w:autoSpaceDN/>
      <w:jc w:val="both"/>
    </w:pPr>
    <w:rPr>
      <w:rFonts w:ascii="Arial" w:eastAsia="Times New Roman" w:hAnsi="Arial" w:cs="Times New Roman"/>
      <w:b/>
      <w:caps/>
      <w:spacing w:val="20"/>
      <w:sz w:val="16"/>
      <w:szCs w:val="20"/>
      <w:lang w:val="es-ES_tradnl" w:eastAsia="es-ES"/>
    </w:rPr>
  </w:style>
  <w:style w:type="paragraph" w:customStyle="1" w:styleId="Estilo1">
    <w:name w:val="Estilo1"/>
    <w:basedOn w:val="Ttulo3"/>
    <w:link w:val="Estilo1Car"/>
    <w:qFormat/>
    <w:rsid w:val="0010027E"/>
    <w:pPr>
      <w:keepLines w:val="0"/>
      <w:widowControl/>
      <w:autoSpaceDE/>
      <w:autoSpaceDN/>
      <w:spacing w:before="240" w:after="60"/>
    </w:pPr>
    <w:rPr>
      <w:rFonts w:ascii="Arial" w:eastAsia="Times New Roman" w:hAnsi="Arial" w:cs="Times New Roman"/>
      <w:color w:val="auto"/>
      <w:szCs w:val="20"/>
      <w:lang w:val="es-ES_tradnl" w:eastAsia="es-ES"/>
    </w:rPr>
  </w:style>
  <w:style w:type="character" w:customStyle="1" w:styleId="Estilo1Car">
    <w:name w:val="Estilo1 Car"/>
    <w:basedOn w:val="PrrafodelistaCar"/>
    <w:link w:val="Estilo1"/>
    <w:rsid w:val="0010027E"/>
    <w:rPr>
      <w:rFonts w:ascii="Arial" w:eastAsia="Times New Roman" w:hAnsi="Arial" w:cs="Times New Roman"/>
      <w:sz w:val="24"/>
      <w:szCs w:val="20"/>
      <w:lang w:val="es-ES_tradnl" w:eastAsia="es-ES"/>
    </w:rPr>
  </w:style>
  <w:style w:type="paragraph" w:customStyle="1" w:styleId="toa">
    <w:name w:val="toa"/>
    <w:basedOn w:val="Normal"/>
    <w:uiPriority w:val="99"/>
    <w:rsid w:val="0010027E"/>
    <w:pPr>
      <w:widowControl/>
      <w:tabs>
        <w:tab w:val="left" w:pos="9000"/>
        <w:tab w:val="right" w:pos="9360"/>
      </w:tabs>
      <w:suppressAutoHyphens/>
      <w:autoSpaceDE/>
      <w:autoSpaceDN/>
    </w:pPr>
    <w:rPr>
      <w:rFonts w:ascii="Courier" w:eastAsia="Times New Roman" w:hAnsi="Courier" w:cs="Times New Roman"/>
      <w:sz w:val="24"/>
      <w:szCs w:val="20"/>
      <w:lang w:eastAsia="es-ES"/>
    </w:rPr>
  </w:style>
  <w:style w:type="character" w:styleId="Refdecomentario">
    <w:name w:val="annotation reference"/>
    <w:uiPriority w:val="99"/>
    <w:semiHidden/>
    <w:rsid w:val="0010027E"/>
    <w:rPr>
      <w:sz w:val="16"/>
      <w:szCs w:val="16"/>
    </w:rPr>
  </w:style>
  <w:style w:type="paragraph" w:styleId="Textocomentario">
    <w:name w:val="annotation text"/>
    <w:basedOn w:val="Normal"/>
    <w:link w:val="TextocomentarioCar"/>
    <w:uiPriority w:val="99"/>
    <w:rsid w:val="0010027E"/>
    <w:pPr>
      <w:widowControl/>
      <w:autoSpaceDE/>
      <w:autoSpaceDN/>
    </w:pPr>
    <w:rPr>
      <w:rFonts w:ascii="Times New Roman" w:eastAsia="Times New Roman" w:hAnsi="Times New Roman" w:cs="Times New Roman"/>
      <w:sz w:val="20"/>
      <w:szCs w:val="20"/>
      <w:lang w:val="es-ES" w:eastAsia="es-ES"/>
    </w:rPr>
  </w:style>
  <w:style w:type="character" w:customStyle="1" w:styleId="TextocomentarioCar">
    <w:name w:val="Texto comentario Car"/>
    <w:basedOn w:val="Fuentedeprrafopredeter"/>
    <w:link w:val="Textocomentario"/>
    <w:uiPriority w:val="99"/>
    <w:rsid w:val="0010027E"/>
    <w:rPr>
      <w:rFonts w:ascii="Times New Roman" w:eastAsia="Times New Roman" w:hAnsi="Times New Roman" w:cs="Times New Roman"/>
      <w:sz w:val="20"/>
      <w:szCs w:val="20"/>
      <w:lang w:val="es-ES" w:eastAsia="es-ES"/>
    </w:rPr>
  </w:style>
  <w:style w:type="paragraph" w:styleId="Ttulo">
    <w:name w:val="Title"/>
    <w:basedOn w:val="Normal"/>
    <w:link w:val="TtuloCar"/>
    <w:qFormat/>
    <w:rsid w:val="0010027E"/>
    <w:pPr>
      <w:widowControl/>
      <w:autoSpaceDE/>
      <w:autoSpaceDN/>
      <w:jc w:val="center"/>
    </w:pPr>
    <w:rPr>
      <w:rFonts w:ascii="Times New Roman" w:eastAsia="Times New Roman" w:hAnsi="Times New Roman" w:cs="Times New Roman"/>
      <w:b/>
      <w:bCs/>
      <w:sz w:val="24"/>
      <w:szCs w:val="24"/>
      <w:lang w:val="es-MX" w:eastAsia="es-ES"/>
    </w:rPr>
  </w:style>
  <w:style w:type="character" w:customStyle="1" w:styleId="TtuloCar">
    <w:name w:val="Título Car"/>
    <w:basedOn w:val="Fuentedeprrafopredeter"/>
    <w:link w:val="Ttulo"/>
    <w:rsid w:val="0010027E"/>
    <w:rPr>
      <w:rFonts w:ascii="Times New Roman" w:eastAsia="Times New Roman" w:hAnsi="Times New Roman" w:cs="Times New Roman"/>
      <w:b/>
      <w:bCs/>
      <w:sz w:val="24"/>
      <w:szCs w:val="24"/>
      <w:lang w:val="es-MX" w:eastAsia="es-ES"/>
    </w:rPr>
  </w:style>
  <w:style w:type="paragraph" w:styleId="Sangra2detindependiente">
    <w:name w:val="Body Text Indent 2"/>
    <w:basedOn w:val="Normal"/>
    <w:link w:val="Sangra2detindependienteCar"/>
    <w:rsid w:val="0010027E"/>
    <w:pPr>
      <w:widowControl/>
      <w:autoSpaceDE/>
      <w:autoSpaceDN/>
      <w:spacing w:after="120" w:line="480" w:lineRule="auto"/>
      <w:ind w:left="283"/>
    </w:pPr>
    <w:rPr>
      <w:rFonts w:ascii="Times New Roman" w:eastAsia="Times New Roman" w:hAnsi="Times New Roman" w:cs="Times New Roman"/>
      <w:sz w:val="24"/>
      <w:szCs w:val="24"/>
      <w:lang w:val="es-ES" w:eastAsia="es-ES"/>
    </w:rPr>
  </w:style>
  <w:style w:type="character" w:customStyle="1" w:styleId="Sangra2detindependienteCar">
    <w:name w:val="Sangría 2 de t. independiente Car"/>
    <w:basedOn w:val="Fuentedeprrafopredeter"/>
    <w:link w:val="Sangra2detindependiente"/>
    <w:rsid w:val="0010027E"/>
    <w:rPr>
      <w:rFonts w:ascii="Times New Roman" w:eastAsia="Times New Roman" w:hAnsi="Times New Roman" w:cs="Times New Roman"/>
      <w:sz w:val="24"/>
      <w:szCs w:val="24"/>
      <w:lang w:val="es-ES" w:eastAsia="es-ES"/>
    </w:rPr>
  </w:style>
  <w:style w:type="paragraph" w:customStyle="1" w:styleId="BodyText21">
    <w:name w:val="Body Text 21"/>
    <w:basedOn w:val="Normal"/>
    <w:rsid w:val="0010027E"/>
    <w:pPr>
      <w:autoSpaceDE/>
      <w:autoSpaceDN/>
      <w:snapToGrid w:val="0"/>
      <w:jc w:val="both"/>
    </w:pPr>
    <w:rPr>
      <w:rFonts w:ascii="Times New Roman" w:eastAsia="Times New Roman" w:hAnsi="Times New Roman" w:cs="Times New Roman"/>
      <w:sz w:val="28"/>
      <w:szCs w:val="20"/>
      <w:lang w:val="es-ES_tradnl" w:eastAsia="es-ES"/>
    </w:rPr>
  </w:style>
  <w:style w:type="paragraph" w:styleId="Textoindependiente3">
    <w:name w:val="Body Text 3"/>
    <w:basedOn w:val="Normal"/>
    <w:link w:val="Textoindependiente3Car"/>
    <w:rsid w:val="0010027E"/>
    <w:pPr>
      <w:widowControl/>
      <w:autoSpaceDE/>
      <w:autoSpaceDN/>
      <w:jc w:val="both"/>
    </w:pPr>
    <w:rPr>
      <w:rFonts w:ascii="Arial" w:eastAsia="Times New Roman" w:hAnsi="Arial" w:cs="Arial"/>
      <w:sz w:val="24"/>
      <w:szCs w:val="24"/>
      <w:lang w:val="es-CO" w:eastAsia="es-ES"/>
    </w:rPr>
  </w:style>
  <w:style w:type="character" w:customStyle="1" w:styleId="Textoindependiente3Car">
    <w:name w:val="Texto independiente 3 Car"/>
    <w:basedOn w:val="Fuentedeprrafopredeter"/>
    <w:link w:val="Textoindependiente3"/>
    <w:rsid w:val="0010027E"/>
    <w:rPr>
      <w:rFonts w:ascii="Arial" w:eastAsia="Times New Roman" w:hAnsi="Arial" w:cs="Arial"/>
      <w:sz w:val="24"/>
      <w:szCs w:val="24"/>
      <w:lang w:val="es-CO" w:eastAsia="es-ES"/>
    </w:rPr>
  </w:style>
  <w:style w:type="paragraph" w:styleId="Sangradetextonormal">
    <w:name w:val="Body Text Indent"/>
    <w:basedOn w:val="Normal"/>
    <w:link w:val="SangradetextonormalCar"/>
    <w:rsid w:val="0010027E"/>
    <w:pPr>
      <w:widowControl/>
      <w:autoSpaceDE/>
      <w:autoSpaceDN/>
      <w:ind w:left="1080" w:hanging="375"/>
      <w:jc w:val="both"/>
    </w:pPr>
    <w:rPr>
      <w:rFonts w:ascii="Times New Roman" w:eastAsia="Times New Roman" w:hAnsi="Times New Roman" w:cs="Times New Roman"/>
      <w:b/>
      <w:bCs/>
      <w:sz w:val="24"/>
      <w:szCs w:val="24"/>
      <w:lang w:val="es-ES" w:eastAsia="es-ES"/>
    </w:rPr>
  </w:style>
  <w:style w:type="character" w:customStyle="1" w:styleId="SangradetextonormalCar">
    <w:name w:val="Sangría de texto normal Car"/>
    <w:basedOn w:val="Fuentedeprrafopredeter"/>
    <w:link w:val="Sangradetextonormal"/>
    <w:rsid w:val="0010027E"/>
    <w:rPr>
      <w:rFonts w:ascii="Times New Roman" w:eastAsia="Times New Roman" w:hAnsi="Times New Roman" w:cs="Times New Roman"/>
      <w:b/>
      <w:bCs/>
      <w:sz w:val="24"/>
      <w:szCs w:val="24"/>
      <w:lang w:val="es-ES" w:eastAsia="es-ES"/>
    </w:rPr>
  </w:style>
  <w:style w:type="paragraph" w:customStyle="1" w:styleId="Encabezadodetda">
    <w:name w:val="Encabezado de tda"/>
    <w:basedOn w:val="Normal"/>
    <w:rsid w:val="0010027E"/>
    <w:pPr>
      <w:tabs>
        <w:tab w:val="right" w:pos="9360"/>
      </w:tabs>
      <w:suppressAutoHyphens/>
      <w:adjustRightInd w:val="0"/>
      <w:spacing w:line="240" w:lineRule="atLeast"/>
    </w:pPr>
    <w:rPr>
      <w:rFonts w:ascii="Courier New" w:eastAsia="Times New Roman" w:hAnsi="Courier New" w:cs="Courier New"/>
      <w:sz w:val="24"/>
      <w:szCs w:val="24"/>
      <w:lang w:eastAsia="es-ES"/>
    </w:rPr>
  </w:style>
  <w:style w:type="paragraph" w:customStyle="1" w:styleId="Textoindependiente21">
    <w:name w:val="Texto independiente 21"/>
    <w:basedOn w:val="Normal"/>
    <w:rsid w:val="0010027E"/>
    <w:pPr>
      <w:widowControl/>
      <w:overflowPunct w:val="0"/>
      <w:adjustRightInd w:val="0"/>
      <w:jc w:val="both"/>
      <w:textAlignment w:val="baseline"/>
    </w:pPr>
    <w:rPr>
      <w:rFonts w:ascii="Times New Roman" w:eastAsia="Times New Roman" w:hAnsi="Times New Roman" w:cs="Times New Roman"/>
      <w:b/>
      <w:sz w:val="24"/>
      <w:szCs w:val="20"/>
      <w:lang w:val="es-ES_tradnl" w:eastAsia="es-ES"/>
    </w:rPr>
  </w:style>
  <w:style w:type="paragraph" w:customStyle="1" w:styleId="Tcnico4">
    <w:name w:val="TÀ)Àcnico 4"/>
    <w:rsid w:val="0010027E"/>
    <w:pPr>
      <w:widowControl/>
      <w:tabs>
        <w:tab w:val="left" w:pos="-720"/>
      </w:tabs>
      <w:suppressAutoHyphens/>
      <w:autoSpaceDE/>
      <w:autoSpaceDN/>
    </w:pPr>
    <w:rPr>
      <w:rFonts w:ascii="Courier New" w:eastAsia="Times New Roman" w:hAnsi="Courier New" w:cs="Times New Roman"/>
      <w:b/>
      <w:sz w:val="24"/>
      <w:szCs w:val="20"/>
      <w:lang w:eastAsia="es-CO"/>
    </w:rPr>
  </w:style>
  <w:style w:type="paragraph" w:customStyle="1" w:styleId="Documento1">
    <w:name w:val="Documento 1"/>
    <w:rsid w:val="0010027E"/>
    <w:pPr>
      <w:keepNext/>
      <w:keepLines/>
      <w:widowControl/>
      <w:tabs>
        <w:tab w:val="left" w:pos="-720"/>
      </w:tabs>
      <w:suppressAutoHyphens/>
      <w:autoSpaceDE/>
      <w:autoSpaceDN/>
    </w:pPr>
    <w:rPr>
      <w:rFonts w:ascii="Courier New" w:eastAsia="Times New Roman" w:hAnsi="Courier New" w:cs="Times New Roman"/>
      <w:sz w:val="24"/>
      <w:szCs w:val="20"/>
      <w:lang w:eastAsia="es-CO"/>
    </w:rPr>
  </w:style>
  <w:style w:type="paragraph" w:styleId="TDC9">
    <w:name w:val="toc 9"/>
    <w:basedOn w:val="Normal"/>
    <w:next w:val="Normal"/>
    <w:uiPriority w:val="39"/>
    <w:rsid w:val="0010027E"/>
    <w:pPr>
      <w:widowControl/>
      <w:autoSpaceDE/>
      <w:autoSpaceDN/>
      <w:ind w:left="1920"/>
    </w:pPr>
    <w:rPr>
      <w:rFonts w:eastAsia="Times New Roman" w:cstheme="minorHAnsi"/>
      <w:sz w:val="20"/>
      <w:szCs w:val="20"/>
      <w:lang w:val="es-ES" w:eastAsia="es-ES"/>
    </w:rPr>
  </w:style>
  <w:style w:type="paragraph" w:styleId="Textodebloque">
    <w:name w:val="Block Text"/>
    <w:basedOn w:val="Normal"/>
    <w:rsid w:val="0010027E"/>
    <w:pPr>
      <w:widowControl/>
      <w:autoSpaceDE/>
      <w:autoSpaceDN/>
      <w:ind w:left="-426" w:right="51"/>
      <w:jc w:val="both"/>
    </w:pPr>
    <w:rPr>
      <w:rFonts w:ascii="Arial" w:eastAsia="Times New Roman" w:hAnsi="Arial" w:cs="Arial"/>
      <w:sz w:val="16"/>
      <w:szCs w:val="24"/>
      <w:lang w:val="es-ES" w:eastAsia="es-ES"/>
    </w:rPr>
  </w:style>
  <w:style w:type="paragraph" w:styleId="Asuntodelcomentario">
    <w:name w:val="annotation subject"/>
    <w:basedOn w:val="Textocomentario"/>
    <w:next w:val="Textocomentario"/>
    <w:link w:val="AsuntodelcomentarioCar"/>
    <w:uiPriority w:val="99"/>
    <w:semiHidden/>
    <w:rsid w:val="0010027E"/>
    <w:rPr>
      <w:b/>
      <w:bCs/>
    </w:rPr>
  </w:style>
  <w:style w:type="character" w:customStyle="1" w:styleId="AsuntodelcomentarioCar">
    <w:name w:val="Asunto del comentario Car"/>
    <w:basedOn w:val="TextocomentarioCar"/>
    <w:link w:val="Asuntodelcomentario"/>
    <w:uiPriority w:val="99"/>
    <w:semiHidden/>
    <w:rsid w:val="0010027E"/>
    <w:rPr>
      <w:rFonts w:ascii="Times New Roman" w:eastAsia="Times New Roman" w:hAnsi="Times New Roman" w:cs="Times New Roman"/>
      <w:b/>
      <w:bCs/>
      <w:sz w:val="20"/>
      <w:szCs w:val="20"/>
      <w:lang w:val="es-ES" w:eastAsia="es-ES"/>
    </w:rPr>
  </w:style>
  <w:style w:type="paragraph" w:customStyle="1" w:styleId="CUERPOTEXTO">
    <w:name w:val="CUERPO TEXTO"/>
    <w:rsid w:val="0010027E"/>
    <w:pPr>
      <w:tabs>
        <w:tab w:val="center" w:pos="510"/>
        <w:tab w:val="left" w:pos="1134"/>
      </w:tabs>
      <w:autoSpaceDE/>
      <w:autoSpaceDN/>
      <w:adjustRightInd w:val="0"/>
      <w:spacing w:before="28" w:after="28" w:line="210" w:lineRule="atLeast"/>
      <w:ind w:firstLine="283"/>
      <w:jc w:val="both"/>
    </w:pPr>
    <w:rPr>
      <w:rFonts w:ascii="Times New Roman" w:eastAsia="Times New Roman" w:hAnsi="Times New Roman" w:cs="Times New Roman"/>
      <w:color w:val="000000"/>
      <w:sz w:val="19"/>
      <w:szCs w:val="19"/>
      <w:lang w:val="es-ES" w:eastAsia="es-ES"/>
    </w:rPr>
  </w:style>
  <w:style w:type="paragraph" w:customStyle="1" w:styleId="estilgt0">
    <w:name w:val="estilgt"/>
    <w:basedOn w:val="Normal"/>
    <w:rsid w:val="0010027E"/>
    <w:pPr>
      <w:widowControl/>
      <w:autoSpaceDE/>
      <w:autoSpaceDN/>
      <w:jc w:val="both"/>
    </w:pPr>
    <w:rPr>
      <w:rFonts w:ascii="Arial" w:eastAsia="Times New Roman" w:hAnsi="Arial" w:cs="Arial"/>
      <w:b/>
      <w:bCs/>
      <w:caps/>
      <w:spacing w:val="20"/>
      <w:sz w:val="16"/>
      <w:szCs w:val="16"/>
      <w:lang w:val="es-ES" w:eastAsia="es-ES"/>
    </w:rPr>
  </w:style>
  <w:style w:type="table" w:styleId="Tablaconlista5">
    <w:name w:val="Table List 5"/>
    <w:basedOn w:val="Tablanormal"/>
    <w:rsid w:val="0010027E"/>
    <w:pPr>
      <w:widowControl/>
      <w:autoSpaceDE/>
      <w:autoSpaceDN/>
    </w:pPr>
    <w:rPr>
      <w:rFonts w:ascii="Times New Roman" w:eastAsia="Times New Roman" w:hAnsi="Times New Roman" w:cs="Times New Roman"/>
      <w:sz w:val="20"/>
      <w:szCs w:val="20"/>
      <w:lang w:val="es-ES_tradnl" w:eastAsia="es-ES_tradnl"/>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character" w:styleId="Hipervnculo">
    <w:name w:val="Hyperlink"/>
    <w:uiPriority w:val="99"/>
    <w:rsid w:val="0010027E"/>
    <w:rPr>
      <w:color w:val="0000FF"/>
      <w:u w:val="single"/>
    </w:rPr>
  </w:style>
  <w:style w:type="table" w:styleId="Tablaconlista4">
    <w:name w:val="Table List 4"/>
    <w:basedOn w:val="Tablanormal"/>
    <w:rsid w:val="0010027E"/>
    <w:pPr>
      <w:widowControl/>
      <w:autoSpaceDE/>
      <w:autoSpaceDN/>
    </w:pPr>
    <w:rPr>
      <w:rFonts w:ascii="Times New Roman" w:eastAsia="Times New Roman" w:hAnsi="Times New Roman" w:cs="Times New Roman"/>
      <w:sz w:val="20"/>
      <w:szCs w:val="20"/>
      <w:lang w:val="es-ES_tradnl" w:eastAsia="es-ES_tradnl"/>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styleId="Mapadeldocumento">
    <w:name w:val="Document Map"/>
    <w:basedOn w:val="Normal"/>
    <w:link w:val="MapadeldocumentoCar"/>
    <w:semiHidden/>
    <w:rsid w:val="0010027E"/>
    <w:pPr>
      <w:widowControl/>
      <w:shd w:val="clear" w:color="auto" w:fill="000080"/>
      <w:autoSpaceDE/>
      <w:autoSpaceDN/>
    </w:pPr>
    <w:rPr>
      <w:rFonts w:ascii="Tahoma" w:eastAsia="Times New Roman" w:hAnsi="Tahoma" w:cs="Tahoma"/>
      <w:sz w:val="20"/>
      <w:szCs w:val="20"/>
      <w:lang w:val="es-ES" w:eastAsia="es-ES"/>
    </w:rPr>
  </w:style>
  <w:style w:type="character" w:customStyle="1" w:styleId="MapadeldocumentoCar">
    <w:name w:val="Mapa del documento Car"/>
    <w:basedOn w:val="Fuentedeprrafopredeter"/>
    <w:link w:val="Mapadeldocumento"/>
    <w:semiHidden/>
    <w:rsid w:val="0010027E"/>
    <w:rPr>
      <w:rFonts w:ascii="Tahoma" w:eastAsia="Times New Roman" w:hAnsi="Tahoma" w:cs="Tahoma"/>
      <w:sz w:val="20"/>
      <w:szCs w:val="20"/>
      <w:shd w:val="clear" w:color="auto" w:fill="000080"/>
      <w:lang w:val="es-ES" w:eastAsia="es-ES"/>
    </w:rPr>
  </w:style>
  <w:style w:type="character" w:styleId="Hipervnculovisitado">
    <w:name w:val="FollowedHyperlink"/>
    <w:uiPriority w:val="99"/>
    <w:rsid w:val="0010027E"/>
    <w:rPr>
      <w:color w:val="800080"/>
      <w:u w:val="single"/>
    </w:rPr>
  </w:style>
  <w:style w:type="paragraph" w:styleId="TDC2">
    <w:name w:val="toc 2"/>
    <w:basedOn w:val="Normal"/>
    <w:next w:val="Normal"/>
    <w:autoRedefine/>
    <w:uiPriority w:val="39"/>
    <w:rsid w:val="0010027E"/>
    <w:pPr>
      <w:widowControl/>
      <w:tabs>
        <w:tab w:val="left" w:pos="426"/>
        <w:tab w:val="right" w:leader="dot" w:pos="8828"/>
      </w:tabs>
      <w:autoSpaceDE/>
      <w:autoSpaceDN/>
      <w:spacing w:before="120"/>
      <w:ind w:left="851"/>
      <w:jc w:val="both"/>
    </w:pPr>
    <w:rPr>
      <w:rFonts w:eastAsia="Times New Roman" w:cstheme="minorHAnsi"/>
      <w:b/>
      <w:bCs/>
      <w:lang w:val="es-ES" w:eastAsia="es-ES"/>
    </w:rPr>
  </w:style>
  <w:style w:type="paragraph" w:styleId="TDC1">
    <w:name w:val="toc 1"/>
    <w:basedOn w:val="Normal"/>
    <w:next w:val="Normal"/>
    <w:autoRedefine/>
    <w:uiPriority w:val="39"/>
    <w:rsid w:val="0010027E"/>
    <w:pPr>
      <w:widowControl/>
      <w:tabs>
        <w:tab w:val="right" w:leader="dot" w:pos="8828"/>
      </w:tabs>
      <w:autoSpaceDE/>
      <w:autoSpaceDN/>
      <w:spacing w:before="120"/>
      <w:ind w:left="284"/>
      <w:jc w:val="both"/>
      <w:outlineLvl w:val="0"/>
    </w:pPr>
    <w:rPr>
      <w:rFonts w:ascii="Arial" w:eastAsia="Times New Roman" w:hAnsi="Arial" w:cs="Arial"/>
      <w:b/>
      <w:bCs/>
      <w:iCs/>
      <w:noProof/>
      <w:lang w:val="es-ES" w:eastAsia="es-ES"/>
    </w:rPr>
  </w:style>
  <w:style w:type="paragraph" w:styleId="TDC3">
    <w:name w:val="toc 3"/>
    <w:basedOn w:val="Normal"/>
    <w:next w:val="Normal"/>
    <w:autoRedefine/>
    <w:uiPriority w:val="39"/>
    <w:rsid w:val="0010027E"/>
    <w:pPr>
      <w:widowControl/>
      <w:tabs>
        <w:tab w:val="left" w:pos="1200"/>
        <w:tab w:val="right" w:leader="dot" w:pos="8828"/>
      </w:tabs>
      <w:autoSpaceDE/>
      <w:autoSpaceDN/>
      <w:ind w:left="567"/>
    </w:pPr>
    <w:rPr>
      <w:rFonts w:eastAsia="Times New Roman" w:cstheme="minorHAnsi"/>
      <w:sz w:val="20"/>
      <w:szCs w:val="20"/>
      <w:lang w:val="es-ES" w:eastAsia="es-ES"/>
    </w:rPr>
  </w:style>
  <w:style w:type="paragraph" w:styleId="TDC4">
    <w:name w:val="toc 4"/>
    <w:basedOn w:val="Normal"/>
    <w:next w:val="Normal"/>
    <w:autoRedefine/>
    <w:uiPriority w:val="39"/>
    <w:rsid w:val="0010027E"/>
    <w:pPr>
      <w:widowControl/>
      <w:autoSpaceDE/>
      <w:autoSpaceDN/>
      <w:ind w:left="720"/>
    </w:pPr>
    <w:rPr>
      <w:rFonts w:eastAsia="Times New Roman" w:cstheme="minorHAnsi"/>
      <w:sz w:val="20"/>
      <w:szCs w:val="20"/>
      <w:lang w:val="es-ES" w:eastAsia="es-ES"/>
    </w:rPr>
  </w:style>
  <w:style w:type="paragraph" w:styleId="TDC5">
    <w:name w:val="toc 5"/>
    <w:basedOn w:val="Normal"/>
    <w:next w:val="Normal"/>
    <w:autoRedefine/>
    <w:uiPriority w:val="39"/>
    <w:rsid w:val="0010027E"/>
    <w:pPr>
      <w:widowControl/>
      <w:autoSpaceDE/>
      <w:autoSpaceDN/>
      <w:ind w:left="960"/>
    </w:pPr>
    <w:rPr>
      <w:rFonts w:eastAsia="Times New Roman" w:cstheme="minorHAnsi"/>
      <w:sz w:val="20"/>
      <w:szCs w:val="20"/>
      <w:lang w:val="es-ES" w:eastAsia="es-ES"/>
    </w:rPr>
  </w:style>
  <w:style w:type="paragraph" w:styleId="TDC6">
    <w:name w:val="toc 6"/>
    <w:basedOn w:val="Normal"/>
    <w:next w:val="Normal"/>
    <w:autoRedefine/>
    <w:uiPriority w:val="39"/>
    <w:rsid w:val="0010027E"/>
    <w:pPr>
      <w:widowControl/>
      <w:autoSpaceDE/>
      <w:autoSpaceDN/>
      <w:ind w:left="1200"/>
    </w:pPr>
    <w:rPr>
      <w:rFonts w:eastAsia="Times New Roman" w:cstheme="minorHAnsi"/>
      <w:sz w:val="20"/>
      <w:szCs w:val="20"/>
      <w:lang w:val="es-ES" w:eastAsia="es-ES"/>
    </w:rPr>
  </w:style>
  <w:style w:type="paragraph" w:styleId="TDC7">
    <w:name w:val="toc 7"/>
    <w:basedOn w:val="Normal"/>
    <w:next w:val="Normal"/>
    <w:autoRedefine/>
    <w:uiPriority w:val="39"/>
    <w:rsid w:val="0010027E"/>
    <w:pPr>
      <w:widowControl/>
      <w:autoSpaceDE/>
      <w:autoSpaceDN/>
      <w:ind w:left="1440"/>
    </w:pPr>
    <w:rPr>
      <w:rFonts w:eastAsia="Times New Roman" w:cstheme="minorHAnsi"/>
      <w:sz w:val="20"/>
      <w:szCs w:val="20"/>
      <w:lang w:val="es-ES" w:eastAsia="es-ES"/>
    </w:rPr>
  </w:style>
  <w:style w:type="paragraph" w:styleId="TDC8">
    <w:name w:val="toc 8"/>
    <w:basedOn w:val="Normal"/>
    <w:next w:val="Normal"/>
    <w:autoRedefine/>
    <w:uiPriority w:val="39"/>
    <w:rsid w:val="0010027E"/>
    <w:pPr>
      <w:widowControl/>
      <w:autoSpaceDE/>
      <w:autoSpaceDN/>
      <w:ind w:left="1680"/>
    </w:pPr>
    <w:rPr>
      <w:rFonts w:eastAsia="Times New Roman" w:cstheme="minorHAnsi"/>
      <w:sz w:val="20"/>
      <w:szCs w:val="20"/>
      <w:lang w:val="es-ES" w:eastAsia="es-ES"/>
    </w:rPr>
  </w:style>
  <w:style w:type="paragraph" w:customStyle="1" w:styleId="Textodebloque1">
    <w:name w:val="Texto de bloque1"/>
    <w:basedOn w:val="Normal"/>
    <w:rsid w:val="0010027E"/>
    <w:pPr>
      <w:suppressAutoHyphens/>
      <w:autoSpaceDE/>
      <w:autoSpaceDN/>
      <w:ind w:left="120" w:right="-160"/>
      <w:jc w:val="both"/>
    </w:pPr>
    <w:rPr>
      <w:rFonts w:ascii="Arial" w:eastAsia="Times New Roman" w:hAnsi="Arial" w:cs="Arial"/>
      <w:bCs/>
      <w:szCs w:val="24"/>
      <w:lang w:val="es-CO" w:eastAsia="ar-SA"/>
    </w:rPr>
  </w:style>
  <w:style w:type="paragraph" w:styleId="Revisin">
    <w:name w:val="Revision"/>
    <w:hidden/>
    <w:uiPriority w:val="99"/>
    <w:semiHidden/>
    <w:rsid w:val="0010027E"/>
    <w:pPr>
      <w:widowControl/>
      <w:autoSpaceDE/>
      <w:autoSpaceDN/>
    </w:pPr>
    <w:rPr>
      <w:rFonts w:ascii="Times New Roman" w:eastAsia="Times New Roman" w:hAnsi="Times New Roman" w:cs="Times New Roman"/>
      <w:sz w:val="24"/>
      <w:szCs w:val="24"/>
      <w:lang w:val="es-ES" w:eastAsia="es-ES"/>
    </w:rPr>
  </w:style>
  <w:style w:type="paragraph" w:customStyle="1" w:styleId="Default">
    <w:name w:val="Default"/>
    <w:rsid w:val="0010027E"/>
    <w:pPr>
      <w:widowControl/>
      <w:adjustRightInd w:val="0"/>
    </w:pPr>
    <w:rPr>
      <w:rFonts w:ascii="Times New Roman" w:eastAsia="Calibri" w:hAnsi="Times New Roman" w:cs="Times New Roman"/>
      <w:color w:val="000000"/>
      <w:sz w:val="24"/>
      <w:szCs w:val="24"/>
      <w:lang w:val="es-CO"/>
    </w:rPr>
  </w:style>
  <w:style w:type="paragraph" w:customStyle="1" w:styleId="CM1293">
    <w:name w:val="CM129+3"/>
    <w:basedOn w:val="Default"/>
    <w:next w:val="Default"/>
    <w:uiPriority w:val="99"/>
    <w:rsid w:val="0010027E"/>
    <w:rPr>
      <w:rFonts w:ascii="Arial" w:eastAsiaTheme="minorHAnsi" w:hAnsi="Arial" w:cs="Arial"/>
      <w:color w:val="auto"/>
      <w:lang w:val="es-ES_tradnl"/>
    </w:rPr>
  </w:style>
  <w:style w:type="character" w:customStyle="1" w:styleId="Ttulo30">
    <w:name w:val="Título #3_"/>
    <w:link w:val="Ttulo31"/>
    <w:locked/>
    <w:rsid w:val="0010027E"/>
    <w:rPr>
      <w:rFonts w:ascii="Arial" w:eastAsia="Arial" w:hAnsi="Arial" w:cs="Arial"/>
      <w:b/>
      <w:bCs/>
      <w:shd w:val="clear" w:color="auto" w:fill="FFFFFF"/>
    </w:rPr>
  </w:style>
  <w:style w:type="paragraph" w:customStyle="1" w:styleId="Ttulo31">
    <w:name w:val="Título #3"/>
    <w:basedOn w:val="Normal"/>
    <w:link w:val="Ttulo30"/>
    <w:rsid w:val="0010027E"/>
    <w:pPr>
      <w:shd w:val="clear" w:color="auto" w:fill="FFFFFF"/>
      <w:autoSpaceDE/>
      <w:autoSpaceDN/>
      <w:spacing w:before="500" w:line="254" w:lineRule="exact"/>
      <w:ind w:hanging="900"/>
      <w:jc w:val="both"/>
      <w:outlineLvl w:val="2"/>
    </w:pPr>
    <w:rPr>
      <w:rFonts w:ascii="Arial" w:eastAsia="Arial" w:hAnsi="Arial" w:cs="Arial"/>
      <w:b/>
      <w:bCs/>
    </w:rPr>
  </w:style>
  <w:style w:type="character" w:customStyle="1" w:styleId="Cuerpodeltexto2">
    <w:name w:val="Cuerpo del texto (2)_"/>
    <w:link w:val="Cuerpodeltexto20"/>
    <w:locked/>
    <w:rsid w:val="0010027E"/>
    <w:rPr>
      <w:rFonts w:ascii="Arial" w:eastAsia="Arial" w:hAnsi="Arial" w:cs="Arial"/>
      <w:shd w:val="clear" w:color="auto" w:fill="FFFFFF"/>
    </w:rPr>
  </w:style>
  <w:style w:type="paragraph" w:customStyle="1" w:styleId="Cuerpodeltexto20">
    <w:name w:val="Cuerpo del texto (2)"/>
    <w:basedOn w:val="Normal"/>
    <w:link w:val="Cuerpodeltexto2"/>
    <w:rsid w:val="0010027E"/>
    <w:pPr>
      <w:shd w:val="clear" w:color="auto" w:fill="FFFFFF"/>
      <w:autoSpaceDE/>
      <w:autoSpaceDN/>
      <w:spacing w:before="260" w:after="260" w:line="254" w:lineRule="exact"/>
      <w:ind w:hanging="460"/>
      <w:jc w:val="both"/>
    </w:pPr>
    <w:rPr>
      <w:rFonts w:ascii="Arial" w:eastAsia="Arial" w:hAnsi="Arial" w:cs="Arial"/>
    </w:rPr>
  </w:style>
  <w:style w:type="paragraph" w:styleId="Subttulo">
    <w:name w:val="Subtitle"/>
    <w:basedOn w:val="Normal"/>
    <w:next w:val="Normal"/>
    <w:link w:val="SubttuloCar"/>
    <w:uiPriority w:val="11"/>
    <w:qFormat/>
    <w:rsid w:val="0010027E"/>
    <w:pPr>
      <w:widowControl/>
      <w:numPr>
        <w:ilvl w:val="1"/>
      </w:numPr>
      <w:autoSpaceDE/>
      <w:autoSpaceDN/>
    </w:pPr>
    <w:rPr>
      <w:rFonts w:asciiTheme="majorHAnsi" w:eastAsiaTheme="majorEastAsia" w:hAnsiTheme="majorHAnsi" w:cstheme="majorBidi"/>
      <w:i/>
      <w:iCs/>
      <w:color w:val="4F81BD" w:themeColor="accent1"/>
      <w:spacing w:val="15"/>
      <w:sz w:val="24"/>
      <w:szCs w:val="24"/>
      <w:lang w:val="es-ES" w:eastAsia="es-ES"/>
    </w:rPr>
  </w:style>
  <w:style w:type="character" w:customStyle="1" w:styleId="SubttuloCar">
    <w:name w:val="Subtítulo Car"/>
    <w:basedOn w:val="Fuentedeprrafopredeter"/>
    <w:link w:val="Subttulo"/>
    <w:uiPriority w:val="11"/>
    <w:rsid w:val="0010027E"/>
    <w:rPr>
      <w:rFonts w:asciiTheme="majorHAnsi" w:eastAsiaTheme="majorEastAsia" w:hAnsiTheme="majorHAnsi" w:cstheme="majorBidi"/>
      <w:i/>
      <w:iCs/>
      <w:color w:val="4F81BD" w:themeColor="accent1"/>
      <w:spacing w:val="15"/>
      <w:sz w:val="24"/>
      <w:szCs w:val="24"/>
      <w:lang w:val="es-ES" w:eastAsia="es-ES"/>
    </w:rPr>
  </w:style>
  <w:style w:type="paragraph" w:customStyle="1" w:styleId="p1">
    <w:name w:val="p1"/>
    <w:basedOn w:val="Normal"/>
    <w:rsid w:val="0010027E"/>
    <w:pPr>
      <w:widowControl/>
      <w:autoSpaceDE/>
      <w:autoSpaceDN/>
    </w:pPr>
    <w:rPr>
      <w:rFonts w:ascii="Helvetica Neue" w:hAnsi="Helvetica Neue" w:cs="Times New Roman"/>
      <w:color w:val="454545"/>
      <w:sz w:val="18"/>
      <w:szCs w:val="18"/>
      <w:lang w:val="es-ES_tradnl" w:eastAsia="es-ES_tradnl"/>
    </w:rPr>
  </w:style>
  <w:style w:type="paragraph" w:customStyle="1" w:styleId="p2">
    <w:name w:val="p2"/>
    <w:basedOn w:val="Normal"/>
    <w:rsid w:val="0010027E"/>
    <w:pPr>
      <w:widowControl/>
      <w:autoSpaceDE/>
      <w:autoSpaceDN/>
      <w:spacing w:after="30"/>
    </w:pPr>
    <w:rPr>
      <w:rFonts w:ascii="Helvetica Neue" w:hAnsi="Helvetica Neue" w:cs="Times New Roman"/>
      <w:color w:val="454545"/>
      <w:sz w:val="21"/>
      <w:szCs w:val="21"/>
      <w:lang w:val="es-ES_tradnl" w:eastAsia="es-ES_tradnl"/>
    </w:rPr>
  </w:style>
  <w:style w:type="paragraph" w:customStyle="1" w:styleId="p3">
    <w:name w:val="p3"/>
    <w:basedOn w:val="Normal"/>
    <w:rsid w:val="0010027E"/>
    <w:pPr>
      <w:widowControl/>
      <w:autoSpaceDE/>
      <w:autoSpaceDN/>
      <w:jc w:val="both"/>
    </w:pPr>
    <w:rPr>
      <w:rFonts w:ascii="Helvetica Neue" w:hAnsi="Helvetica Neue" w:cs="Times New Roman"/>
      <w:color w:val="454545"/>
      <w:sz w:val="18"/>
      <w:szCs w:val="18"/>
      <w:lang w:val="es-ES_tradnl" w:eastAsia="es-ES_tradnl"/>
    </w:rPr>
  </w:style>
  <w:style w:type="paragraph" w:customStyle="1" w:styleId="p4">
    <w:name w:val="p4"/>
    <w:basedOn w:val="Normal"/>
    <w:rsid w:val="0010027E"/>
    <w:pPr>
      <w:widowControl/>
      <w:autoSpaceDE/>
      <w:autoSpaceDN/>
      <w:jc w:val="both"/>
    </w:pPr>
    <w:rPr>
      <w:rFonts w:ascii="Helvetica Neue" w:hAnsi="Helvetica Neue" w:cs="Times New Roman"/>
      <w:color w:val="454545"/>
      <w:sz w:val="18"/>
      <w:szCs w:val="18"/>
      <w:lang w:val="es-ES_tradnl" w:eastAsia="es-ES_tradnl"/>
    </w:rPr>
  </w:style>
  <w:style w:type="paragraph" w:customStyle="1" w:styleId="p5">
    <w:name w:val="p5"/>
    <w:basedOn w:val="Normal"/>
    <w:rsid w:val="0010027E"/>
    <w:pPr>
      <w:widowControl/>
      <w:autoSpaceDE/>
      <w:autoSpaceDN/>
      <w:jc w:val="center"/>
    </w:pPr>
    <w:rPr>
      <w:rFonts w:ascii="Helvetica Neue" w:hAnsi="Helvetica Neue" w:cs="Times New Roman"/>
      <w:color w:val="454545"/>
      <w:sz w:val="18"/>
      <w:szCs w:val="18"/>
      <w:lang w:val="es-ES_tradnl" w:eastAsia="es-ES_tradnl"/>
    </w:rPr>
  </w:style>
  <w:style w:type="paragraph" w:customStyle="1" w:styleId="p6">
    <w:name w:val="p6"/>
    <w:basedOn w:val="Normal"/>
    <w:rsid w:val="0010027E"/>
    <w:pPr>
      <w:widowControl/>
      <w:autoSpaceDE/>
      <w:autoSpaceDN/>
      <w:jc w:val="center"/>
    </w:pPr>
    <w:rPr>
      <w:rFonts w:ascii="Helvetica Neue" w:hAnsi="Helvetica Neue" w:cs="Times New Roman"/>
      <w:color w:val="454545"/>
      <w:sz w:val="18"/>
      <w:szCs w:val="18"/>
      <w:lang w:val="es-ES_tradnl" w:eastAsia="es-ES_tradnl"/>
    </w:rPr>
  </w:style>
  <w:style w:type="paragraph" w:customStyle="1" w:styleId="p7">
    <w:name w:val="p7"/>
    <w:basedOn w:val="Normal"/>
    <w:rsid w:val="0010027E"/>
    <w:pPr>
      <w:widowControl/>
      <w:autoSpaceDE/>
      <w:autoSpaceDN/>
    </w:pPr>
    <w:rPr>
      <w:rFonts w:ascii="Helvetica Neue" w:hAnsi="Helvetica Neue" w:cs="Times New Roman"/>
      <w:color w:val="454545"/>
      <w:sz w:val="18"/>
      <w:szCs w:val="18"/>
      <w:lang w:val="es-ES_tradnl" w:eastAsia="es-ES_tradnl"/>
    </w:rPr>
  </w:style>
  <w:style w:type="character" w:customStyle="1" w:styleId="apple-tab-span">
    <w:name w:val="apple-tab-span"/>
    <w:basedOn w:val="Fuentedeprrafopredeter"/>
    <w:rsid w:val="0010027E"/>
  </w:style>
  <w:style w:type="character" w:customStyle="1" w:styleId="apple-converted-space">
    <w:name w:val="apple-converted-space"/>
    <w:basedOn w:val="Fuentedeprrafopredeter"/>
    <w:rsid w:val="0010027E"/>
  </w:style>
  <w:style w:type="paragraph" w:styleId="TtuloTDC">
    <w:name w:val="TOC Heading"/>
    <w:basedOn w:val="Ttulo1"/>
    <w:next w:val="Normal"/>
    <w:uiPriority w:val="39"/>
    <w:unhideWhenUsed/>
    <w:qFormat/>
    <w:rsid w:val="0010027E"/>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es-CO" w:eastAsia="es-CO"/>
    </w:rPr>
  </w:style>
  <w:style w:type="paragraph" w:customStyle="1" w:styleId="subtitulo">
    <w:name w:val="subtitulo"/>
    <w:basedOn w:val="Normal"/>
    <w:link w:val="subtituloCar"/>
    <w:qFormat/>
    <w:rsid w:val="0010027E"/>
    <w:pPr>
      <w:widowControl/>
      <w:autoSpaceDE/>
      <w:autoSpaceDN/>
      <w:spacing w:line="360" w:lineRule="auto"/>
      <w:jc w:val="both"/>
    </w:pPr>
    <w:rPr>
      <w:rFonts w:ascii="ZapfHumnst Dm BT" w:eastAsia="Calibri" w:hAnsi="ZapfHumnst Dm BT" w:cs="Times New Roman"/>
      <w:b/>
      <w:color w:val="000000"/>
      <w:sz w:val="24"/>
      <w:szCs w:val="24"/>
      <w:lang w:val="es-ES_tradnl" w:eastAsia="es-CO"/>
    </w:rPr>
  </w:style>
  <w:style w:type="character" w:customStyle="1" w:styleId="subtituloCar">
    <w:name w:val="subtitulo Car"/>
    <w:link w:val="subtitulo"/>
    <w:rsid w:val="0010027E"/>
    <w:rPr>
      <w:rFonts w:ascii="ZapfHumnst Dm BT" w:eastAsia="Calibri" w:hAnsi="ZapfHumnst Dm BT" w:cs="Times New Roman"/>
      <w:b/>
      <w:color w:val="000000"/>
      <w:sz w:val="24"/>
      <w:szCs w:val="24"/>
      <w:lang w:val="es-ES_tradnl" w:eastAsia="es-CO"/>
    </w:rPr>
  </w:style>
  <w:style w:type="paragraph" w:customStyle="1" w:styleId="Titulo">
    <w:name w:val="Titulo"/>
    <w:basedOn w:val="Textoindependiente2"/>
    <w:link w:val="TituloCar"/>
    <w:rsid w:val="0010027E"/>
    <w:pPr>
      <w:widowControl/>
      <w:numPr>
        <w:ilvl w:val="1"/>
        <w:numId w:val="24"/>
      </w:numPr>
    </w:pPr>
    <w:rPr>
      <w:rFonts w:ascii="Arial" w:hAnsi="Arial" w:cs="Arial"/>
      <w:bCs/>
      <w:szCs w:val="24"/>
      <w:lang w:val="es-ES" w:eastAsia="es-ES"/>
    </w:rPr>
  </w:style>
  <w:style w:type="character" w:customStyle="1" w:styleId="TituloCar">
    <w:name w:val="Titulo Car"/>
    <w:link w:val="Titulo"/>
    <w:rsid w:val="0010027E"/>
    <w:rPr>
      <w:rFonts w:ascii="Arial" w:eastAsia="Times New Roman" w:hAnsi="Arial" w:cs="Arial"/>
      <w:b/>
      <w:bCs/>
      <w:sz w:val="24"/>
      <w:szCs w:val="24"/>
      <w:lang w:val="es-ES" w:eastAsia="es-ES"/>
    </w:rPr>
  </w:style>
  <w:style w:type="character" w:customStyle="1" w:styleId="Titulo3Car">
    <w:name w:val="Titulo 3 Car"/>
    <w:basedOn w:val="Fuentedeprrafopredeter"/>
    <w:link w:val="Titulo3"/>
    <w:rsid w:val="0010027E"/>
    <w:rPr>
      <w:rFonts w:ascii="Arial" w:hAnsi="Arial" w:cs="Arial"/>
      <w:b/>
      <w:bCs/>
      <w:lang w:val="es-ES" w:eastAsia="es-ES"/>
    </w:rPr>
  </w:style>
  <w:style w:type="paragraph" w:customStyle="1" w:styleId="Titulo3">
    <w:name w:val="Titulo 3"/>
    <w:basedOn w:val="Titulo"/>
    <w:link w:val="Titulo3Car"/>
    <w:rsid w:val="0010027E"/>
    <w:pPr>
      <w:numPr>
        <w:numId w:val="25"/>
      </w:numPr>
      <w:tabs>
        <w:tab w:val="clear" w:pos="1080"/>
        <w:tab w:val="num" w:pos="360"/>
      </w:tabs>
      <w:ind w:left="1440"/>
    </w:pPr>
    <w:rPr>
      <w:rFonts w:eastAsiaTheme="minorHAnsi"/>
      <w:sz w:val="22"/>
      <w:szCs w:val="22"/>
    </w:rPr>
  </w:style>
  <w:style w:type="character" w:customStyle="1" w:styleId="Mencinsinresolver1">
    <w:name w:val="Mención sin resolver1"/>
    <w:basedOn w:val="Fuentedeprrafopredeter"/>
    <w:uiPriority w:val="99"/>
    <w:semiHidden/>
    <w:unhideWhenUsed/>
    <w:rsid w:val="0010027E"/>
    <w:rPr>
      <w:color w:val="605E5C"/>
      <w:shd w:val="clear" w:color="auto" w:fill="E1DFDD"/>
    </w:rPr>
  </w:style>
  <w:style w:type="character" w:styleId="Mencinsinresolver">
    <w:name w:val="Unresolved Mention"/>
    <w:basedOn w:val="Fuentedeprrafopredeter"/>
    <w:uiPriority w:val="99"/>
    <w:semiHidden/>
    <w:unhideWhenUsed/>
    <w:rsid w:val="001002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428487">
      <w:bodyDiv w:val="1"/>
      <w:marLeft w:val="0"/>
      <w:marRight w:val="0"/>
      <w:marTop w:val="0"/>
      <w:marBottom w:val="0"/>
      <w:divBdr>
        <w:top w:val="none" w:sz="0" w:space="0" w:color="auto"/>
        <w:left w:val="none" w:sz="0" w:space="0" w:color="auto"/>
        <w:bottom w:val="none" w:sz="0" w:space="0" w:color="auto"/>
        <w:right w:val="none" w:sz="0" w:space="0" w:color="auto"/>
      </w:divBdr>
    </w:div>
    <w:div w:id="572088966">
      <w:bodyDiv w:val="1"/>
      <w:marLeft w:val="0"/>
      <w:marRight w:val="0"/>
      <w:marTop w:val="0"/>
      <w:marBottom w:val="0"/>
      <w:divBdr>
        <w:top w:val="none" w:sz="0" w:space="0" w:color="auto"/>
        <w:left w:val="none" w:sz="0" w:space="0" w:color="auto"/>
        <w:bottom w:val="none" w:sz="0" w:space="0" w:color="auto"/>
        <w:right w:val="none" w:sz="0" w:space="0" w:color="auto"/>
      </w:divBdr>
    </w:div>
    <w:div w:id="791558553">
      <w:bodyDiv w:val="1"/>
      <w:marLeft w:val="0"/>
      <w:marRight w:val="0"/>
      <w:marTop w:val="0"/>
      <w:marBottom w:val="0"/>
      <w:divBdr>
        <w:top w:val="none" w:sz="0" w:space="0" w:color="auto"/>
        <w:left w:val="none" w:sz="0" w:space="0" w:color="auto"/>
        <w:bottom w:val="none" w:sz="0" w:space="0" w:color="auto"/>
        <w:right w:val="none" w:sz="0" w:space="0" w:color="auto"/>
      </w:divBdr>
    </w:div>
    <w:div w:id="846092806">
      <w:bodyDiv w:val="1"/>
      <w:marLeft w:val="0"/>
      <w:marRight w:val="0"/>
      <w:marTop w:val="0"/>
      <w:marBottom w:val="0"/>
      <w:divBdr>
        <w:top w:val="none" w:sz="0" w:space="0" w:color="auto"/>
        <w:left w:val="none" w:sz="0" w:space="0" w:color="auto"/>
        <w:bottom w:val="none" w:sz="0" w:space="0" w:color="auto"/>
        <w:right w:val="none" w:sz="0" w:space="0" w:color="auto"/>
      </w:divBdr>
    </w:div>
    <w:div w:id="851913750">
      <w:bodyDiv w:val="1"/>
      <w:marLeft w:val="0"/>
      <w:marRight w:val="0"/>
      <w:marTop w:val="0"/>
      <w:marBottom w:val="0"/>
      <w:divBdr>
        <w:top w:val="none" w:sz="0" w:space="0" w:color="auto"/>
        <w:left w:val="none" w:sz="0" w:space="0" w:color="auto"/>
        <w:bottom w:val="none" w:sz="0" w:space="0" w:color="auto"/>
        <w:right w:val="none" w:sz="0" w:space="0" w:color="auto"/>
      </w:divBdr>
    </w:div>
    <w:div w:id="1246377053">
      <w:bodyDiv w:val="1"/>
      <w:marLeft w:val="0"/>
      <w:marRight w:val="0"/>
      <w:marTop w:val="0"/>
      <w:marBottom w:val="0"/>
      <w:divBdr>
        <w:top w:val="none" w:sz="0" w:space="0" w:color="auto"/>
        <w:left w:val="none" w:sz="0" w:space="0" w:color="auto"/>
        <w:bottom w:val="none" w:sz="0" w:space="0" w:color="auto"/>
        <w:right w:val="none" w:sz="0" w:space="0" w:color="auto"/>
      </w:divBdr>
    </w:div>
    <w:div w:id="1361126556">
      <w:bodyDiv w:val="1"/>
      <w:marLeft w:val="0"/>
      <w:marRight w:val="0"/>
      <w:marTop w:val="0"/>
      <w:marBottom w:val="0"/>
      <w:divBdr>
        <w:top w:val="none" w:sz="0" w:space="0" w:color="auto"/>
        <w:left w:val="none" w:sz="0" w:space="0" w:color="auto"/>
        <w:bottom w:val="none" w:sz="0" w:space="0" w:color="auto"/>
        <w:right w:val="none" w:sz="0" w:space="0" w:color="auto"/>
      </w:divBdr>
    </w:div>
    <w:div w:id="1377395441">
      <w:bodyDiv w:val="1"/>
      <w:marLeft w:val="0"/>
      <w:marRight w:val="0"/>
      <w:marTop w:val="0"/>
      <w:marBottom w:val="0"/>
      <w:divBdr>
        <w:top w:val="none" w:sz="0" w:space="0" w:color="auto"/>
        <w:left w:val="none" w:sz="0" w:space="0" w:color="auto"/>
        <w:bottom w:val="none" w:sz="0" w:space="0" w:color="auto"/>
        <w:right w:val="none" w:sz="0" w:space="0" w:color="auto"/>
      </w:divBdr>
    </w:div>
    <w:div w:id="1627153307">
      <w:bodyDiv w:val="1"/>
      <w:marLeft w:val="0"/>
      <w:marRight w:val="0"/>
      <w:marTop w:val="0"/>
      <w:marBottom w:val="0"/>
      <w:divBdr>
        <w:top w:val="none" w:sz="0" w:space="0" w:color="auto"/>
        <w:left w:val="none" w:sz="0" w:space="0" w:color="auto"/>
        <w:bottom w:val="none" w:sz="0" w:space="0" w:color="auto"/>
        <w:right w:val="none" w:sz="0" w:space="0" w:color="auto"/>
      </w:divBdr>
    </w:div>
    <w:div w:id="20123660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13D1FF-2645-473E-B1C5-1A1E056BBF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15079</Words>
  <Characters>82937</Characters>
  <Application>Microsoft Office Word</Application>
  <DocSecurity>0</DocSecurity>
  <Lines>691</Lines>
  <Paragraphs>195</Paragraphs>
  <ScaleCrop>false</ScaleCrop>
  <HeadingPairs>
    <vt:vector size="2" baseType="variant">
      <vt:variant>
        <vt:lpstr>Título</vt:lpstr>
      </vt:variant>
      <vt:variant>
        <vt:i4>1</vt:i4>
      </vt:variant>
    </vt:vector>
  </HeadingPairs>
  <TitlesOfParts>
    <vt:vector size="1" baseType="lpstr">
      <vt:lpstr>REGLAMENTO DE CRÉDITO                                                FONDO DE EMPLEADOS MUNICIPIO DE ENVIGADO        FEMUE</vt:lpstr>
    </vt:vector>
  </TitlesOfParts>
  <Company>Microsoft</Company>
  <LinksUpToDate>false</LinksUpToDate>
  <CharactersWithSpaces>97821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REGLAMENTO DE CRÉDITO                                                FONDO DE EMPLEADOS MUNICIPIO DE ENVIGADO        FEMUE</dc:title>
  <dc:creator>Lenovo</dc:creator>
  <cp:lastModifiedBy>Diego Fernando Betancour Palacios</cp:lastModifiedBy>
  <cp:revision>3</cp:revision>
  <cp:lastPrinted>2022-06-08T16:18:00Z</cp:lastPrinted>
  <dcterms:created xsi:type="dcterms:W3CDTF">2022-09-08T15:22:00Z</dcterms:created>
  <dcterms:modified xsi:type="dcterms:W3CDTF">2022-09-08T15:22:00Z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2020-12-01T00:00:00Z</vt:filetime>
  </property>
  <property fmtid="{D5CDD505-2E9C-101B-9397-08002B2CF9AE}" pid="3" name="Creator">
    <vt:lpwstr>Microsoft Word</vt:lpwstr>
  </property>
  <property fmtid="{D5CDD505-2E9C-101B-9397-08002B2CF9AE}" pid="4" name="LastSaved">
    <vt:filetime>2020-12-11T00:00:00Z</vt:filetime>
  </property>
</Properties>
</file>